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margin" w:tblpXSpec="right" w:tblpY="14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</w:tblGrid>
      <w:tr w:rsidR="000808F3" w:rsidRPr="00A53C43" w:rsidTr="000808F3">
        <w:trPr>
          <w:trHeight w:val="1226"/>
        </w:trPr>
        <w:tc>
          <w:tcPr>
            <w:tcW w:w="2251" w:type="dxa"/>
          </w:tcPr>
          <w:p w:rsidR="000808F3" w:rsidRPr="00A53C43" w:rsidRDefault="000808F3" w:rsidP="000808F3">
            <w:pPr>
              <w:spacing w:line="220" w:lineRule="exact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:rsidR="000808F3" w:rsidRPr="00A53C43" w:rsidRDefault="000808F3" w:rsidP="000808F3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Enhed for Systemanalyse</w:t>
            </w:r>
          </w:p>
          <w:p w:rsidR="000808F3" w:rsidRDefault="000808F3" w:rsidP="000808F3">
            <w:pPr>
              <w:spacing w:line="220" w:lineRule="exact"/>
              <w:rPr>
                <w:sz w:val="16"/>
                <w:szCs w:val="16"/>
              </w:rPr>
            </w:pPr>
          </w:p>
          <w:p w:rsidR="000808F3" w:rsidRPr="00036061" w:rsidRDefault="000808F3" w:rsidP="000808F3">
            <w:pPr>
              <w:spacing w:line="220" w:lineRule="exact"/>
              <w:rPr>
                <w:b/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Dato</w:t>
            </w:r>
          </w:p>
          <w:p w:rsidR="000808F3" w:rsidRDefault="000808F3" w:rsidP="000808F3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CREATEDATE  \@ "d. MMMM yyyy"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CB56E0">
              <w:rPr>
                <w:noProof/>
                <w:sz w:val="16"/>
                <w:szCs w:val="16"/>
              </w:rPr>
              <w:t>13</w:t>
            </w:r>
            <w:r w:rsidR="00143C1C">
              <w:rPr>
                <w:noProof/>
                <w:sz w:val="16"/>
                <w:szCs w:val="16"/>
              </w:rPr>
              <w:t>. marts 2018</w:t>
            </w:r>
            <w:r>
              <w:rPr>
                <w:sz w:val="16"/>
                <w:szCs w:val="16"/>
              </w:rPr>
              <w:fldChar w:fldCharType="end"/>
            </w:r>
          </w:p>
          <w:p w:rsidR="000808F3" w:rsidRPr="00A53C43" w:rsidRDefault="000808F3" w:rsidP="000808F3">
            <w:pPr>
              <w:spacing w:line="220" w:lineRule="exact"/>
              <w:rPr>
                <w:sz w:val="16"/>
                <w:szCs w:val="16"/>
              </w:rPr>
            </w:pPr>
          </w:p>
          <w:p w:rsidR="000808F3" w:rsidRDefault="000808F3" w:rsidP="000808F3">
            <w:pPr>
              <w:spacing w:line="220" w:lineRule="exact"/>
              <w:rPr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J nr.</w:t>
            </w:r>
            <w:r>
              <w:rPr>
                <w:sz w:val="16"/>
                <w:szCs w:val="16"/>
              </w:rPr>
              <w:t xml:space="preserve"> </w:t>
            </w:r>
          </w:p>
          <w:p w:rsidR="000808F3" w:rsidRPr="00A53C43" w:rsidRDefault="000808F3" w:rsidP="000808F3">
            <w:pPr>
              <w:spacing w:line="220" w:lineRule="exact"/>
              <w:rPr>
                <w:sz w:val="16"/>
                <w:szCs w:val="16"/>
              </w:rPr>
            </w:pPr>
          </w:p>
          <w:p w:rsidR="000808F3" w:rsidRPr="00A53C43" w:rsidRDefault="000808F3" w:rsidP="000808F3">
            <w:pPr>
              <w:spacing w:line="220" w:lineRule="exact"/>
              <w:rPr>
                <w:sz w:val="16"/>
                <w:szCs w:val="16"/>
              </w:rPr>
            </w:pPr>
            <w:r w:rsidRPr="00A53C43">
              <w:rPr>
                <w:sz w:val="16"/>
                <w:szCs w:val="16"/>
              </w:rPr>
              <w:t>/</w:t>
            </w:r>
          </w:p>
        </w:tc>
      </w:tr>
    </w:tbl>
    <w:p w:rsidR="004E6D04" w:rsidRDefault="005E1DCF" w:rsidP="00A31ED8">
      <w:pPr>
        <w:pStyle w:val="Heading2"/>
      </w:pPr>
      <w:r>
        <w:t xml:space="preserve">DRAFT </w:t>
      </w:r>
    </w:p>
    <w:p w:rsidR="00143C1C" w:rsidRDefault="00143C1C" w:rsidP="00A31ED8">
      <w:pPr>
        <w:pStyle w:val="Heading3"/>
        <w:rPr>
          <w:sz w:val="26"/>
          <w:szCs w:val="26"/>
        </w:rPr>
      </w:pPr>
      <w:r w:rsidRPr="00143C1C">
        <w:rPr>
          <w:sz w:val="26"/>
          <w:szCs w:val="26"/>
        </w:rPr>
        <w:t>Notat opdatering af finansielle data for solcelleanlæg til husstande og erhverv.</w:t>
      </w:r>
      <w:bookmarkStart w:id="0" w:name="_GoBack"/>
      <w:bookmarkEnd w:id="0"/>
    </w:p>
    <w:p w:rsidR="003D7D27" w:rsidRPr="00143C1C" w:rsidRDefault="00143C1C" w:rsidP="003D7D27">
      <w:pPr>
        <w:pStyle w:val="Heading3"/>
        <w:rPr>
          <w:rStyle w:val="IntenseEmphasis"/>
        </w:rPr>
      </w:pPr>
      <w:r>
        <w:rPr>
          <w:rStyle w:val="IntenseEmphasis"/>
        </w:rPr>
        <w:t>Notatet</w:t>
      </w:r>
      <w:r w:rsidR="00985C56">
        <w:rPr>
          <w:rStyle w:val="IntenseEmphasis"/>
        </w:rPr>
        <w:t xml:space="preserve"> er skrevet af Energistyrelsen (Rikke </w:t>
      </w:r>
      <w:proofErr w:type="spellStart"/>
      <w:r w:rsidR="00985C56">
        <w:rPr>
          <w:rStyle w:val="IntenseEmphasis"/>
        </w:rPr>
        <w:t>Næraa</w:t>
      </w:r>
      <w:proofErr w:type="spellEnd"/>
      <w:r w:rsidR="00985C56">
        <w:rPr>
          <w:rStyle w:val="IntenseEmphasis"/>
        </w:rPr>
        <w:t>)</w:t>
      </w:r>
      <w:r>
        <w:rPr>
          <w:rStyle w:val="IntenseEmphasis"/>
        </w:rPr>
        <w:t>, i dialog med Jan Vedde,</w:t>
      </w:r>
      <w:r w:rsidRPr="00143C1C">
        <w:rPr>
          <w:rStyle w:val="IntenseEmphasis"/>
        </w:rPr>
        <w:t xml:space="preserve"> </w:t>
      </w:r>
      <w:proofErr w:type="spellStart"/>
      <w:r w:rsidRPr="00143C1C">
        <w:rPr>
          <w:rStyle w:val="IntenseEmphasis"/>
          <w:bCs/>
        </w:rPr>
        <w:t>SiCon</w:t>
      </w:r>
      <w:proofErr w:type="spellEnd"/>
      <w:r w:rsidRPr="00143C1C">
        <w:rPr>
          <w:rStyle w:val="IntenseEmphasis"/>
          <w:bCs/>
        </w:rPr>
        <w:t xml:space="preserve"> • </w:t>
      </w:r>
      <w:proofErr w:type="spellStart"/>
      <w:r w:rsidRPr="00143C1C">
        <w:rPr>
          <w:rStyle w:val="IntenseEmphasis"/>
          <w:bCs/>
        </w:rPr>
        <w:t>Silicon</w:t>
      </w:r>
      <w:proofErr w:type="spellEnd"/>
      <w:r w:rsidRPr="00143C1C">
        <w:rPr>
          <w:rStyle w:val="IntenseEmphasis"/>
          <w:bCs/>
        </w:rPr>
        <w:t xml:space="preserve"> and PV</w:t>
      </w:r>
      <w:r w:rsidR="00985C56">
        <w:rPr>
          <w:rStyle w:val="IntenseEmphasis"/>
          <w:bCs/>
        </w:rPr>
        <w:t>.</w:t>
      </w:r>
      <w:r w:rsidRPr="00143C1C">
        <w:rPr>
          <w:rStyle w:val="IntenseEmphasis"/>
          <w:bCs/>
        </w:rPr>
        <w:t xml:space="preserve"> </w:t>
      </w:r>
      <w:r w:rsidR="008B2A36" w:rsidRPr="00143C1C">
        <w:rPr>
          <w:rStyle w:val="IntenseEmphasis"/>
          <w:bCs/>
        </w:rPr>
        <w:t>C</w:t>
      </w:r>
      <w:r w:rsidRPr="00143C1C">
        <w:rPr>
          <w:rStyle w:val="IntenseEmphasis"/>
          <w:bCs/>
        </w:rPr>
        <w:t>onsulting</w:t>
      </w:r>
      <w:r w:rsidR="008B2A36">
        <w:rPr>
          <w:rStyle w:val="IntenseEmphasis"/>
          <w:bCs/>
        </w:rPr>
        <w:t>.</w:t>
      </w:r>
      <w:r w:rsidR="00A31ED8" w:rsidRPr="00143C1C">
        <w:rPr>
          <w:rStyle w:val="IntenseEmphasis"/>
        </w:rPr>
        <w:t xml:space="preserve"> </w:t>
      </w:r>
      <w:r w:rsidR="00C53E6F">
        <w:rPr>
          <w:rStyle w:val="IntenseEmphasis"/>
        </w:rPr>
        <w:t>Data er indhentet og analyseret af Jan Vedde,</w:t>
      </w:r>
      <w:r w:rsidR="00C53E6F" w:rsidRPr="00143C1C">
        <w:rPr>
          <w:rStyle w:val="IntenseEmphasis"/>
        </w:rPr>
        <w:t xml:space="preserve"> </w:t>
      </w:r>
      <w:proofErr w:type="spellStart"/>
      <w:r w:rsidR="00C53E6F" w:rsidRPr="00143C1C">
        <w:rPr>
          <w:rStyle w:val="IntenseEmphasis"/>
          <w:bCs/>
        </w:rPr>
        <w:t>SiCon</w:t>
      </w:r>
      <w:proofErr w:type="spellEnd"/>
      <w:r w:rsidR="00C53E6F" w:rsidRPr="00143C1C">
        <w:rPr>
          <w:rStyle w:val="IntenseEmphasis"/>
          <w:bCs/>
        </w:rPr>
        <w:t xml:space="preserve"> • </w:t>
      </w:r>
      <w:proofErr w:type="spellStart"/>
      <w:r w:rsidR="00C53E6F" w:rsidRPr="00143C1C">
        <w:rPr>
          <w:rStyle w:val="IntenseEmphasis"/>
          <w:bCs/>
        </w:rPr>
        <w:t>Silicon</w:t>
      </w:r>
      <w:proofErr w:type="spellEnd"/>
      <w:r w:rsidR="00C53E6F" w:rsidRPr="00143C1C">
        <w:rPr>
          <w:rStyle w:val="IntenseEmphasis"/>
          <w:bCs/>
        </w:rPr>
        <w:t xml:space="preserve"> and PV </w:t>
      </w:r>
      <w:proofErr w:type="spellStart"/>
      <w:r w:rsidR="00C53E6F" w:rsidRPr="00143C1C">
        <w:rPr>
          <w:rStyle w:val="IntenseEmphasis"/>
          <w:bCs/>
        </w:rPr>
        <w:t>consulting</w:t>
      </w:r>
      <w:proofErr w:type="spellEnd"/>
      <w:r w:rsidR="00C53E6F">
        <w:rPr>
          <w:rStyle w:val="IntenseEmphasis"/>
          <w:bCs/>
        </w:rPr>
        <w:t xml:space="preserve"> og </w:t>
      </w:r>
      <w:r w:rsidR="00C53E6F">
        <w:rPr>
          <w:rStyle w:val="IntenseEmphasis"/>
        </w:rPr>
        <w:t xml:space="preserve">Energistyrelsen (Rikke </w:t>
      </w:r>
      <w:proofErr w:type="spellStart"/>
      <w:r w:rsidR="00C53E6F">
        <w:rPr>
          <w:rStyle w:val="IntenseEmphasis"/>
        </w:rPr>
        <w:t>Næraa</w:t>
      </w:r>
      <w:proofErr w:type="spellEnd"/>
      <w:r w:rsidR="00C53E6F">
        <w:rPr>
          <w:rStyle w:val="IntenseEmphasis"/>
        </w:rPr>
        <w:t>).</w:t>
      </w:r>
    </w:p>
    <w:p w:rsidR="00B5277B" w:rsidRPr="00B5277B" w:rsidRDefault="00143C1C" w:rsidP="00B5277B">
      <w:pPr>
        <w:pStyle w:val="Heading1"/>
      </w:pPr>
      <w:r w:rsidRPr="00C62AF9">
        <w:t>Ba</w:t>
      </w:r>
      <w:r>
        <w:t>ggrund</w:t>
      </w:r>
    </w:p>
    <w:p w:rsidR="00B5277B" w:rsidRDefault="00B5277B" w:rsidP="00B5277B">
      <w:pPr>
        <w:rPr>
          <w:color w:val="1F497D"/>
        </w:rPr>
      </w:pPr>
    </w:p>
    <w:p w:rsidR="00143C1C" w:rsidRPr="008B2A36" w:rsidRDefault="00143C1C" w:rsidP="00143C1C">
      <w:pPr>
        <w:spacing w:after="200"/>
      </w:pPr>
      <w:r>
        <w:t xml:space="preserve">Energistyrelsen har per oktober 2017 opdateret </w:t>
      </w:r>
      <w:r w:rsidRPr="00986586">
        <w:rPr>
          <w:i/>
        </w:rPr>
        <w:t>Teknologikatalog for produktion af el og fjernvarme, energilagring og energiproduktion og –</w:t>
      </w:r>
      <w:r w:rsidR="008B2A36">
        <w:rPr>
          <w:i/>
        </w:rPr>
        <w:t xml:space="preserve"> </w:t>
      </w:r>
      <w:r w:rsidRPr="00986586">
        <w:rPr>
          <w:i/>
        </w:rPr>
        <w:t>konvertering</w:t>
      </w:r>
      <w:r>
        <w:t xml:space="preserve"> </w:t>
      </w:r>
      <w:r w:rsidRPr="00986586">
        <w:t>med nye data for store</w:t>
      </w:r>
      <w:r w:rsidR="00214364">
        <w:t>(&gt; 1MW)</w:t>
      </w:r>
      <w:r w:rsidRPr="00986586">
        <w:t xml:space="preserve"> markplacerede solcelle anlæg</w:t>
      </w:r>
      <w:r>
        <w:t xml:space="preserve">. Til grund for denne opdatering ligger et grundigt forarbejde med tilhørende dokumentationsnotat udarbejdet af EA Energianalyse per 11. oktober 2017 med titlen </w:t>
      </w:r>
      <w:r w:rsidRPr="00063518">
        <w:rPr>
          <w:i/>
        </w:rPr>
        <w:t>Opdatering af t</w:t>
      </w:r>
      <w:r>
        <w:rPr>
          <w:i/>
        </w:rPr>
        <w:t xml:space="preserve">eknologikatalogets solcelledata </w:t>
      </w:r>
      <w:r w:rsidRPr="00063518">
        <w:rPr>
          <w:i/>
        </w:rPr>
        <w:t>oktober 2017</w:t>
      </w:r>
      <w:r>
        <w:rPr>
          <w:i/>
        </w:rPr>
        <w:t>.</w:t>
      </w:r>
    </w:p>
    <w:p w:rsidR="00143C1C" w:rsidRDefault="00DB27AD" w:rsidP="00143C1C">
      <w:pPr>
        <w:spacing w:after="200"/>
      </w:pPr>
      <w:r>
        <w:t xml:space="preserve">Data for mindre private hhv. </w:t>
      </w:r>
      <w:r w:rsidR="00426C38">
        <w:t>mellemstore</w:t>
      </w:r>
      <w:r>
        <w:t xml:space="preserve"> kommercielle &amp; industrielle anlæg er ikke opdateret siden marts 2015 (finansielle data indhentet i 4. kvartal af 2014 og 1 kvartal 2015). </w:t>
      </w:r>
      <w:r w:rsidR="00143C1C">
        <w:t xml:space="preserve">Mens der i den grundlæggende teknologbeskrivelse ikke er grund til at skelne mellem de store markplacerede solcelleanlæg og mindre private hhv. større kommercielle &amp; industrielle </w:t>
      </w:r>
      <w:r w:rsidR="00426C38">
        <w:t xml:space="preserve">tagplacerede </w:t>
      </w:r>
      <w:r w:rsidR="00143C1C">
        <w:t>anlæg, er det for andre specifikke forhold nødvendigt at differentiere mellem de respektive markedssegmenter, for at få en retvisende beskrivelse af funktionsvilkår og priser.</w:t>
      </w:r>
    </w:p>
    <w:p w:rsidR="003B1472" w:rsidRPr="008B2A36" w:rsidRDefault="00B13690" w:rsidP="008B2A36">
      <w:pPr>
        <w:spacing w:before="240" w:line="276" w:lineRule="auto"/>
      </w:pPr>
      <w:r>
        <w:t>Data i n</w:t>
      </w:r>
      <w:r w:rsidR="00340F20">
        <w:t xml:space="preserve">otatet er </w:t>
      </w:r>
      <w:r w:rsidR="00F02820">
        <w:t xml:space="preserve">for de mellemstore tagplacerede anlæg til erhverv </w:t>
      </w:r>
      <w:r w:rsidR="00F02820" w:rsidRPr="008B2A36">
        <w:t xml:space="preserve">primært baseret på priser for anlæg med </w:t>
      </w:r>
      <w:proofErr w:type="spellStart"/>
      <w:r w:rsidR="00F02820" w:rsidRPr="008B2A36">
        <w:t>poly</w:t>
      </w:r>
      <w:proofErr w:type="spellEnd"/>
      <w:r w:rsidR="00F02820" w:rsidRPr="008B2A36">
        <w:t>-</w:t>
      </w:r>
      <w:r w:rsidR="00F02820" w:rsidRPr="00F02820">
        <w:t>krystallinske</w:t>
      </w:r>
      <w:r w:rsidR="00F02820" w:rsidRPr="008B2A36">
        <w:t xml:space="preserve"> siliciumceller</w:t>
      </w:r>
      <w:r w:rsidR="00F02820">
        <w:t>. M</w:t>
      </w:r>
      <w:r w:rsidR="00F02820" w:rsidRPr="008B2A36">
        <w:t xml:space="preserve">ens data for </w:t>
      </w:r>
      <w:r w:rsidR="003B1472" w:rsidRPr="008B2A36">
        <w:t>de små anlæg</w:t>
      </w:r>
      <w:r w:rsidR="00F02820" w:rsidRPr="008B2A36">
        <w:t xml:space="preserve"> til private</w:t>
      </w:r>
      <w:r w:rsidR="003B1472" w:rsidRPr="008B2A36">
        <w:t xml:space="preserve">, </w:t>
      </w:r>
      <w:r w:rsidR="00F02820" w:rsidRPr="008B2A36">
        <w:t xml:space="preserve">er for </w:t>
      </w:r>
      <w:r w:rsidR="003B1472" w:rsidRPr="008B2A36">
        <w:t xml:space="preserve">anlæg med både standard </w:t>
      </w:r>
      <w:proofErr w:type="spellStart"/>
      <w:r w:rsidR="003B1472" w:rsidRPr="008B2A36">
        <w:t>poly</w:t>
      </w:r>
      <w:proofErr w:type="spellEnd"/>
      <w:r w:rsidR="003B1472" w:rsidRPr="008B2A36">
        <w:t>- og mono</w:t>
      </w:r>
      <w:r w:rsidR="00F02820" w:rsidRPr="008B2A36">
        <w:t>-krystallinske</w:t>
      </w:r>
      <w:r w:rsidR="003B1472" w:rsidRPr="008B2A36">
        <w:t xml:space="preserve"> siliciumceller og sorte udgaver af dem.</w:t>
      </w:r>
      <w:r w:rsidR="00F02820" w:rsidRPr="008B2A36">
        <w:t xml:space="preserve"> </w:t>
      </w:r>
      <w:r w:rsidR="0094184B">
        <w:t>E</w:t>
      </w:r>
      <w:r w:rsidR="00340F20">
        <w:t xml:space="preserve">n </w:t>
      </w:r>
      <w:r>
        <w:t xml:space="preserve">voksende andel </w:t>
      </w:r>
      <w:r w:rsidR="00340F20">
        <w:t>af de paneler,</w:t>
      </w:r>
      <w:r w:rsidR="00F02820">
        <w:t xml:space="preserve"> </w:t>
      </w:r>
      <w:r w:rsidR="00340F20">
        <w:t>der placeres på private husstage, er sorte og</w:t>
      </w:r>
      <w:r w:rsidR="00426C38">
        <w:t>/</w:t>
      </w:r>
      <w:r w:rsidR="00340F20">
        <w:t xml:space="preserve">eller mono </w:t>
      </w:r>
      <w:r>
        <w:t>krystallinske</w:t>
      </w:r>
      <w:r w:rsidR="00985C56">
        <w:t xml:space="preserve">. Disse typer vælges </w:t>
      </w:r>
      <w:r w:rsidR="00F02820">
        <w:t xml:space="preserve">i stigende grad </w:t>
      </w:r>
      <w:r w:rsidR="00985C56">
        <w:t>af private</w:t>
      </w:r>
      <w:r w:rsidR="00426C38">
        <w:t>,</w:t>
      </w:r>
      <w:r w:rsidR="00985C56">
        <w:t xml:space="preserve"> </w:t>
      </w:r>
      <w:r>
        <w:t>fordi de anses</w:t>
      </w:r>
      <w:r w:rsidR="00340F20">
        <w:t xml:space="preserve"> som mindre </w:t>
      </w:r>
      <w:r w:rsidR="00340F20" w:rsidRPr="009E2B35">
        <w:t>skæmmende for bygningernes udseende</w:t>
      </w:r>
      <w:r w:rsidR="00426C38" w:rsidRPr="008B2A36">
        <w:t>.</w:t>
      </w:r>
      <w:r w:rsidR="003B1472">
        <w:t xml:space="preserve"> At</w:t>
      </w:r>
      <w:r w:rsidR="003B1472" w:rsidRPr="008B2A36">
        <w:t xml:space="preserve"> medtage </w:t>
      </w:r>
      <w:r w:rsidR="00F02820" w:rsidRPr="008B2A36">
        <w:t xml:space="preserve">data for paneler med </w:t>
      </w:r>
      <w:r w:rsidR="003B1472" w:rsidRPr="008B2A36">
        <w:t>sorte og</w:t>
      </w:r>
      <w:r w:rsidR="00F02820" w:rsidRPr="008B2A36">
        <w:t>/eller</w:t>
      </w:r>
      <w:r w:rsidR="003B1472" w:rsidRPr="008B2A36">
        <w:t xml:space="preserve"> mono</w:t>
      </w:r>
      <w:r w:rsidR="00122E29" w:rsidRPr="008B2A36">
        <w:t xml:space="preserve"> krystallinske</w:t>
      </w:r>
      <w:r w:rsidR="003B1472" w:rsidRPr="008B2A36">
        <w:t xml:space="preserve"> sili</w:t>
      </w:r>
      <w:r w:rsidR="00F02820" w:rsidRPr="008B2A36">
        <w:t>c</w:t>
      </w:r>
      <w:r w:rsidR="003B1472" w:rsidRPr="008B2A36">
        <w:t>ium</w:t>
      </w:r>
      <w:r w:rsidR="00F02820" w:rsidRPr="008B2A36">
        <w:t>celler</w:t>
      </w:r>
      <w:r w:rsidR="003B1472" w:rsidRPr="008B2A36">
        <w:t xml:space="preserve"> kan gøre prisen for anlægget lidt højere. </w:t>
      </w:r>
      <w:r w:rsidR="00122E29" w:rsidRPr="008B2A36">
        <w:t>At inkludere disse typer</w:t>
      </w:r>
      <w:r w:rsidR="003B1472" w:rsidRPr="008B2A36">
        <w:t xml:space="preserve"> </w:t>
      </w:r>
      <w:r w:rsidR="00F02820" w:rsidRPr="008B2A36">
        <w:t xml:space="preserve">er i </w:t>
      </w:r>
      <w:r w:rsidR="00122E29" w:rsidRPr="008B2A36">
        <w:t>overensstemmelse</w:t>
      </w:r>
      <w:r w:rsidR="00F02820" w:rsidRPr="008B2A36">
        <w:t xml:space="preserve"> med </w:t>
      </w:r>
      <w:r w:rsidR="00122E29" w:rsidRPr="008B2A36">
        <w:t>den i de eksisterende teknologidata forholdsvis høje celle</w:t>
      </w:r>
      <w:r w:rsidR="003B1472" w:rsidRPr="008B2A36">
        <w:t>effektivitet</w:t>
      </w:r>
      <w:r w:rsidR="00122E29" w:rsidRPr="008B2A36">
        <w:t xml:space="preserve"> for 2020-2050. Da </w:t>
      </w:r>
      <w:r w:rsidR="003B1472" w:rsidRPr="008B2A36">
        <w:t>mono</w:t>
      </w:r>
      <w:r w:rsidR="00122E29" w:rsidRPr="008B2A36">
        <w:t>-krystallinske</w:t>
      </w:r>
      <w:r w:rsidR="003B1472" w:rsidRPr="008B2A36">
        <w:t xml:space="preserve"> og</w:t>
      </w:r>
      <w:r w:rsidR="00F02820" w:rsidRPr="008B2A36">
        <w:t>/eller</w:t>
      </w:r>
      <w:r w:rsidR="003B1472" w:rsidRPr="008B2A36">
        <w:t xml:space="preserve"> sorte </w:t>
      </w:r>
      <w:r w:rsidR="00122E29" w:rsidRPr="008B2A36">
        <w:t xml:space="preserve">celler typisk vil have højere effektivitet en standard </w:t>
      </w:r>
      <w:proofErr w:type="spellStart"/>
      <w:r w:rsidR="00122E29" w:rsidRPr="008B2A36">
        <w:t>poly</w:t>
      </w:r>
      <w:proofErr w:type="spellEnd"/>
      <w:r w:rsidR="00122E29" w:rsidRPr="008B2A36">
        <w:t>-krystallinske</w:t>
      </w:r>
      <w:r w:rsidR="003B1472" w:rsidRPr="008B2A36">
        <w:t>. Der er i øvrigt større forskel i pris</w:t>
      </w:r>
      <w:r w:rsidR="00F02820" w:rsidRPr="008B2A36">
        <w:t>en</w:t>
      </w:r>
      <w:r w:rsidR="003B1472" w:rsidRPr="008B2A36">
        <w:t xml:space="preserve"> fra firma til</w:t>
      </w:r>
      <w:r w:rsidR="00F02820" w:rsidRPr="008B2A36">
        <w:t xml:space="preserve"> firma end mellem anlægstyper.</w:t>
      </w:r>
    </w:p>
    <w:p w:rsidR="00340F20" w:rsidRDefault="00340F20" w:rsidP="008B2A36">
      <w:pPr>
        <w:spacing w:before="240" w:line="240" w:lineRule="auto"/>
      </w:pPr>
    </w:p>
    <w:p w:rsidR="009E2B35" w:rsidRDefault="00143C1C" w:rsidP="00143C1C">
      <w:pPr>
        <w:spacing w:after="200"/>
      </w:pPr>
      <w:r>
        <w:t>Udgangspunktet for opdateringen er en forventning om</w:t>
      </w:r>
      <w:r w:rsidR="00DB27AD">
        <w:t>,</w:t>
      </w:r>
      <w:r>
        <w:t xml:space="preserve"> at omkostningen for</w:t>
      </w:r>
      <w:r w:rsidR="00426C38">
        <w:t xml:space="preserve"> </w:t>
      </w:r>
      <w:r>
        <w:t xml:space="preserve">tagmonterede </w:t>
      </w:r>
      <w:r w:rsidR="009D18F8">
        <w:t xml:space="preserve">små </w:t>
      </w:r>
      <w:r>
        <w:t>private</w:t>
      </w:r>
      <w:r w:rsidR="0094184B">
        <w:t xml:space="preserve"> </w:t>
      </w:r>
      <w:r>
        <w:t>(6</w:t>
      </w:r>
      <w:r w:rsidR="009D18F8">
        <w:t xml:space="preserve"> </w:t>
      </w:r>
      <w:proofErr w:type="spellStart"/>
      <w:r w:rsidR="0094184B">
        <w:t>k</w:t>
      </w:r>
      <w:r>
        <w:t>Wp</w:t>
      </w:r>
      <w:proofErr w:type="spellEnd"/>
      <w:r>
        <w:t xml:space="preserve">) og </w:t>
      </w:r>
      <w:r w:rsidR="009D18F8">
        <w:t xml:space="preserve">mellemstore </w:t>
      </w:r>
      <w:r>
        <w:t>erhvervsanlæg (50</w:t>
      </w:r>
      <w:r w:rsidR="00426C38">
        <w:t>-500</w:t>
      </w:r>
      <w:r w:rsidR="0094184B">
        <w:t>k</w:t>
      </w:r>
      <w:r>
        <w:t xml:space="preserve">Wp) </w:t>
      </w:r>
      <w:r w:rsidR="00580B6B">
        <w:t xml:space="preserve">også </w:t>
      </w:r>
      <w:r w:rsidR="00DB27AD">
        <w:t>påvirke</w:t>
      </w:r>
      <w:r w:rsidR="00580B6B">
        <w:t>s</w:t>
      </w:r>
      <w:r w:rsidR="00DB27AD">
        <w:t xml:space="preserve"> af det </w:t>
      </w:r>
      <w:r w:rsidR="00214364">
        <w:t xml:space="preserve">”større end </w:t>
      </w:r>
      <w:r w:rsidR="00FA3F72">
        <w:t xml:space="preserve">ved sidste opdatering </w:t>
      </w:r>
      <w:r w:rsidR="00214364">
        <w:t xml:space="preserve">forventede” </w:t>
      </w:r>
      <w:r w:rsidR="00DB27AD">
        <w:t xml:space="preserve">fald </w:t>
      </w:r>
      <w:r w:rsidR="00FA19BE">
        <w:t>i</w:t>
      </w:r>
      <w:r w:rsidR="00DB27AD">
        <w:t xml:space="preserve"> importprisen for </w:t>
      </w:r>
      <w:r>
        <w:t>p</w:t>
      </w:r>
      <w:r w:rsidR="00DB27AD">
        <w:t>anelerne.</w:t>
      </w:r>
      <w:r w:rsidR="00580B6B">
        <w:t xml:space="preserve"> </w:t>
      </w:r>
      <w:r w:rsidR="000129E1">
        <w:t xml:space="preserve">Mens </w:t>
      </w:r>
      <w:r w:rsidR="00FA19BE">
        <w:t xml:space="preserve">der ikke er </w:t>
      </w:r>
      <w:r w:rsidR="00214364">
        <w:t xml:space="preserve">umiddelbart forventes </w:t>
      </w:r>
      <w:r w:rsidR="00FA19BE">
        <w:t xml:space="preserve">ændring i </w:t>
      </w:r>
      <w:r w:rsidR="00FA3F72">
        <w:t>det der er antaget om</w:t>
      </w:r>
      <w:r w:rsidR="00FA19BE">
        <w:t xml:space="preserve"> udvikling</w:t>
      </w:r>
      <w:r w:rsidR="00214364">
        <w:t>en</w:t>
      </w:r>
      <w:r w:rsidR="00FA19BE">
        <w:t xml:space="preserve"> i </w:t>
      </w:r>
      <w:r w:rsidR="00214364" w:rsidRPr="008B2A36">
        <w:rPr>
          <w:i/>
        </w:rPr>
        <w:t>”</w:t>
      </w:r>
      <w:r w:rsidR="000129E1" w:rsidRPr="008B2A36">
        <w:rPr>
          <w:i/>
        </w:rPr>
        <w:t>øvrige omkostninger</w:t>
      </w:r>
      <w:r w:rsidR="00214364">
        <w:t>”</w:t>
      </w:r>
      <w:r w:rsidR="00FA19BE">
        <w:t xml:space="preserve"> i forhold til </w:t>
      </w:r>
      <w:r w:rsidR="000129E1">
        <w:t xml:space="preserve">opdateringen i 2015. </w:t>
      </w:r>
    </w:p>
    <w:p w:rsidR="00916489" w:rsidRDefault="00AD4A7A" w:rsidP="00143C1C">
      <w:pPr>
        <w:spacing w:after="200"/>
      </w:pPr>
      <w:r>
        <w:t xml:space="preserve">Ved opdateringen i 2017 blev det </w:t>
      </w:r>
      <w:r w:rsidR="009E2B35">
        <w:t xml:space="preserve">for de store </w:t>
      </w:r>
      <w:r w:rsidR="00214364">
        <w:t xml:space="preserve">markplacerede </w:t>
      </w:r>
      <w:r w:rsidR="009E2B35">
        <w:t xml:space="preserve">anlæg </w:t>
      </w:r>
      <w:r w:rsidR="00214364">
        <w:t xml:space="preserve">også </w:t>
      </w:r>
      <w:r>
        <w:t xml:space="preserve">konstateret, at </w:t>
      </w:r>
      <w:r>
        <w:rPr>
          <w:rStyle w:val="IntenseEmphasis"/>
          <w:b w:val="0"/>
          <w:i w:val="0"/>
          <w:color w:val="auto"/>
        </w:rPr>
        <w:t xml:space="preserve">forholdet mellem panelernes </w:t>
      </w:r>
      <w:proofErr w:type="spellStart"/>
      <w:r>
        <w:rPr>
          <w:rStyle w:val="IntenseEmphasis"/>
          <w:b w:val="0"/>
          <w:i w:val="0"/>
          <w:color w:val="auto"/>
        </w:rPr>
        <w:t>peak</w:t>
      </w:r>
      <w:proofErr w:type="spellEnd"/>
      <w:r>
        <w:rPr>
          <w:rStyle w:val="IntenseEmphasis"/>
          <w:b w:val="0"/>
          <w:i w:val="0"/>
          <w:color w:val="auto"/>
        </w:rPr>
        <w:t xml:space="preserve">-kapacitet og </w:t>
      </w:r>
      <w:proofErr w:type="spellStart"/>
      <w:r>
        <w:rPr>
          <w:rStyle w:val="IntenseEmphasis"/>
          <w:b w:val="0"/>
          <w:i w:val="0"/>
          <w:color w:val="auto"/>
        </w:rPr>
        <w:t>inverterens</w:t>
      </w:r>
      <w:proofErr w:type="spellEnd"/>
      <w:r>
        <w:rPr>
          <w:rStyle w:val="IntenseEmphasis"/>
          <w:b w:val="0"/>
          <w:i w:val="0"/>
          <w:color w:val="auto"/>
        </w:rPr>
        <w:t xml:space="preserve"> maximale kapacitet (</w:t>
      </w:r>
      <w:r>
        <w:t>DC/AC-faktoren) var steget betydeligt</w:t>
      </w:r>
      <w:r w:rsidR="006819DD">
        <w:t xml:space="preserve"> i takt med at prisen for paneler var faldet.</w:t>
      </w:r>
      <w:r>
        <w:t xml:space="preserve"> </w:t>
      </w:r>
      <w:r w:rsidR="009E2B35">
        <w:t xml:space="preserve">Hvorvidt </w:t>
      </w:r>
      <w:r>
        <w:t>DC/AC faktoren for de mindre anlæg</w:t>
      </w:r>
      <w:r w:rsidR="00917B79">
        <w:t>,</w:t>
      </w:r>
      <w:r>
        <w:t xml:space="preserve"> der er på marked i dag</w:t>
      </w:r>
      <w:r w:rsidR="0094184B">
        <w:t>,</w:t>
      </w:r>
      <w:r>
        <w:t xml:space="preserve"> </w:t>
      </w:r>
      <w:r w:rsidR="009E2B35">
        <w:t xml:space="preserve">har ændres sig siden 2015 </w:t>
      </w:r>
      <w:r>
        <w:t>undersøges derfor også.</w:t>
      </w:r>
    </w:p>
    <w:p w:rsidR="00916489" w:rsidRDefault="00916489">
      <w:pPr>
        <w:spacing w:after="200" w:line="276" w:lineRule="auto"/>
      </w:pPr>
      <w:r>
        <w:br w:type="page"/>
      </w:r>
    </w:p>
    <w:p w:rsidR="000A7134" w:rsidRPr="008B2A36" w:rsidRDefault="000A7134" w:rsidP="00143C1C">
      <w:pPr>
        <w:spacing w:after="200"/>
        <w:rPr>
          <w:b/>
        </w:rPr>
      </w:pPr>
      <w:r w:rsidRPr="008B2A36">
        <w:rPr>
          <w:b/>
        </w:rPr>
        <w:lastRenderedPageBreak/>
        <w:t xml:space="preserve">Indhentning af informationer </w:t>
      </w:r>
    </w:p>
    <w:p w:rsidR="00340F20" w:rsidRDefault="00251DB5" w:rsidP="00340F20">
      <w:pPr>
        <w:spacing w:after="200"/>
      </w:pPr>
      <w:r>
        <w:t>I</w:t>
      </w:r>
      <w:r w:rsidR="00340F20">
        <w:t xml:space="preserve">nformationer til opdateringen </w:t>
      </w:r>
      <w:r>
        <w:t xml:space="preserve">er indhentet </w:t>
      </w:r>
      <w:r w:rsidR="00340F20">
        <w:t>af to veje.</w:t>
      </w:r>
    </w:p>
    <w:p w:rsidR="00340F20" w:rsidRDefault="006D6C5F" w:rsidP="00EA13FD">
      <w:pPr>
        <w:pStyle w:val="ListParagraph"/>
        <w:numPr>
          <w:ilvl w:val="0"/>
          <w:numId w:val="2"/>
        </w:numPr>
        <w:spacing w:after="200"/>
      </w:pPr>
      <w:r>
        <w:t>F</w:t>
      </w:r>
      <w:r w:rsidR="00DB27AD">
        <w:t xml:space="preserve">orespørgsler hos </w:t>
      </w:r>
      <w:r w:rsidR="00251DB5">
        <w:t>fem</w:t>
      </w:r>
      <w:r w:rsidR="00340F20">
        <w:t xml:space="preserve"> store </w:t>
      </w:r>
      <w:r w:rsidR="00DB27AD">
        <w:t>importører</w:t>
      </w:r>
      <w:r w:rsidR="00916489">
        <w:t>[1]</w:t>
      </w:r>
      <w:r w:rsidR="00DB27AD">
        <w:t xml:space="preserve"> om </w:t>
      </w:r>
      <w:r w:rsidR="00340F20">
        <w:t>deres bud på forskel</w:t>
      </w:r>
      <w:r w:rsidR="00DB27AD">
        <w:t xml:space="preserve"> </w:t>
      </w:r>
      <w:r w:rsidR="008B2A36">
        <w:t xml:space="preserve">i pris </w:t>
      </w:r>
      <w:r w:rsidR="00340F20">
        <w:t>for paneler</w:t>
      </w:r>
      <w:r w:rsidR="00251DB5">
        <w:t xml:space="preserve"> mellem </w:t>
      </w:r>
      <w:r w:rsidR="008B2A36">
        <w:t xml:space="preserve">små og mellemstore anlæg og </w:t>
      </w:r>
      <w:r w:rsidR="00251DB5">
        <w:t>store anlæg</w:t>
      </w:r>
      <w:r w:rsidR="00340F20">
        <w:t xml:space="preserve">. Forespørgslen er fortaget af </w:t>
      </w:r>
      <w:r>
        <w:t>Jan Vedde</w:t>
      </w:r>
      <w:r w:rsidR="00340F20">
        <w:t xml:space="preserve"> i februar 2018.</w:t>
      </w:r>
    </w:p>
    <w:p w:rsidR="00251DB5" w:rsidRDefault="00251DB5" w:rsidP="008B2A36">
      <w:pPr>
        <w:pStyle w:val="ListParagraph"/>
        <w:spacing w:after="200"/>
      </w:pPr>
    </w:p>
    <w:p w:rsidR="00C53E6F" w:rsidRPr="00C53E6F" w:rsidRDefault="006D6C5F" w:rsidP="00EA13FD">
      <w:pPr>
        <w:pStyle w:val="ListParagraph"/>
        <w:numPr>
          <w:ilvl w:val="0"/>
          <w:numId w:val="2"/>
        </w:numPr>
        <w:spacing w:after="200"/>
        <w:rPr>
          <w:rStyle w:val="IntenseEmphasis"/>
          <w:b w:val="0"/>
          <w:bCs w:val="0"/>
          <w:i w:val="0"/>
          <w:iCs w:val="0"/>
          <w:color w:val="auto"/>
        </w:rPr>
      </w:pPr>
      <w:r w:rsidRPr="00C53E6F">
        <w:rPr>
          <w:rStyle w:val="IntenseEmphasis"/>
          <w:b w:val="0"/>
          <w:i w:val="0"/>
          <w:color w:val="auto"/>
        </w:rPr>
        <w:t>P</w:t>
      </w:r>
      <w:r w:rsidR="00251DB5" w:rsidRPr="00C53E6F">
        <w:rPr>
          <w:rStyle w:val="IntenseEmphasis"/>
          <w:b w:val="0"/>
          <w:i w:val="0"/>
          <w:color w:val="auto"/>
        </w:rPr>
        <w:t xml:space="preserve">å hjemmesider for tre store danske installatører af solcelleanlæg til private og erhverv </w:t>
      </w:r>
      <w:r w:rsidR="00251DB5">
        <w:rPr>
          <w:rStyle w:val="IntenseEmphasis"/>
          <w:b w:val="0"/>
          <w:i w:val="0"/>
          <w:color w:val="auto"/>
        </w:rPr>
        <w:t>er p</w:t>
      </w:r>
      <w:r w:rsidR="00DB27AD" w:rsidRPr="00C53E6F">
        <w:rPr>
          <w:rStyle w:val="IntenseEmphasis"/>
          <w:b w:val="0"/>
          <w:i w:val="0"/>
          <w:color w:val="auto"/>
        </w:rPr>
        <w:t xml:space="preserve">riser </w:t>
      </w:r>
      <w:r w:rsidRPr="00C53E6F">
        <w:rPr>
          <w:rStyle w:val="IntenseEmphasis"/>
          <w:b w:val="0"/>
          <w:i w:val="0"/>
          <w:color w:val="auto"/>
        </w:rPr>
        <w:t xml:space="preserve">for hhv. paneler </w:t>
      </w:r>
      <w:r w:rsidR="00C53E6F" w:rsidRPr="00C53E6F">
        <w:rPr>
          <w:rStyle w:val="IntenseEmphasis"/>
          <w:b w:val="0"/>
          <w:i w:val="0"/>
          <w:color w:val="auto"/>
        </w:rPr>
        <w:t xml:space="preserve">2a </w:t>
      </w:r>
      <w:r w:rsidRPr="00C53E6F">
        <w:rPr>
          <w:rStyle w:val="IntenseEmphasis"/>
          <w:b w:val="0"/>
          <w:i w:val="0"/>
          <w:color w:val="auto"/>
        </w:rPr>
        <w:t xml:space="preserve">og </w:t>
      </w:r>
      <w:r w:rsidR="00340F20" w:rsidRPr="00C53E6F">
        <w:rPr>
          <w:rStyle w:val="IntenseEmphasis"/>
          <w:b w:val="0"/>
          <w:i w:val="0"/>
          <w:color w:val="auto"/>
        </w:rPr>
        <w:t xml:space="preserve">hele </w:t>
      </w:r>
      <w:r w:rsidRPr="00C53E6F">
        <w:rPr>
          <w:rStyle w:val="IntenseEmphasis"/>
          <w:b w:val="0"/>
          <w:i w:val="0"/>
          <w:color w:val="auto"/>
        </w:rPr>
        <w:t>anlæg</w:t>
      </w:r>
      <w:r w:rsidR="00C53E6F" w:rsidRPr="00C53E6F">
        <w:rPr>
          <w:rStyle w:val="IntenseEmphasis"/>
          <w:b w:val="0"/>
          <w:i w:val="0"/>
          <w:color w:val="auto"/>
        </w:rPr>
        <w:t xml:space="preserve"> 2b</w:t>
      </w:r>
      <w:r w:rsidRPr="00C53E6F">
        <w:rPr>
          <w:rStyle w:val="IntenseEmphasis"/>
          <w:b w:val="0"/>
          <w:i w:val="0"/>
          <w:color w:val="auto"/>
        </w:rPr>
        <w:t xml:space="preserve"> fundet</w:t>
      </w:r>
      <w:r w:rsidR="00251DB5">
        <w:rPr>
          <w:rStyle w:val="IntenseEmphasis"/>
          <w:b w:val="0"/>
          <w:i w:val="0"/>
          <w:color w:val="auto"/>
        </w:rPr>
        <w:t>.</w:t>
      </w:r>
      <w:r w:rsidR="00340F20" w:rsidRPr="009D18F8">
        <w:rPr>
          <w:rStyle w:val="IntenseEmphasis"/>
          <w:b w:val="0"/>
          <w:i w:val="0"/>
          <w:color w:val="auto"/>
        </w:rPr>
        <w:t xml:space="preserve"> Panelpriser</w:t>
      </w:r>
      <w:r w:rsidR="00251DB5">
        <w:rPr>
          <w:rStyle w:val="IntenseEmphasis"/>
          <w:b w:val="0"/>
          <w:i w:val="0"/>
          <w:color w:val="auto"/>
        </w:rPr>
        <w:t>(2a)</w:t>
      </w:r>
      <w:r w:rsidR="00340F20" w:rsidRPr="009D18F8">
        <w:rPr>
          <w:rStyle w:val="IntenseEmphasis"/>
          <w:b w:val="0"/>
          <w:i w:val="0"/>
          <w:color w:val="auto"/>
        </w:rPr>
        <w:t xml:space="preserve"> er kun </w:t>
      </w:r>
      <w:proofErr w:type="gramStart"/>
      <w:r w:rsidR="00C048D8">
        <w:rPr>
          <w:rStyle w:val="IntenseEmphasis"/>
          <w:b w:val="0"/>
          <w:i w:val="0"/>
          <w:color w:val="auto"/>
        </w:rPr>
        <w:t xml:space="preserve">fundet </w:t>
      </w:r>
      <w:r w:rsidR="00340F20" w:rsidRPr="009D18F8">
        <w:rPr>
          <w:rStyle w:val="IntenseEmphasis"/>
          <w:b w:val="0"/>
          <w:i w:val="0"/>
          <w:color w:val="auto"/>
        </w:rPr>
        <w:t xml:space="preserve"> hos</w:t>
      </w:r>
      <w:proofErr w:type="gramEnd"/>
      <w:r w:rsidR="00340F20" w:rsidRPr="009D18F8">
        <w:rPr>
          <w:rStyle w:val="IntenseEmphasis"/>
          <w:b w:val="0"/>
          <w:i w:val="0"/>
          <w:color w:val="auto"/>
        </w:rPr>
        <w:t xml:space="preserve"> </w:t>
      </w:r>
      <w:r w:rsidR="00C84897" w:rsidRPr="009D18F8">
        <w:rPr>
          <w:rStyle w:val="IntenseEmphasis"/>
          <w:b w:val="0"/>
          <w:i w:val="0"/>
          <w:color w:val="auto"/>
        </w:rPr>
        <w:t>t</w:t>
      </w:r>
      <w:r w:rsidR="00917B79" w:rsidRPr="009D18F8">
        <w:rPr>
          <w:rStyle w:val="IntenseEmphasis"/>
          <w:b w:val="0"/>
          <w:i w:val="0"/>
          <w:color w:val="auto"/>
        </w:rPr>
        <w:t>o</w:t>
      </w:r>
      <w:r w:rsidR="00340F20" w:rsidRPr="009D18F8">
        <w:rPr>
          <w:rStyle w:val="IntenseEmphasis"/>
          <w:b w:val="0"/>
          <w:i w:val="0"/>
          <w:color w:val="auto"/>
        </w:rPr>
        <w:t xml:space="preserve"> </w:t>
      </w:r>
      <w:r w:rsidR="00C84897" w:rsidRPr="009D18F8">
        <w:rPr>
          <w:rStyle w:val="IntenseEmphasis"/>
          <w:b w:val="0"/>
          <w:i w:val="0"/>
          <w:color w:val="auto"/>
        </w:rPr>
        <w:t xml:space="preserve">af firmaerne og </w:t>
      </w:r>
      <w:r w:rsidR="008B2A36">
        <w:rPr>
          <w:rStyle w:val="IntenseEmphasis"/>
          <w:b w:val="0"/>
          <w:i w:val="0"/>
          <w:color w:val="auto"/>
        </w:rPr>
        <w:t xml:space="preserve">kun </w:t>
      </w:r>
      <w:r w:rsidR="00917B79" w:rsidRPr="009D18F8">
        <w:rPr>
          <w:rStyle w:val="IntenseEmphasis"/>
          <w:b w:val="0"/>
          <w:i w:val="0"/>
          <w:color w:val="auto"/>
        </w:rPr>
        <w:t xml:space="preserve">for </w:t>
      </w:r>
      <w:r w:rsidR="008B2A36">
        <w:rPr>
          <w:rStyle w:val="IntenseEmphasis"/>
          <w:b w:val="0"/>
          <w:i w:val="0"/>
          <w:color w:val="auto"/>
        </w:rPr>
        <w:t xml:space="preserve">paneler til </w:t>
      </w:r>
      <w:r w:rsidR="00251DB5">
        <w:rPr>
          <w:rStyle w:val="IntenseEmphasis"/>
          <w:b w:val="0"/>
          <w:i w:val="0"/>
          <w:color w:val="auto"/>
        </w:rPr>
        <w:t>små anlæg</w:t>
      </w:r>
      <w:r w:rsidR="00917B79" w:rsidRPr="009D18F8">
        <w:rPr>
          <w:rStyle w:val="IntenseEmphasis"/>
          <w:b w:val="0"/>
          <w:i w:val="0"/>
          <w:color w:val="auto"/>
        </w:rPr>
        <w:t xml:space="preserve"> </w:t>
      </w:r>
      <w:r w:rsidR="00C84897" w:rsidRPr="009D18F8">
        <w:rPr>
          <w:rStyle w:val="IntenseEmphasis"/>
          <w:b w:val="0"/>
          <w:i w:val="0"/>
          <w:color w:val="auto"/>
        </w:rPr>
        <w:t>til private.</w:t>
      </w:r>
      <w:r w:rsidR="000A59B8" w:rsidRPr="00C53E6F">
        <w:rPr>
          <w:rStyle w:val="IntenseEmphasis"/>
          <w:b w:val="0"/>
          <w:i w:val="0"/>
          <w:color w:val="auto"/>
        </w:rPr>
        <w:t xml:space="preserve"> </w:t>
      </w:r>
      <w:r w:rsidR="00917B79" w:rsidRPr="00C53E6F">
        <w:rPr>
          <w:rStyle w:val="IntenseEmphasis"/>
          <w:b w:val="0"/>
          <w:i w:val="0"/>
          <w:color w:val="auto"/>
        </w:rPr>
        <w:t xml:space="preserve">For anlæg fra alle tre installatører findes DC/AC </w:t>
      </w:r>
      <w:r w:rsidR="000A59B8" w:rsidRPr="00C53E6F">
        <w:rPr>
          <w:rStyle w:val="IntenseEmphasis"/>
          <w:b w:val="0"/>
          <w:i w:val="0"/>
          <w:color w:val="auto"/>
        </w:rPr>
        <w:t>forholdet</w:t>
      </w:r>
      <w:r w:rsidR="00AD4A7A" w:rsidRPr="00C53E6F">
        <w:rPr>
          <w:rStyle w:val="IntenseEmphasis"/>
          <w:b w:val="0"/>
          <w:i w:val="0"/>
          <w:color w:val="auto"/>
        </w:rPr>
        <w:t>.</w:t>
      </w:r>
      <w:r w:rsidR="00C84897" w:rsidRPr="00C53E6F">
        <w:rPr>
          <w:rStyle w:val="IntenseEmphasis"/>
          <w:b w:val="0"/>
          <w:i w:val="0"/>
          <w:color w:val="auto"/>
        </w:rPr>
        <w:t xml:space="preserve"> </w:t>
      </w:r>
      <w:r w:rsidR="00340F20" w:rsidRPr="00C53E6F">
        <w:rPr>
          <w:rStyle w:val="IntenseEmphasis"/>
          <w:b w:val="0"/>
          <w:i w:val="0"/>
          <w:color w:val="auto"/>
        </w:rPr>
        <w:t>Undersøgelse er fortaget af Energistyrelsen og websiderne er besøgt 1.-5. marts 2018.</w:t>
      </w:r>
    </w:p>
    <w:p w:rsidR="00C53E6F" w:rsidRPr="008022F6" w:rsidRDefault="000C47E1" w:rsidP="008022F6">
      <w:pPr>
        <w:pStyle w:val="Default"/>
        <w:rPr>
          <w:rStyle w:val="IntenseEmphasis"/>
          <w:b w:val="0"/>
          <w:i w:val="0"/>
          <w:color w:val="auto"/>
        </w:rPr>
      </w:pPr>
      <w:r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>D</w:t>
      </w:r>
      <w:r w:rsidR="00C53E6F"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 xml:space="preserve">erudover er </w:t>
      </w:r>
      <w:r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 xml:space="preserve">informationer hentet fra </w:t>
      </w:r>
      <w:r w:rsidR="00916489"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>studie af globale solcellepriser og udviklingen af disse</w:t>
      </w:r>
      <w:r w:rsidR="00231212"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 xml:space="preserve">, </w:t>
      </w:r>
      <w:r w:rsidR="00C53E6F"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>IRENA, januar 2018</w:t>
      </w:r>
      <w:r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 xml:space="preserve"> [2]</w:t>
      </w:r>
      <w:r w:rsidR="00903CC7" w:rsidRP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 xml:space="preserve"> og </w:t>
      </w:r>
      <w:r w:rsidR="008022F6">
        <w:rPr>
          <w:rStyle w:val="IntenseEmphasis"/>
          <w:rFonts w:ascii="Arial" w:hAnsi="Arial" w:cstheme="minorBidi"/>
          <w:b w:val="0"/>
          <w:i w:val="0"/>
          <w:color w:val="auto"/>
          <w:sz w:val="20"/>
          <w:szCs w:val="22"/>
          <w:lang w:val="da-DK"/>
        </w:rPr>
        <w:t>JRC 2018 [4]</w:t>
      </w:r>
      <w:r w:rsidR="00C53E6F" w:rsidRPr="008022F6">
        <w:rPr>
          <w:rStyle w:val="IntenseEmphasis"/>
          <w:b w:val="0"/>
          <w:i w:val="0"/>
          <w:color w:val="auto"/>
        </w:rPr>
        <w:t>.</w:t>
      </w:r>
    </w:p>
    <w:p w:rsidR="00917B79" w:rsidRDefault="00917B79" w:rsidP="00917B79">
      <w:pPr>
        <w:spacing w:after="200"/>
        <w:rPr>
          <w:rStyle w:val="IntenseEmphasis"/>
          <w:b w:val="0"/>
          <w:bCs w:val="0"/>
          <w:i w:val="0"/>
          <w:iCs w:val="0"/>
          <w:color w:val="auto"/>
        </w:rPr>
      </w:pPr>
    </w:p>
    <w:p w:rsidR="00917B79" w:rsidRDefault="006819DD" w:rsidP="00917B79">
      <w:pPr>
        <w:spacing w:after="200"/>
        <w:rPr>
          <w:rStyle w:val="IntenseEmphasis"/>
          <w:bCs w:val="0"/>
          <w:i w:val="0"/>
          <w:iCs w:val="0"/>
          <w:color w:val="auto"/>
        </w:rPr>
      </w:pPr>
      <w:r w:rsidRPr="006819DD">
        <w:rPr>
          <w:rStyle w:val="IntenseEmphasis"/>
          <w:bCs w:val="0"/>
          <w:i w:val="0"/>
          <w:iCs w:val="0"/>
          <w:color w:val="auto"/>
        </w:rPr>
        <w:t>Analyse af pris</w:t>
      </w:r>
      <w:r>
        <w:rPr>
          <w:rStyle w:val="IntenseEmphasis"/>
          <w:bCs w:val="0"/>
          <w:i w:val="0"/>
          <w:iCs w:val="0"/>
          <w:color w:val="auto"/>
        </w:rPr>
        <w:t xml:space="preserve"> og forslag til ændring af teknologikatalogets finansielle data</w:t>
      </w:r>
      <w:r w:rsidRPr="006819DD">
        <w:rPr>
          <w:rStyle w:val="IntenseEmphasis"/>
          <w:bCs w:val="0"/>
          <w:i w:val="0"/>
          <w:iCs w:val="0"/>
          <w:color w:val="auto"/>
        </w:rPr>
        <w:t xml:space="preserve"> </w:t>
      </w:r>
    </w:p>
    <w:p w:rsidR="00137696" w:rsidRDefault="00137696" w:rsidP="00917B79">
      <w:pPr>
        <w:spacing w:after="200"/>
        <w:rPr>
          <w:rFonts w:ascii="Calibri" w:eastAsia="Times New Roman" w:hAnsi="Calibri" w:cs="Times New Roman"/>
          <w:color w:val="000000"/>
          <w:sz w:val="22"/>
          <w:lang w:val="en-GB" w:eastAsia="en-GB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 xml:space="preserve">Hvor intet andet er angivet er priser i notatet her i 2015 priser. Forespørgslen 1. viser, at der blandt udspurgte importører er en forventning om, at panelpriserne for private (omk. 6kW) og erhverv (50-500kW) er hhv. ca. 20 % og ca. 10 % højere end for store anlæg (&gt;1MW), det skyldes, dels, at importprisen bliver højere, når der importeres mindre mængder. Dels, at der er en omkostning i distributørleddet. Forholdsvis få af 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af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</w:rPr>
        <w:t xml:space="preserve"> importørerne i 1. har også angivet forventning til panel pris for store anlæg, som det ses ligger den på i gennemsnit 0,33 €/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Wp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</w:rPr>
        <w:t>(i 2015 priser). Hvilket stemmer godt overens med IRENA 2018[2], der angiver at de billigste panelpriser i 2017 lå på omkring 0,3 €/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W</w:t>
      </w:r>
      <w:r w:rsidRPr="00137696">
        <w:rPr>
          <w:rStyle w:val="IntenseEmphasis"/>
          <w:b w:val="0"/>
          <w:bCs w:val="0"/>
          <w:i w:val="0"/>
          <w:iCs w:val="0"/>
          <w:color w:val="auto"/>
          <w:vertAlign w:val="subscript"/>
        </w:rPr>
        <w:t>p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</w:rPr>
        <w:t>, mens priserne for paneler af lidt bedre kvalitet lå omkring 0,4 €/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W</w:t>
      </w:r>
      <w:r w:rsidRPr="00137696">
        <w:rPr>
          <w:rStyle w:val="IntenseEmphasis"/>
          <w:b w:val="0"/>
          <w:bCs w:val="0"/>
          <w:i w:val="0"/>
          <w:iCs w:val="0"/>
          <w:color w:val="auto"/>
          <w:vertAlign w:val="subscript"/>
        </w:rPr>
        <w:t>p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  <w:vertAlign w:val="subscript"/>
        </w:rPr>
        <w:t>.</w:t>
      </w:r>
      <w:r w:rsidRPr="000C47E1">
        <w:rPr>
          <w:rFonts w:ascii="Calibri" w:eastAsia="Times New Roman" w:hAnsi="Calibri" w:cs="Times New Roman"/>
          <w:color w:val="000000"/>
          <w:sz w:val="22"/>
          <w:lang w:val="en-GB" w:eastAsia="en-GB"/>
        </w:rPr>
        <w:t> </w:t>
      </w:r>
    </w:p>
    <w:p w:rsidR="00231212" w:rsidRPr="006819DD" w:rsidRDefault="00231212" w:rsidP="00917B79">
      <w:pPr>
        <w:spacing w:after="200"/>
        <w:rPr>
          <w:rStyle w:val="IntenseEmphasis"/>
          <w:bCs w:val="0"/>
          <w:i w:val="0"/>
          <w:iCs w:val="0"/>
          <w:color w:val="auto"/>
        </w:rPr>
      </w:pP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2096"/>
        <w:gridCol w:w="1876"/>
        <w:gridCol w:w="1847"/>
        <w:gridCol w:w="1850"/>
        <w:gridCol w:w="1851"/>
      </w:tblGrid>
      <w:tr w:rsidR="000C47E1" w:rsidRPr="000C47E1" w:rsidTr="00137696">
        <w:trPr>
          <w:trHeight w:val="9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0C47E1" w:rsidRPr="000C47E1" w:rsidRDefault="000C47E1" w:rsidP="000C47E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Utility scale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Commercial &amp; Industrial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Residential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Supplier #1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[%]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5%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20-25%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Supplier #2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[€/</w:t>
            </w:r>
            <w:proofErr w:type="spellStart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W</w:t>
            </w:r>
            <w:r w:rsidRPr="00137696">
              <w:rPr>
                <w:rFonts w:ascii="Calibri" w:eastAsia="Times New Roman" w:hAnsi="Calibri" w:cs="Times New Roman"/>
                <w:color w:val="000000"/>
                <w:sz w:val="22"/>
                <w:vertAlign w:val="subscript"/>
                <w:lang w:val="en-GB" w:eastAsia="en-GB"/>
              </w:rPr>
              <w:t>p</w:t>
            </w:r>
            <w:proofErr w:type="spellEnd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]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0.325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0.335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0.345 – 0.35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  <w:t>Mono Standard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[€/</w:t>
            </w:r>
            <w:proofErr w:type="spellStart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W</w:t>
            </w:r>
            <w:r w:rsidR="00137696" w:rsidRPr="00AA22BC">
              <w:rPr>
                <w:rFonts w:ascii="Calibri" w:eastAsia="Times New Roman" w:hAnsi="Calibri" w:cs="Times New Roman"/>
                <w:color w:val="000000"/>
                <w:sz w:val="22"/>
                <w:vertAlign w:val="subscript"/>
                <w:lang w:val="en-GB" w:eastAsia="en-GB"/>
              </w:rPr>
              <w:t>p</w:t>
            </w:r>
            <w:proofErr w:type="spellEnd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]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  <w:t>Mono Perc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[€/</w:t>
            </w:r>
            <w:proofErr w:type="spellStart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Wp</w:t>
            </w:r>
            <w:proofErr w:type="spellEnd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]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0.45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FOB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[%]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100%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3%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7%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Supplier #3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[%]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5-8% (10%)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20%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[$/</w:t>
            </w:r>
            <w:proofErr w:type="spellStart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W</w:t>
            </w:r>
            <w:r w:rsidR="00137696" w:rsidRPr="00AA22BC">
              <w:rPr>
                <w:rFonts w:ascii="Calibri" w:eastAsia="Times New Roman" w:hAnsi="Calibri" w:cs="Times New Roman"/>
                <w:color w:val="000000"/>
                <w:sz w:val="22"/>
                <w:vertAlign w:val="subscript"/>
                <w:lang w:val="en-GB" w:eastAsia="en-GB"/>
              </w:rPr>
              <w:t>p</w:t>
            </w:r>
            <w:proofErr w:type="spellEnd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]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0.30-0.38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 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Supplier #4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[%]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0.2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Supplier #5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[€c/</w:t>
            </w:r>
            <w:proofErr w:type="spellStart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W</w:t>
            </w:r>
            <w:r w:rsidR="00137696" w:rsidRPr="00AA22BC">
              <w:rPr>
                <w:rFonts w:ascii="Calibri" w:eastAsia="Times New Roman" w:hAnsi="Calibri" w:cs="Times New Roman"/>
                <w:color w:val="000000"/>
                <w:sz w:val="22"/>
                <w:vertAlign w:val="subscript"/>
                <w:lang w:val="en-GB" w:eastAsia="en-GB"/>
              </w:rPr>
              <w:t>p</w:t>
            </w:r>
            <w:proofErr w:type="spellEnd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]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0.42-0.46</w:t>
            </w:r>
          </w:p>
        </w:tc>
      </w:tr>
      <w:tr w:rsidR="000C47E1" w:rsidRPr="000C47E1" w:rsidTr="000C47E1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[%]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100%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14-25%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14-25%</w:t>
            </w:r>
          </w:p>
        </w:tc>
      </w:tr>
      <w:tr w:rsidR="000C47E1" w:rsidRPr="000C47E1" w:rsidTr="000C47E1">
        <w:trPr>
          <w:trHeight w:val="315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3218EA" w:rsidP="003218E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Gennemsnit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[%]/[2015€c/</w:t>
            </w:r>
            <w:proofErr w:type="spellStart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W</w:t>
            </w:r>
            <w:r w:rsidR="00137696" w:rsidRPr="00AA22BC">
              <w:rPr>
                <w:rFonts w:ascii="Calibri" w:eastAsia="Times New Roman" w:hAnsi="Calibri" w:cs="Times New Roman"/>
                <w:color w:val="000000"/>
                <w:sz w:val="22"/>
                <w:vertAlign w:val="subscript"/>
                <w:lang w:val="en-GB" w:eastAsia="en-GB"/>
              </w:rPr>
              <w:t>p</w:t>
            </w:r>
            <w:proofErr w:type="spellEnd"/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]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10%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7E1" w:rsidRPr="000C47E1" w:rsidRDefault="000C47E1" w:rsidP="000C47E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0C47E1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19%</w:t>
            </w:r>
          </w:p>
        </w:tc>
      </w:tr>
    </w:tbl>
    <w:p w:rsidR="008B5B5E" w:rsidRPr="006D6C5F" w:rsidRDefault="000D34C1" w:rsidP="008B2A36">
      <w:pPr>
        <w:pStyle w:val="Caption"/>
        <w:rPr>
          <w:rStyle w:val="IntenseEmphasis"/>
          <w:i w:val="0"/>
          <w:iCs w:val="0"/>
          <w:color w:val="auto"/>
        </w:rPr>
      </w:pPr>
      <w:r>
        <w:t>Tab</w:t>
      </w:r>
      <w:r w:rsidR="00916489">
        <w:t>el</w:t>
      </w:r>
      <w:r>
        <w:t xml:space="preserve"> </w:t>
      </w:r>
      <w:r w:rsidR="00E02571">
        <w:fldChar w:fldCharType="begin"/>
      </w:r>
      <w:r w:rsidR="00E02571">
        <w:instrText xml:space="preserve"> SEQ Table \* ARABIC </w:instrText>
      </w:r>
      <w:r w:rsidR="00E02571">
        <w:fldChar w:fldCharType="separate"/>
      </w:r>
      <w:r w:rsidR="00B94204">
        <w:rPr>
          <w:noProof/>
        </w:rPr>
        <w:t>1</w:t>
      </w:r>
      <w:r w:rsidR="00E02571">
        <w:rPr>
          <w:noProof/>
        </w:rPr>
        <w:fldChar w:fldCharType="end"/>
      </w:r>
      <w:r>
        <w:t>: Informationer fra 1. forespørgsel hos fem solcelle importører [1] januar 2018</w:t>
      </w:r>
    </w:p>
    <w:p w:rsidR="000D34C1" w:rsidRDefault="00F21BB2" w:rsidP="00340F20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Sammenligning af </w:t>
      </w:r>
      <w:r w:rsidR="00570AAE">
        <w:rPr>
          <w:rStyle w:val="IntenseEmphasis"/>
          <w:b w:val="0"/>
          <w:i w:val="0"/>
          <w:color w:val="auto"/>
        </w:rPr>
        <w:t>i</w:t>
      </w:r>
      <w:r w:rsidR="00340F20">
        <w:rPr>
          <w:rStyle w:val="IntenseEmphasis"/>
          <w:b w:val="0"/>
          <w:i w:val="0"/>
          <w:color w:val="auto"/>
        </w:rPr>
        <w:t>ndhent</w:t>
      </w:r>
      <w:r w:rsidR="00570AAE">
        <w:rPr>
          <w:rStyle w:val="IntenseEmphasis"/>
          <w:b w:val="0"/>
          <w:i w:val="0"/>
          <w:color w:val="auto"/>
        </w:rPr>
        <w:t>ede</w:t>
      </w:r>
      <w:r w:rsidR="00340F20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>panel</w:t>
      </w:r>
      <w:r w:rsidR="00340F20">
        <w:rPr>
          <w:rStyle w:val="IntenseEmphasis"/>
          <w:b w:val="0"/>
          <w:i w:val="0"/>
          <w:color w:val="auto"/>
        </w:rPr>
        <w:t>priser</w:t>
      </w:r>
      <w:r w:rsidR="00231212">
        <w:rPr>
          <w:rStyle w:val="IntenseEmphasis"/>
          <w:b w:val="0"/>
          <w:i w:val="0"/>
          <w:color w:val="auto"/>
        </w:rPr>
        <w:t xml:space="preserve"> (2a</w:t>
      </w:r>
      <w:r w:rsidR="000D34C1">
        <w:rPr>
          <w:rStyle w:val="IntenseEmphasis"/>
          <w:b w:val="0"/>
          <w:i w:val="0"/>
          <w:color w:val="auto"/>
        </w:rPr>
        <w:t xml:space="preserve">) med </w:t>
      </w:r>
      <w:r w:rsidR="00632422">
        <w:rPr>
          <w:rStyle w:val="IntenseEmphasis"/>
          <w:b w:val="0"/>
          <w:i w:val="0"/>
          <w:color w:val="auto"/>
        </w:rPr>
        <w:t xml:space="preserve">forventede </w:t>
      </w:r>
      <w:r w:rsidR="000D34C1">
        <w:rPr>
          <w:rStyle w:val="IntenseEmphasis"/>
          <w:b w:val="0"/>
          <w:i w:val="0"/>
          <w:color w:val="auto"/>
        </w:rPr>
        <w:t xml:space="preserve">importpriser </w:t>
      </w:r>
      <w:r w:rsidR="00632422">
        <w:rPr>
          <w:rStyle w:val="IntenseEmphasis"/>
          <w:b w:val="0"/>
          <w:i w:val="0"/>
          <w:color w:val="auto"/>
        </w:rPr>
        <w:t xml:space="preserve">fra </w:t>
      </w:r>
      <w:r w:rsidR="000D34C1">
        <w:rPr>
          <w:rStyle w:val="IntenseEmphasis"/>
          <w:b w:val="0"/>
          <w:i w:val="0"/>
          <w:color w:val="auto"/>
        </w:rPr>
        <w:t xml:space="preserve">1. </w:t>
      </w:r>
      <w:r w:rsidR="008B09EC">
        <w:rPr>
          <w:rStyle w:val="IntenseEmphasis"/>
          <w:b w:val="0"/>
          <w:i w:val="0"/>
          <w:color w:val="auto"/>
        </w:rPr>
        <w:t>viser</w:t>
      </w:r>
      <w:r w:rsidR="00FA3F72">
        <w:rPr>
          <w:rStyle w:val="IntenseEmphasis"/>
          <w:b w:val="0"/>
          <w:i w:val="0"/>
          <w:color w:val="auto"/>
        </w:rPr>
        <w:t>,</w:t>
      </w:r>
      <w:r w:rsidR="008B09EC">
        <w:rPr>
          <w:rStyle w:val="IntenseEmphasis"/>
          <w:b w:val="0"/>
          <w:i w:val="0"/>
          <w:color w:val="auto"/>
        </w:rPr>
        <w:t xml:space="preserve"> </w:t>
      </w:r>
      <w:r w:rsidR="00340F20">
        <w:rPr>
          <w:rStyle w:val="IntenseEmphasis"/>
          <w:b w:val="0"/>
          <w:i w:val="0"/>
          <w:color w:val="auto"/>
        </w:rPr>
        <w:t xml:space="preserve">at </w:t>
      </w:r>
      <w:r w:rsidR="00632422">
        <w:rPr>
          <w:rStyle w:val="IntenseEmphasis"/>
          <w:b w:val="0"/>
          <w:i w:val="0"/>
          <w:color w:val="auto"/>
        </w:rPr>
        <w:t>panel</w:t>
      </w:r>
      <w:r w:rsidR="005D79EC">
        <w:rPr>
          <w:rStyle w:val="IntenseEmphasis"/>
          <w:b w:val="0"/>
          <w:i w:val="0"/>
          <w:color w:val="auto"/>
        </w:rPr>
        <w:t>prise</w:t>
      </w:r>
      <w:r w:rsidR="00917B79">
        <w:rPr>
          <w:rStyle w:val="IntenseEmphasis"/>
          <w:b w:val="0"/>
          <w:i w:val="0"/>
          <w:color w:val="auto"/>
        </w:rPr>
        <w:t>r</w:t>
      </w:r>
      <w:r w:rsidR="005D79EC">
        <w:rPr>
          <w:rStyle w:val="IntenseEmphasis"/>
          <w:b w:val="0"/>
          <w:i w:val="0"/>
          <w:color w:val="auto"/>
        </w:rPr>
        <w:t>n</w:t>
      </w:r>
      <w:r w:rsidR="00917B79">
        <w:rPr>
          <w:rStyle w:val="IntenseEmphasis"/>
          <w:b w:val="0"/>
          <w:i w:val="0"/>
          <w:color w:val="auto"/>
        </w:rPr>
        <w:t>e</w:t>
      </w:r>
      <w:r w:rsidR="005D79EC">
        <w:rPr>
          <w:rStyle w:val="IntenseEmphasis"/>
          <w:b w:val="0"/>
          <w:i w:val="0"/>
          <w:color w:val="auto"/>
        </w:rPr>
        <w:t xml:space="preserve"> for private</w:t>
      </w:r>
      <w:r w:rsidR="003B241C">
        <w:rPr>
          <w:rStyle w:val="IntenseEmphasis"/>
          <w:b w:val="0"/>
          <w:i w:val="0"/>
          <w:color w:val="auto"/>
        </w:rPr>
        <w:t>,</w:t>
      </w:r>
      <w:r w:rsidR="00231212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>fundet på hjemmesiderne</w:t>
      </w:r>
      <w:r w:rsidR="00C048D8">
        <w:rPr>
          <w:rStyle w:val="IntenseEmphasis"/>
          <w:b w:val="0"/>
          <w:i w:val="0"/>
          <w:color w:val="auto"/>
        </w:rPr>
        <w:t>(</w:t>
      </w:r>
      <w:r w:rsidR="000D34C1">
        <w:rPr>
          <w:rStyle w:val="IntenseEmphasis"/>
          <w:b w:val="0"/>
          <w:i w:val="0"/>
          <w:color w:val="auto"/>
        </w:rPr>
        <w:t>2a</w:t>
      </w:r>
      <w:r w:rsidR="00C048D8">
        <w:rPr>
          <w:rStyle w:val="IntenseEmphasis"/>
          <w:b w:val="0"/>
          <w:i w:val="0"/>
          <w:color w:val="auto"/>
        </w:rPr>
        <w:t>)</w:t>
      </w:r>
      <w:r w:rsidR="003B241C">
        <w:rPr>
          <w:rStyle w:val="IntenseEmphasis"/>
          <w:b w:val="0"/>
          <w:i w:val="0"/>
          <w:color w:val="auto"/>
        </w:rPr>
        <w:t>,</w:t>
      </w:r>
      <w:r>
        <w:rPr>
          <w:rStyle w:val="IntenseEmphasis"/>
          <w:b w:val="0"/>
          <w:i w:val="0"/>
          <w:color w:val="auto"/>
        </w:rPr>
        <w:t xml:space="preserve"> </w:t>
      </w:r>
      <w:r w:rsidR="00C801C9">
        <w:rPr>
          <w:rStyle w:val="IntenseEmphasis"/>
          <w:b w:val="0"/>
          <w:i w:val="0"/>
          <w:color w:val="auto"/>
        </w:rPr>
        <w:t xml:space="preserve">er </w:t>
      </w:r>
      <w:r w:rsidR="005D79EC">
        <w:rPr>
          <w:rStyle w:val="IntenseEmphasis"/>
          <w:b w:val="0"/>
          <w:i w:val="0"/>
          <w:color w:val="auto"/>
        </w:rPr>
        <w:t>omkring 2 gange panelprisen for store anlæg</w:t>
      </w:r>
      <w:r w:rsidR="00570AAE">
        <w:rPr>
          <w:rStyle w:val="IntenseEmphasis"/>
          <w:b w:val="0"/>
          <w:i w:val="0"/>
          <w:color w:val="auto"/>
        </w:rPr>
        <w:t xml:space="preserve"> fundet ved 1.</w:t>
      </w:r>
      <w:r w:rsidR="008B09EC">
        <w:rPr>
          <w:rStyle w:val="IntenseEmphasis"/>
          <w:b w:val="0"/>
          <w:i w:val="0"/>
          <w:color w:val="auto"/>
        </w:rPr>
        <w:t xml:space="preserve"> </w:t>
      </w:r>
    </w:p>
    <w:p w:rsidR="000D34C1" w:rsidRPr="008B2A36" w:rsidRDefault="003B241C" w:rsidP="00340F20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lastRenderedPageBreak/>
        <w:t xml:space="preserve">Denne forskel er jo betydelig større end de </w:t>
      </w:r>
      <w:r w:rsidR="003C64B2">
        <w:rPr>
          <w:rStyle w:val="IntenseEmphasis"/>
          <w:b w:val="0"/>
          <w:i w:val="0"/>
          <w:color w:val="auto"/>
        </w:rPr>
        <w:t xml:space="preserve">+10 % og </w:t>
      </w:r>
      <w:r>
        <w:rPr>
          <w:rStyle w:val="IntenseEmphasis"/>
          <w:b w:val="0"/>
          <w:i w:val="0"/>
          <w:color w:val="auto"/>
        </w:rPr>
        <w:t xml:space="preserve">+20 % fundet </w:t>
      </w:r>
      <w:r w:rsidR="003C64B2">
        <w:rPr>
          <w:rStyle w:val="IntenseEmphasis"/>
          <w:b w:val="0"/>
          <w:i w:val="0"/>
          <w:color w:val="auto"/>
        </w:rPr>
        <w:t xml:space="preserve">under </w:t>
      </w:r>
      <w:r>
        <w:rPr>
          <w:rStyle w:val="IntenseEmphasis"/>
          <w:b w:val="0"/>
          <w:i w:val="0"/>
          <w:color w:val="auto"/>
        </w:rPr>
        <w:t>1.</w:t>
      </w:r>
      <w:r w:rsidR="00570AAE">
        <w:rPr>
          <w:rStyle w:val="IntenseEmphasis"/>
          <w:b w:val="0"/>
          <w:i w:val="0"/>
          <w:color w:val="auto"/>
        </w:rPr>
        <w:t xml:space="preserve"> </w:t>
      </w:r>
      <w:r w:rsidR="00B77EBA">
        <w:rPr>
          <w:rStyle w:val="IntenseEmphasis"/>
          <w:b w:val="0"/>
          <w:i w:val="0"/>
          <w:color w:val="auto"/>
        </w:rPr>
        <w:t>Den st</w:t>
      </w:r>
      <w:r>
        <w:rPr>
          <w:rStyle w:val="IntenseEmphasis"/>
          <w:b w:val="0"/>
          <w:i w:val="0"/>
          <w:color w:val="auto"/>
        </w:rPr>
        <w:t>ørre</w:t>
      </w:r>
      <w:r w:rsidR="00B77EBA">
        <w:rPr>
          <w:rStyle w:val="IntenseEmphasis"/>
          <w:b w:val="0"/>
          <w:i w:val="0"/>
          <w:color w:val="auto"/>
        </w:rPr>
        <w:t xml:space="preserve"> forskel </w:t>
      </w:r>
      <w:r>
        <w:rPr>
          <w:rStyle w:val="IntenseEmphasis"/>
          <w:b w:val="0"/>
          <w:i w:val="0"/>
          <w:color w:val="auto"/>
        </w:rPr>
        <w:t>i</w:t>
      </w:r>
      <w:r w:rsidR="00B77EBA">
        <w:rPr>
          <w:rStyle w:val="IntenseEmphasis"/>
          <w:b w:val="0"/>
          <w:i w:val="0"/>
          <w:color w:val="auto"/>
        </w:rPr>
        <w:t xml:space="preserve"> priserne kan begrundes i</w:t>
      </w:r>
      <w:r w:rsidR="00EF04F1">
        <w:rPr>
          <w:rStyle w:val="IntenseEmphasis"/>
          <w:b w:val="0"/>
          <w:i w:val="0"/>
          <w:color w:val="auto"/>
        </w:rPr>
        <w:t>,</w:t>
      </w:r>
      <w:r w:rsidR="00B77EBA">
        <w:rPr>
          <w:rStyle w:val="IntenseEmphasis"/>
          <w:b w:val="0"/>
          <w:i w:val="0"/>
          <w:color w:val="auto"/>
        </w:rPr>
        <w:t xml:space="preserve"> at </w:t>
      </w:r>
      <w:r w:rsidR="009D18F8">
        <w:rPr>
          <w:rStyle w:val="IntenseEmphasis"/>
          <w:b w:val="0"/>
          <w:i w:val="0"/>
          <w:color w:val="auto"/>
        </w:rPr>
        <w:t>importør/</w:t>
      </w:r>
      <w:r w:rsidR="000D34C1">
        <w:rPr>
          <w:rStyle w:val="IntenseEmphasis"/>
          <w:b w:val="0"/>
          <w:i w:val="0"/>
          <w:color w:val="auto"/>
        </w:rPr>
        <w:t>leverandøren</w:t>
      </w:r>
      <w:r w:rsidR="009D18F8">
        <w:rPr>
          <w:rStyle w:val="IntenseEmphasis"/>
          <w:b w:val="0"/>
          <w:i w:val="0"/>
          <w:color w:val="auto"/>
        </w:rPr>
        <w:t>/installatøren,</w:t>
      </w:r>
      <w:r w:rsidR="000D34C1">
        <w:rPr>
          <w:rStyle w:val="IntenseEmphasis"/>
          <w:b w:val="0"/>
          <w:i w:val="0"/>
          <w:color w:val="auto"/>
        </w:rPr>
        <w:t xml:space="preserve"> </w:t>
      </w:r>
      <w:r w:rsidR="009D18F8">
        <w:rPr>
          <w:rStyle w:val="IntenseEmphasis"/>
          <w:b w:val="0"/>
          <w:i w:val="0"/>
          <w:color w:val="auto"/>
        </w:rPr>
        <w:t xml:space="preserve">der sælger paneler til private/erhverv </w:t>
      </w:r>
      <w:r w:rsidR="000D34C1">
        <w:rPr>
          <w:rStyle w:val="IntenseEmphasis"/>
          <w:b w:val="0"/>
          <w:i w:val="0"/>
          <w:color w:val="auto"/>
        </w:rPr>
        <w:t xml:space="preserve">tilfører produktet </w:t>
      </w:r>
      <w:r w:rsidR="000D34C1" w:rsidRPr="00924B41">
        <w:rPr>
          <w:rStyle w:val="IntenseEmphasis"/>
          <w:b w:val="0"/>
          <w:i w:val="0"/>
          <w:color w:val="auto"/>
        </w:rPr>
        <w:t>værdi</w:t>
      </w:r>
      <w:r w:rsidR="00632422" w:rsidRPr="00924B41">
        <w:rPr>
          <w:rStyle w:val="IntenseEmphasis"/>
          <w:b w:val="0"/>
          <w:i w:val="0"/>
          <w:color w:val="auto"/>
        </w:rPr>
        <w:t>,</w:t>
      </w:r>
      <w:r w:rsidR="000D34C1" w:rsidRPr="00924B41">
        <w:rPr>
          <w:rStyle w:val="IntenseEmphasis"/>
          <w:b w:val="0"/>
          <w:i w:val="0"/>
          <w:color w:val="auto"/>
        </w:rPr>
        <w:t xml:space="preserve"> </w:t>
      </w:r>
      <w:r w:rsidR="000D34C1" w:rsidRPr="008B2A36">
        <w:rPr>
          <w:rStyle w:val="IntenseEmphasis"/>
          <w:b w:val="0"/>
          <w:i w:val="0"/>
          <w:color w:val="auto"/>
        </w:rPr>
        <w:t>i</w:t>
      </w:r>
      <w:r w:rsidR="009D18F8" w:rsidRPr="008B2A36">
        <w:rPr>
          <w:rStyle w:val="IntenseEmphasis"/>
          <w:b w:val="0"/>
          <w:i w:val="0"/>
          <w:color w:val="auto"/>
        </w:rPr>
        <w:t xml:space="preserve"> </w:t>
      </w:r>
      <w:r w:rsidR="000D34C1" w:rsidRPr="008B2A36">
        <w:rPr>
          <w:rStyle w:val="IntenseEmphasis"/>
          <w:b w:val="0"/>
          <w:i w:val="0"/>
          <w:color w:val="auto"/>
        </w:rPr>
        <w:t xml:space="preserve">det </w:t>
      </w:r>
      <w:r w:rsidR="009D18F8" w:rsidRPr="008B2A36">
        <w:rPr>
          <w:rStyle w:val="IntenseEmphasis"/>
          <w:b w:val="0"/>
          <w:i w:val="0"/>
          <w:color w:val="auto"/>
        </w:rPr>
        <w:t xml:space="preserve">de </w:t>
      </w:r>
      <w:r w:rsidR="000D34C1" w:rsidRPr="008B2A36">
        <w:rPr>
          <w:rStyle w:val="IntenseEmphasis"/>
          <w:b w:val="0"/>
          <w:i w:val="0"/>
          <w:color w:val="auto"/>
        </w:rPr>
        <w:t xml:space="preserve">indestår for garanti </w:t>
      </w:r>
      <w:r w:rsidR="009D18F8" w:rsidRPr="008B2A36">
        <w:rPr>
          <w:rStyle w:val="IntenseEmphasis"/>
          <w:b w:val="0"/>
          <w:i w:val="0"/>
          <w:color w:val="auto"/>
        </w:rPr>
        <w:t xml:space="preserve">og </w:t>
      </w:r>
      <w:r w:rsidR="00632422" w:rsidRPr="008B2A36">
        <w:rPr>
          <w:rStyle w:val="IntenseEmphasis"/>
          <w:b w:val="0"/>
          <w:i w:val="0"/>
          <w:color w:val="auto"/>
        </w:rPr>
        <w:t xml:space="preserve">giver </w:t>
      </w:r>
      <w:r w:rsidR="000D34C1" w:rsidRPr="008B2A36">
        <w:rPr>
          <w:rStyle w:val="IntenseEmphasis"/>
          <w:b w:val="0"/>
          <w:i w:val="0"/>
          <w:color w:val="auto"/>
        </w:rPr>
        <w:t>rådgivning</w:t>
      </w:r>
      <w:r w:rsidR="009D18F8" w:rsidRPr="00924B41">
        <w:rPr>
          <w:rStyle w:val="IntenseEmphasis"/>
          <w:b w:val="0"/>
          <w:i w:val="0"/>
          <w:color w:val="auto"/>
        </w:rPr>
        <w:t xml:space="preserve"> og derved </w:t>
      </w:r>
      <w:r w:rsidR="00917B79" w:rsidRPr="00924B41">
        <w:rPr>
          <w:rStyle w:val="IntenseEmphasis"/>
          <w:b w:val="0"/>
          <w:i w:val="0"/>
          <w:color w:val="auto"/>
        </w:rPr>
        <w:t>har en</w:t>
      </w:r>
      <w:r w:rsidR="00AC3FF3" w:rsidRPr="00924B41">
        <w:rPr>
          <w:rStyle w:val="IntenseEmphasis"/>
          <w:b w:val="0"/>
          <w:i w:val="0"/>
          <w:color w:val="auto"/>
        </w:rPr>
        <w:t xml:space="preserve"> </w:t>
      </w:r>
      <w:r w:rsidR="00917B79" w:rsidRPr="00924B41">
        <w:rPr>
          <w:rStyle w:val="IntenseEmphasis"/>
          <w:b w:val="0"/>
          <w:i w:val="0"/>
          <w:color w:val="auto"/>
        </w:rPr>
        <w:t>omkostning</w:t>
      </w:r>
      <w:r w:rsidR="009D18F8" w:rsidRPr="00924B41">
        <w:rPr>
          <w:rStyle w:val="IntenseEmphasis"/>
          <w:b w:val="0"/>
          <w:i w:val="0"/>
          <w:color w:val="auto"/>
        </w:rPr>
        <w:t xml:space="preserve"> og derudover </w:t>
      </w:r>
      <w:r w:rsidR="00B77EBA" w:rsidRPr="00924B41">
        <w:rPr>
          <w:rStyle w:val="IntenseEmphasis"/>
          <w:b w:val="0"/>
          <w:i w:val="0"/>
          <w:color w:val="auto"/>
        </w:rPr>
        <w:t xml:space="preserve">tager </w:t>
      </w:r>
      <w:r w:rsidR="009D18F8" w:rsidRPr="00924B41">
        <w:rPr>
          <w:rStyle w:val="IntenseEmphasis"/>
          <w:b w:val="0"/>
          <w:i w:val="0"/>
          <w:color w:val="auto"/>
        </w:rPr>
        <w:t xml:space="preserve">de </w:t>
      </w:r>
      <w:r w:rsidR="00B77EBA" w:rsidRPr="00924B41">
        <w:rPr>
          <w:rStyle w:val="IntenseEmphasis"/>
          <w:b w:val="0"/>
          <w:i w:val="0"/>
          <w:color w:val="auto"/>
        </w:rPr>
        <w:t>en profit</w:t>
      </w:r>
      <w:r w:rsidR="000A59B8" w:rsidRPr="00924B41">
        <w:rPr>
          <w:rStyle w:val="IntenseEmphasis"/>
          <w:b w:val="0"/>
          <w:i w:val="0"/>
          <w:color w:val="auto"/>
        </w:rPr>
        <w:t>.</w:t>
      </w:r>
      <w:r w:rsidR="008B2A36">
        <w:rPr>
          <w:rStyle w:val="IntenseEmphasis"/>
          <w:b w:val="0"/>
          <w:i w:val="0"/>
          <w:color w:val="auto"/>
        </w:rPr>
        <w:t xml:space="preserve"> </w:t>
      </w:r>
      <w:r w:rsidR="000A59B8" w:rsidRPr="00924B41">
        <w:rPr>
          <w:rStyle w:val="IntenseEmphasis"/>
          <w:b w:val="0"/>
          <w:i w:val="0"/>
          <w:color w:val="auto"/>
        </w:rPr>
        <w:t xml:space="preserve"> </w:t>
      </w:r>
    </w:p>
    <w:p w:rsidR="00B64ED6" w:rsidRDefault="008B2A36" w:rsidP="008B2A36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Når data for panelpriser indsamlet under 2a, sammenlignes med priser for anlæg med samme paneler indsamlet</w:t>
      </w:r>
      <w:r w:rsidR="00B64ED6">
        <w:rPr>
          <w:rStyle w:val="IntenseEmphasis"/>
          <w:b w:val="0"/>
          <w:i w:val="0"/>
          <w:color w:val="auto"/>
        </w:rPr>
        <w:t>,</w:t>
      </w:r>
      <w:r>
        <w:rPr>
          <w:rStyle w:val="IntenseEmphasis"/>
          <w:b w:val="0"/>
          <w:i w:val="0"/>
          <w:color w:val="auto"/>
        </w:rPr>
        <w:t xml:space="preserve"> under 2b</w:t>
      </w:r>
      <w:r w:rsidR="00B64ED6">
        <w:rPr>
          <w:rStyle w:val="IntenseEmphasis"/>
          <w:b w:val="0"/>
          <w:i w:val="0"/>
          <w:color w:val="auto"/>
        </w:rPr>
        <w:t xml:space="preserve">, </w:t>
      </w:r>
      <w:r>
        <w:rPr>
          <w:rStyle w:val="IntenseEmphasis"/>
          <w:b w:val="0"/>
          <w:i w:val="0"/>
          <w:color w:val="auto"/>
        </w:rPr>
        <w:t xml:space="preserve">ses det </w:t>
      </w:r>
      <w:r w:rsidR="00B64ED6">
        <w:rPr>
          <w:rStyle w:val="IntenseEmphasis"/>
          <w:b w:val="0"/>
          <w:i w:val="0"/>
          <w:color w:val="auto"/>
        </w:rPr>
        <w:t xml:space="preserve">at hele anlægget inklusiv montage </w:t>
      </w:r>
      <w:r w:rsidR="00FA3F72">
        <w:rPr>
          <w:rStyle w:val="IntenseEmphasis"/>
          <w:b w:val="0"/>
          <w:i w:val="0"/>
          <w:color w:val="auto"/>
        </w:rPr>
        <w:t xml:space="preserve">i dag </w:t>
      </w:r>
      <w:r w:rsidR="00B64ED6">
        <w:rPr>
          <w:rStyle w:val="IntenseEmphasis"/>
          <w:b w:val="0"/>
          <w:i w:val="0"/>
          <w:color w:val="auto"/>
        </w:rPr>
        <w:t>koster ca.</w:t>
      </w:r>
      <w:r w:rsidR="00137696">
        <w:rPr>
          <w:rStyle w:val="IntenseEmphasis"/>
          <w:b w:val="0"/>
          <w:i w:val="0"/>
          <w:color w:val="auto"/>
        </w:rPr>
        <w:t xml:space="preserve"> </w:t>
      </w:r>
      <w:r w:rsidR="00B64ED6">
        <w:rPr>
          <w:rStyle w:val="IntenseEmphasis"/>
          <w:b w:val="0"/>
          <w:i w:val="0"/>
          <w:color w:val="auto"/>
        </w:rPr>
        <w:t>dobbelt så meget som panelerne koster.</w:t>
      </w:r>
    </w:p>
    <w:p w:rsidR="00137696" w:rsidRDefault="00570AAE" w:rsidP="004847C2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Når finansielle data opstilles til teknologikataloget</w:t>
      </w:r>
      <w:r w:rsidR="000D34C1">
        <w:rPr>
          <w:rStyle w:val="IntenseEmphasis"/>
          <w:b w:val="0"/>
          <w:i w:val="0"/>
          <w:color w:val="auto"/>
        </w:rPr>
        <w:t xml:space="preserve"> </w:t>
      </w:r>
      <w:r w:rsidR="006819DD">
        <w:rPr>
          <w:rStyle w:val="IntenseEmphasis"/>
          <w:b w:val="0"/>
          <w:i w:val="0"/>
          <w:color w:val="auto"/>
        </w:rPr>
        <w:t>vælger</w:t>
      </w:r>
      <w:r w:rsidR="00B77EBA">
        <w:rPr>
          <w:rStyle w:val="IntenseEmphasis"/>
          <w:b w:val="0"/>
          <w:i w:val="0"/>
          <w:color w:val="auto"/>
        </w:rPr>
        <w:t xml:space="preserve"> vi</w:t>
      </w:r>
      <w:r w:rsidR="000D34C1">
        <w:rPr>
          <w:rStyle w:val="IntenseEmphasis"/>
          <w:b w:val="0"/>
          <w:i w:val="0"/>
          <w:color w:val="auto"/>
        </w:rPr>
        <w:t>,</w:t>
      </w:r>
      <w:r w:rsidR="000A59B8">
        <w:rPr>
          <w:rStyle w:val="IntenseEmphasis"/>
          <w:b w:val="0"/>
          <w:i w:val="0"/>
          <w:color w:val="auto"/>
        </w:rPr>
        <w:t xml:space="preserve"> at se</w:t>
      </w:r>
      <w:r>
        <w:rPr>
          <w:rStyle w:val="IntenseEmphasis"/>
          <w:b w:val="0"/>
          <w:i w:val="0"/>
          <w:color w:val="auto"/>
        </w:rPr>
        <w:t xml:space="preserve"> omkostning </w:t>
      </w:r>
      <w:r w:rsidR="000D34C1">
        <w:rPr>
          <w:rStyle w:val="IntenseEmphasis"/>
          <w:b w:val="0"/>
          <w:i w:val="0"/>
          <w:color w:val="auto"/>
        </w:rPr>
        <w:t xml:space="preserve">til rådgivning </w:t>
      </w:r>
      <w:r>
        <w:rPr>
          <w:rStyle w:val="IntenseEmphasis"/>
          <w:b w:val="0"/>
          <w:i w:val="0"/>
          <w:color w:val="auto"/>
        </w:rPr>
        <w:t>og profit</w:t>
      </w:r>
      <w:r w:rsidR="000A59B8">
        <w:rPr>
          <w:rStyle w:val="IntenseEmphasis"/>
          <w:b w:val="0"/>
          <w:i w:val="0"/>
          <w:color w:val="auto"/>
        </w:rPr>
        <w:t xml:space="preserve"> som en del af </w:t>
      </w:r>
      <w:r w:rsidR="000A59B8" w:rsidRPr="00917B79">
        <w:rPr>
          <w:rStyle w:val="IntenseEmphasis"/>
          <w:b w:val="0"/>
          <w:color w:val="auto"/>
        </w:rPr>
        <w:t>øvrige omkostninger</w:t>
      </w:r>
      <w:r w:rsidR="00924B41">
        <w:rPr>
          <w:rStyle w:val="IntenseEmphasis"/>
          <w:b w:val="0"/>
          <w:color w:val="auto"/>
        </w:rPr>
        <w:t xml:space="preserve"> (</w:t>
      </w:r>
      <w:proofErr w:type="spellStart"/>
      <w:r w:rsidR="00924B41">
        <w:rPr>
          <w:rStyle w:val="IntenseEmphasis"/>
          <w:b w:val="0"/>
          <w:color w:val="auto"/>
        </w:rPr>
        <w:t>B</w:t>
      </w:r>
      <w:r w:rsidR="00A11731">
        <w:rPr>
          <w:rStyle w:val="IntenseEmphasis"/>
          <w:b w:val="0"/>
          <w:color w:val="auto"/>
        </w:rPr>
        <w:t>o</w:t>
      </w:r>
      <w:r w:rsidR="00924B41">
        <w:rPr>
          <w:rStyle w:val="IntenseEmphasis"/>
          <w:b w:val="0"/>
          <w:color w:val="auto"/>
        </w:rPr>
        <w:t>P</w:t>
      </w:r>
      <w:proofErr w:type="spellEnd"/>
      <w:r w:rsidR="00924B41">
        <w:rPr>
          <w:rStyle w:val="IntenseEmphasis"/>
          <w:b w:val="0"/>
          <w:color w:val="auto"/>
        </w:rPr>
        <w:t>)</w:t>
      </w:r>
      <w:r w:rsidR="000A59B8">
        <w:rPr>
          <w:rStyle w:val="IntenseEmphasis"/>
          <w:b w:val="0"/>
          <w:i w:val="0"/>
          <w:color w:val="auto"/>
        </w:rPr>
        <w:t>. Det gør</w:t>
      </w:r>
      <w:r w:rsidR="00A11731">
        <w:rPr>
          <w:rStyle w:val="IntenseEmphasis"/>
          <w:b w:val="0"/>
          <w:i w:val="0"/>
          <w:color w:val="auto"/>
        </w:rPr>
        <w:t xml:space="preserve">es </w:t>
      </w:r>
      <w:r w:rsidR="00FA3F72">
        <w:rPr>
          <w:rStyle w:val="IntenseEmphasis"/>
          <w:b w:val="0"/>
          <w:i w:val="0"/>
          <w:color w:val="auto"/>
        </w:rPr>
        <w:t xml:space="preserve">for </w:t>
      </w:r>
      <w:r w:rsidR="00A11731">
        <w:rPr>
          <w:rStyle w:val="IntenseEmphasis"/>
          <w:b w:val="0"/>
          <w:i w:val="0"/>
          <w:color w:val="auto"/>
        </w:rPr>
        <w:t>at få</w:t>
      </w:r>
      <w:r w:rsidR="00917B79">
        <w:rPr>
          <w:rStyle w:val="IntenseEmphasis"/>
          <w:b w:val="0"/>
          <w:i w:val="0"/>
          <w:color w:val="auto"/>
        </w:rPr>
        <w:t xml:space="preserve"> </w:t>
      </w:r>
      <w:r w:rsidR="00A11731">
        <w:rPr>
          <w:rStyle w:val="IntenseEmphasis"/>
          <w:b w:val="0"/>
          <w:i w:val="0"/>
          <w:color w:val="auto"/>
        </w:rPr>
        <w:t xml:space="preserve">en </w:t>
      </w:r>
      <w:r w:rsidR="000A59B8">
        <w:rPr>
          <w:rStyle w:val="IntenseEmphasis"/>
          <w:b w:val="0"/>
          <w:i w:val="0"/>
          <w:color w:val="auto"/>
        </w:rPr>
        <w:t>panelpris</w:t>
      </w:r>
      <w:r w:rsidR="00917B79">
        <w:rPr>
          <w:rStyle w:val="IntenseEmphasis"/>
          <w:b w:val="0"/>
          <w:i w:val="0"/>
          <w:color w:val="auto"/>
        </w:rPr>
        <w:t>,</w:t>
      </w:r>
      <w:r w:rsidR="000A59B8">
        <w:rPr>
          <w:rStyle w:val="IntenseEmphasis"/>
          <w:b w:val="0"/>
          <w:i w:val="0"/>
          <w:color w:val="auto"/>
        </w:rPr>
        <w:t xml:space="preserve"> der udvikler sig </w:t>
      </w:r>
      <w:r w:rsidR="00917B79">
        <w:rPr>
          <w:rStyle w:val="IntenseEmphasis"/>
          <w:b w:val="0"/>
          <w:i w:val="0"/>
          <w:color w:val="auto"/>
        </w:rPr>
        <w:t xml:space="preserve">proportionalt med panelprisen for </w:t>
      </w:r>
      <w:r w:rsidR="000A59B8">
        <w:rPr>
          <w:rStyle w:val="IntenseEmphasis"/>
          <w:b w:val="0"/>
          <w:i w:val="0"/>
          <w:color w:val="auto"/>
        </w:rPr>
        <w:t>de store anlæg</w:t>
      </w:r>
      <w:r w:rsidR="00917B79">
        <w:rPr>
          <w:rStyle w:val="IntenseEmphasis"/>
          <w:b w:val="0"/>
          <w:i w:val="0"/>
          <w:color w:val="auto"/>
        </w:rPr>
        <w:t xml:space="preserve"> (og dermed </w:t>
      </w:r>
      <w:r w:rsidR="000D34C1">
        <w:rPr>
          <w:rStyle w:val="IntenseEmphasis"/>
          <w:b w:val="0"/>
          <w:i w:val="0"/>
          <w:color w:val="auto"/>
        </w:rPr>
        <w:t xml:space="preserve">til dels </w:t>
      </w:r>
      <w:r w:rsidR="00917B79">
        <w:rPr>
          <w:rStyle w:val="IntenseEmphasis"/>
          <w:b w:val="0"/>
          <w:i w:val="0"/>
          <w:color w:val="auto"/>
        </w:rPr>
        <w:t>med verdensmarkedsprisen)</w:t>
      </w:r>
      <w:r w:rsidR="000A59B8">
        <w:rPr>
          <w:rStyle w:val="IntenseEmphasis"/>
          <w:b w:val="0"/>
          <w:i w:val="0"/>
          <w:color w:val="auto"/>
        </w:rPr>
        <w:t>.</w:t>
      </w:r>
      <w:r w:rsidR="008B2A36">
        <w:rPr>
          <w:rStyle w:val="IntenseEmphasis"/>
          <w:b w:val="0"/>
          <w:i w:val="0"/>
          <w:color w:val="auto"/>
        </w:rPr>
        <w:t xml:space="preserve"> </w:t>
      </w:r>
    </w:p>
    <w:p w:rsidR="004847C2" w:rsidRDefault="00137696" w:rsidP="004847C2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P</w:t>
      </w:r>
      <w:r w:rsidR="000A59B8">
        <w:rPr>
          <w:rStyle w:val="IntenseEmphasis"/>
          <w:b w:val="0"/>
          <w:i w:val="0"/>
          <w:color w:val="auto"/>
        </w:rPr>
        <w:t xml:space="preserve">riser for </w:t>
      </w:r>
      <w:r w:rsidR="000D34C1">
        <w:rPr>
          <w:rStyle w:val="IntenseEmphasis"/>
          <w:b w:val="0"/>
          <w:i w:val="0"/>
          <w:color w:val="auto"/>
        </w:rPr>
        <w:t xml:space="preserve">hele </w:t>
      </w:r>
      <w:r w:rsidR="00C84897">
        <w:rPr>
          <w:rStyle w:val="IntenseEmphasis"/>
          <w:b w:val="0"/>
          <w:i w:val="0"/>
          <w:color w:val="auto"/>
        </w:rPr>
        <w:t xml:space="preserve">anlæg inkl. </w:t>
      </w:r>
      <w:r>
        <w:rPr>
          <w:rStyle w:val="IntenseEmphasis"/>
          <w:b w:val="0"/>
          <w:i w:val="0"/>
          <w:color w:val="auto"/>
        </w:rPr>
        <w:t>M</w:t>
      </w:r>
      <w:r w:rsidR="00C84897">
        <w:rPr>
          <w:rStyle w:val="IntenseEmphasis"/>
          <w:b w:val="0"/>
          <w:i w:val="0"/>
          <w:color w:val="auto"/>
        </w:rPr>
        <w:t>ontering</w:t>
      </w:r>
      <w:r>
        <w:rPr>
          <w:rStyle w:val="IntenseEmphasis"/>
          <w:b w:val="0"/>
          <w:i w:val="0"/>
          <w:color w:val="auto"/>
        </w:rPr>
        <w:t xml:space="preserve"> blev indsamlet under 2b</w:t>
      </w:r>
      <w:r w:rsidR="000A59B8">
        <w:rPr>
          <w:rStyle w:val="IntenseEmphasis"/>
          <w:b w:val="0"/>
          <w:i w:val="0"/>
          <w:color w:val="auto"/>
        </w:rPr>
        <w:t>. I tabel 2 ses</w:t>
      </w:r>
      <w:r w:rsidR="006819DD">
        <w:rPr>
          <w:rStyle w:val="IntenseEmphasis"/>
          <w:b w:val="0"/>
          <w:i w:val="0"/>
          <w:color w:val="auto"/>
        </w:rPr>
        <w:t>,</w:t>
      </w:r>
      <w:r w:rsidR="000A59B8">
        <w:rPr>
          <w:rStyle w:val="IntenseEmphasis"/>
          <w:b w:val="0"/>
          <w:i w:val="0"/>
          <w:color w:val="auto"/>
        </w:rPr>
        <w:t xml:space="preserve"> at </w:t>
      </w:r>
      <w:r w:rsidR="00CF042A">
        <w:rPr>
          <w:rStyle w:val="IntenseEmphasis"/>
          <w:b w:val="0"/>
          <w:i w:val="0"/>
          <w:color w:val="auto"/>
        </w:rPr>
        <w:t>gennemsnits</w:t>
      </w:r>
      <w:r w:rsidR="000A59B8">
        <w:rPr>
          <w:rStyle w:val="IntenseEmphasis"/>
          <w:b w:val="0"/>
          <w:i w:val="0"/>
          <w:color w:val="auto"/>
        </w:rPr>
        <w:t xml:space="preserve">prisen for </w:t>
      </w:r>
      <w:r w:rsidR="00CF042A">
        <w:rPr>
          <w:rStyle w:val="IntenseEmphasis"/>
          <w:b w:val="0"/>
          <w:i w:val="0"/>
          <w:color w:val="auto"/>
        </w:rPr>
        <w:t xml:space="preserve">små tagplacerede </w:t>
      </w:r>
      <w:r w:rsidR="000A59B8">
        <w:rPr>
          <w:rStyle w:val="IntenseEmphasis"/>
          <w:b w:val="0"/>
          <w:i w:val="0"/>
          <w:color w:val="auto"/>
        </w:rPr>
        <w:t xml:space="preserve">anlæg (ca. 6kW) er </w:t>
      </w:r>
      <w:r w:rsidR="00C84897">
        <w:rPr>
          <w:rStyle w:val="IntenseEmphasis"/>
          <w:b w:val="0"/>
          <w:i w:val="0"/>
          <w:color w:val="auto"/>
        </w:rPr>
        <w:t>1,3</w:t>
      </w:r>
      <w:r w:rsidR="00917B79">
        <w:rPr>
          <w:rStyle w:val="IntenseEmphasis"/>
          <w:b w:val="0"/>
          <w:i w:val="0"/>
          <w:color w:val="auto"/>
        </w:rPr>
        <w:t xml:space="preserve">5 </w:t>
      </w:r>
      <w:r w:rsidR="00C84897">
        <w:rPr>
          <w:rStyle w:val="IntenseEmphasis"/>
          <w:b w:val="0"/>
          <w:i w:val="0"/>
          <w:color w:val="auto"/>
        </w:rPr>
        <w:t>€/</w:t>
      </w:r>
      <w:r w:rsidR="000C207C">
        <w:rPr>
          <w:rStyle w:val="IntenseEmphasis"/>
          <w:b w:val="0"/>
          <w:i w:val="0"/>
          <w:color w:val="auto"/>
        </w:rPr>
        <w:t xml:space="preserve"> </w:t>
      </w:r>
      <w:proofErr w:type="spellStart"/>
      <w:r w:rsidR="00C84897">
        <w:rPr>
          <w:rStyle w:val="IntenseEmphasis"/>
          <w:b w:val="0"/>
          <w:i w:val="0"/>
          <w:color w:val="auto"/>
        </w:rPr>
        <w:t>Wp</w:t>
      </w:r>
      <w:proofErr w:type="spellEnd"/>
      <w:r w:rsidR="00C84897">
        <w:rPr>
          <w:rStyle w:val="IntenseEmphasis"/>
          <w:b w:val="0"/>
          <w:i w:val="0"/>
          <w:color w:val="auto"/>
        </w:rPr>
        <w:t>,</w:t>
      </w:r>
      <w:r w:rsidR="00917B79" w:rsidRPr="000C207C">
        <w:rPr>
          <w:rFonts w:ascii="Calibri" w:eastAsia="Times New Roman" w:hAnsi="Calibri" w:cs="Times New Roman"/>
          <w:color w:val="000000"/>
          <w:sz w:val="22"/>
          <w:lang w:eastAsia="en-GB"/>
        </w:rPr>
        <w:t xml:space="preserve"> </w:t>
      </w:r>
      <w:r w:rsidR="00917B79" w:rsidRPr="008B2A36">
        <w:rPr>
          <w:rStyle w:val="IntenseEmphasis"/>
          <w:b w:val="0"/>
          <w:i w:val="0"/>
          <w:color w:val="auto"/>
        </w:rPr>
        <w:t>m</w:t>
      </w:r>
      <w:r w:rsidR="000C207C" w:rsidRPr="008B2A36">
        <w:rPr>
          <w:rStyle w:val="IntenseEmphasis"/>
          <w:b w:val="0"/>
          <w:i w:val="0"/>
          <w:color w:val="auto"/>
        </w:rPr>
        <w:t>ens gennemsnit</w:t>
      </w:r>
      <w:r w:rsidR="009D18F8">
        <w:rPr>
          <w:rStyle w:val="IntenseEmphasis"/>
          <w:b w:val="0"/>
          <w:i w:val="0"/>
          <w:color w:val="auto"/>
        </w:rPr>
        <w:t xml:space="preserve">s prisen </w:t>
      </w:r>
      <w:r w:rsidR="000C207C" w:rsidRPr="008B2A36">
        <w:rPr>
          <w:rStyle w:val="IntenseEmphasis"/>
          <w:b w:val="0"/>
          <w:i w:val="0"/>
          <w:color w:val="auto"/>
        </w:rPr>
        <w:t xml:space="preserve">for de </w:t>
      </w:r>
      <w:r w:rsidR="003C64B2" w:rsidRPr="008B2A36">
        <w:rPr>
          <w:rStyle w:val="IntenseEmphasis"/>
          <w:b w:val="0"/>
          <w:i w:val="0"/>
          <w:color w:val="auto"/>
        </w:rPr>
        <w:t>mellem</w:t>
      </w:r>
      <w:r w:rsidR="000C207C" w:rsidRPr="008B2A36">
        <w:rPr>
          <w:rStyle w:val="IntenseEmphasis"/>
          <w:b w:val="0"/>
          <w:i w:val="0"/>
          <w:color w:val="auto"/>
        </w:rPr>
        <w:t>st</w:t>
      </w:r>
      <w:r w:rsidR="003C64B2" w:rsidRPr="008B2A36">
        <w:rPr>
          <w:rStyle w:val="IntenseEmphasis"/>
          <w:b w:val="0"/>
          <w:i w:val="0"/>
          <w:color w:val="auto"/>
        </w:rPr>
        <w:t>ore</w:t>
      </w:r>
      <w:r w:rsidR="000C207C" w:rsidRPr="008B2A36">
        <w:rPr>
          <w:rStyle w:val="IntenseEmphasis"/>
          <w:b w:val="0"/>
          <w:i w:val="0"/>
          <w:color w:val="auto"/>
        </w:rPr>
        <w:t xml:space="preserve"> </w:t>
      </w:r>
      <w:r w:rsidR="00CF042A" w:rsidRPr="008B2A36">
        <w:rPr>
          <w:rStyle w:val="IntenseEmphasis"/>
          <w:b w:val="0"/>
          <w:i w:val="0"/>
          <w:color w:val="auto"/>
        </w:rPr>
        <w:t xml:space="preserve">tagplacerede </w:t>
      </w:r>
      <w:r w:rsidR="000C207C" w:rsidRPr="008B2A36">
        <w:rPr>
          <w:rStyle w:val="IntenseEmphasis"/>
          <w:b w:val="0"/>
          <w:i w:val="0"/>
          <w:color w:val="auto"/>
        </w:rPr>
        <w:t>anlæg til erhverv</w:t>
      </w:r>
      <w:r w:rsidR="00CF042A" w:rsidRPr="008B2A36">
        <w:rPr>
          <w:rStyle w:val="IntenseEmphasis"/>
          <w:b w:val="0"/>
          <w:i w:val="0"/>
          <w:color w:val="auto"/>
        </w:rPr>
        <w:t xml:space="preserve"> </w:t>
      </w:r>
      <w:r w:rsidR="000A59B8" w:rsidRPr="008B2A36">
        <w:rPr>
          <w:rStyle w:val="IntenseEmphasis"/>
          <w:b w:val="0"/>
          <w:i w:val="0"/>
          <w:color w:val="auto"/>
        </w:rPr>
        <w:t xml:space="preserve">(50-500kW) </w:t>
      </w:r>
      <w:r w:rsidR="000C207C" w:rsidRPr="008B2A36">
        <w:rPr>
          <w:rStyle w:val="IntenseEmphasis"/>
          <w:b w:val="0"/>
          <w:i w:val="0"/>
          <w:color w:val="auto"/>
        </w:rPr>
        <w:t xml:space="preserve">er 0,83 </w:t>
      </w:r>
      <w:r w:rsidR="000C207C" w:rsidRPr="009D18F8">
        <w:rPr>
          <w:rStyle w:val="IntenseEmphasis"/>
          <w:b w:val="0"/>
          <w:i w:val="0"/>
          <w:color w:val="auto"/>
        </w:rPr>
        <w:t xml:space="preserve">€/ </w:t>
      </w:r>
      <w:proofErr w:type="spellStart"/>
      <w:r w:rsidR="000C207C" w:rsidRPr="009D18F8">
        <w:rPr>
          <w:rStyle w:val="IntenseEmphasis"/>
          <w:b w:val="0"/>
          <w:i w:val="0"/>
          <w:color w:val="auto"/>
        </w:rPr>
        <w:t>Wp</w:t>
      </w:r>
      <w:proofErr w:type="spellEnd"/>
      <w:r w:rsidR="000C207C" w:rsidRPr="008B2A36">
        <w:rPr>
          <w:rStyle w:val="IntenseEmphasis"/>
          <w:b w:val="0"/>
          <w:i w:val="0"/>
          <w:color w:val="auto"/>
        </w:rPr>
        <w:t xml:space="preserve">. </w:t>
      </w:r>
    </w:p>
    <w:p w:rsidR="00C048D8" w:rsidRDefault="00C048D8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</w:p>
    <w:tbl>
      <w:tblPr>
        <w:tblW w:w="9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994"/>
        <w:gridCol w:w="1673"/>
        <w:gridCol w:w="1108"/>
        <w:gridCol w:w="2766"/>
      </w:tblGrid>
      <w:tr w:rsidR="006819DD" w:rsidTr="006819DD">
        <w:trPr>
          <w:trHeight w:val="52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2018 WEB</w:t>
            </w:r>
            <w:r w:rsidR="00CF042A">
              <w:rPr>
                <w:rFonts w:ascii="Calibri" w:hAnsi="Calibri"/>
                <w:color w:val="000000"/>
                <w:sz w:val="22"/>
              </w:rPr>
              <w:t>[2]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Gennemsnit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Max.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Standardafvigelse</w:t>
            </w:r>
          </w:p>
        </w:tc>
      </w:tr>
      <w:tr w:rsidR="006819DD" w:rsidTr="006819DD">
        <w:trPr>
          <w:trHeight w:val="523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2015 priser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€/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Wp</w:t>
            </w:r>
            <w:proofErr w:type="spellEnd"/>
            <w:r w:rsidR="00CF042A">
              <w:rPr>
                <w:rFonts w:ascii="Calibri" w:hAnsi="Calibri"/>
                <w:color w:val="000000"/>
                <w:sz w:val="22"/>
              </w:rPr>
              <w:t xml:space="preserve"> ekskl. moms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CF042A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€/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Wp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ekskl. moms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€/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Wp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€/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Wp</w:t>
            </w:r>
            <w:proofErr w:type="spellEnd"/>
          </w:p>
        </w:tc>
      </w:tr>
      <w:tr w:rsidR="006819DD" w:rsidTr="006819DD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Private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0.11</w:t>
            </w:r>
          </w:p>
        </w:tc>
      </w:tr>
      <w:tr w:rsidR="006819DD" w:rsidTr="006819DD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Erhverv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</w:rPr>
              <w:t>0.83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6819D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</w:rPr>
              <w:t>0.65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DD" w:rsidRDefault="006819DD" w:rsidP="00B94204">
            <w:pPr>
              <w:keepNext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</w:t>
            </w:r>
          </w:p>
        </w:tc>
      </w:tr>
    </w:tbl>
    <w:p w:rsidR="00B94204" w:rsidRPr="00B94204" w:rsidRDefault="00B94204">
      <w:pPr>
        <w:pStyle w:val="Caption"/>
        <w:rPr>
          <w:b w:val="0"/>
        </w:rPr>
      </w:pPr>
      <w:r w:rsidRPr="00B94204">
        <w:rPr>
          <w:b w:val="0"/>
        </w:rPr>
        <w:t>Tab</w:t>
      </w:r>
      <w:r>
        <w:rPr>
          <w:b w:val="0"/>
        </w:rPr>
        <w:t>el</w:t>
      </w:r>
      <w:r w:rsidRPr="00B94204">
        <w:rPr>
          <w:b w:val="0"/>
        </w:rPr>
        <w:t xml:space="preserve"> </w:t>
      </w:r>
      <w:r w:rsidRPr="00B94204">
        <w:rPr>
          <w:b w:val="0"/>
        </w:rPr>
        <w:fldChar w:fldCharType="begin"/>
      </w:r>
      <w:r w:rsidRPr="00B94204">
        <w:rPr>
          <w:b w:val="0"/>
        </w:rPr>
        <w:instrText xml:space="preserve"> SEQ Table \* ARABIC </w:instrText>
      </w:r>
      <w:r w:rsidRPr="00B94204">
        <w:rPr>
          <w:b w:val="0"/>
        </w:rPr>
        <w:fldChar w:fldCharType="separate"/>
      </w:r>
      <w:r w:rsidRPr="00B94204">
        <w:rPr>
          <w:b w:val="0"/>
          <w:noProof/>
        </w:rPr>
        <w:t>2</w:t>
      </w:r>
      <w:r w:rsidRPr="00B94204">
        <w:rPr>
          <w:b w:val="0"/>
        </w:rPr>
        <w:fldChar w:fldCharType="end"/>
      </w:r>
      <w:r w:rsidRPr="00B94204">
        <w:rPr>
          <w:b w:val="0"/>
        </w:rPr>
        <w:t>: Priser hentet fra solcelle-installationsfirmaers hjemmesider 1</w:t>
      </w:r>
      <w:r>
        <w:rPr>
          <w:b w:val="0"/>
        </w:rPr>
        <w:t>.</w:t>
      </w:r>
      <w:r w:rsidRPr="00B94204">
        <w:rPr>
          <w:b w:val="0"/>
        </w:rPr>
        <w:t>-5</w:t>
      </w:r>
      <w:r>
        <w:rPr>
          <w:b w:val="0"/>
        </w:rPr>
        <w:t>.</w:t>
      </w:r>
      <w:r w:rsidRPr="00B94204">
        <w:rPr>
          <w:b w:val="0"/>
        </w:rPr>
        <w:t xml:space="preserve"> marts 2018. Der indgår priser for 7 anlæg i beregningen for små anlæg og for 6 for de mellemstore anlæg</w:t>
      </w:r>
      <w:r>
        <w:rPr>
          <w:b w:val="0"/>
        </w:rPr>
        <w:t>.</w:t>
      </w:r>
    </w:p>
    <w:p w:rsidR="00137696" w:rsidRPr="00137696" w:rsidRDefault="00137696" w:rsidP="00137696">
      <w:pPr>
        <w:rPr>
          <w:rStyle w:val="IntenseEmphasis"/>
          <w:b w:val="0"/>
          <w:i w:val="0"/>
          <w:color w:val="auto"/>
        </w:rPr>
      </w:pPr>
      <w:r w:rsidRPr="00137696">
        <w:rPr>
          <w:rStyle w:val="IntenseEmphasis"/>
          <w:b w:val="0"/>
          <w:i w:val="0"/>
          <w:color w:val="auto"/>
        </w:rPr>
        <w:t xml:space="preserve">IRENA [2] angiver globale priser for total installerede små husholdnings anlæg 2017 1. kvartal, dels en mindste pris på 1€/W(Asien) og en pris i Tyskland på 2.2€/W. Derudover angives en pris på kommercielle anlæg i Tyskland i 2. kvartal af 2017 på 1 €/W.  De priser, der er fundet i 2b for i 1. kvartal 2018 ligger altså lavt i forhold til disse priser. </w:t>
      </w:r>
      <w:r w:rsidR="00BE7FA7">
        <w:rPr>
          <w:rStyle w:val="IntenseEmphasis"/>
          <w:b w:val="0"/>
          <w:i w:val="0"/>
          <w:color w:val="auto"/>
        </w:rPr>
        <w:t xml:space="preserve"> </w:t>
      </w:r>
    </w:p>
    <w:p w:rsidR="00137696" w:rsidRDefault="00113FF3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På baggrund af ovenstående forslås det</w:t>
      </w:r>
      <w:r w:rsidR="003C64B2">
        <w:rPr>
          <w:rStyle w:val="IntenseEmphasis"/>
          <w:b w:val="0"/>
          <w:i w:val="0"/>
          <w:color w:val="auto"/>
        </w:rPr>
        <w:t>,</w:t>
      </w:r>
      <w:r>
        <w:rPr>
          <w:rStyle w:val="IntenseEmphasis"/>
          <w:b w:val="0"/>
          <w:i w:val="0"/>
          <w:color w:val="auto"/>
        </w:rPr>
        <w:t xml:space="preserve"> at teknologikatalogets finansielle data for små og mellemstore tagplacerede anlæg </w:t>
      </w:r>
      <w:r w:rsidR="00A11731">
        <w:rPr>
          <w:rStyle w:val="IntenseEmphasis"/>
          <w:b w:val="0"/>
          <w:i w:val="0"/>
          <w:color w:val="auto"/>
        </w:rPr>
        <w:t xml:space="preserve">ændres til værdier vist </w:t>
      </w:r>
      <w:r>
        <w:rPr>
          <w:rStyle w:val="IntenseEmphasis"/>
          <w:b w:val="0"/>
          <w:i w:val="0"/>
          <w:color w:val="auto"/>
        </w:rPr>
        <w:t xml:space="preserve">i tabel </w:t>
      </w:r>
      <w:r w:rsidR="004847C2">
        <w:rPr>
          <w:rStyle w:val="IntenseEmphasis"/>
          <w:b w:val="0"/>
          <w:i w:val="0"/>
          <w:color w:val="auto"/>
        </w:rPr>
        <w:t>3</w:t>
      </w:r>
      <w:r w:rsidR="00D92D91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 xml:space="preserve">og tabel </w:t>
      </w:r>
      <w:r w:rsidR="004847C2">
        <w:rPr>
          <w:rStyle w:val="IntenseEmphasis"/>
          <w:b w:val="0"/>
          <w:i w:val="0"/>
          <w:color w:val="auto"/>
        </w:rPr>
        <w:t>4</w:t>
      </w:r>
      <w:r w:rsidR="00771675">
        <w:rPr>
          <w:rStyle w:val="IntenseEmphasis"/>
          <w:b w:val="0"/>
          <w:i w:val="0"/>
          <w:color w:val="auto"/>
        </w:rPr>
        <w:t>.</w:t>
      </w:r>
    </w:p>
    <w:p w:rsidR="00113FF3" w:rsidRDefault="00A11731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Årlige drift og </w:t>
      </w:r>
      <w:r w:rsidR="001D1A3F">
        <w:rPr>
          <w:rStyle w:val="IntenseEmphasis"/>
          <w:b w:val="0"/>
          <w:i w:val="0"/>
          <w:color w:val="auto"/>
        </w:rPr>
        <w:t>vedligeholdelses</w:t>
      </w:r>
      <w:r>
        <w:rPr>
          <w:rStyle w:val="IntenseEmphasis"/>
          <w:b w:val="0"/>
          <w:i w:val="0"/>
          <w:color w:val="auto"/>
        </w:rPr>
        <w:t xml:space="preserve"> udgifter antages fortsat at udgøre 1</w:t>
      </w:r>
      <w:r w:rsidR="00FA3F72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 xml:space="preserve">% af total anlægsinvestering og vil altså falde tilsvarende faldet i totalomkostning.  </w:t>
      </w:r>
    </w:p>
    <w:p w:rsidR="005D2B08" w:rsidRDefault="005D2B08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</w:p>
    <w:tbl>
      <w:tblPr>
        <w:tblW w:w="9840" w:type="dxa"/>
        <w:tblInd w:w="103" w:type="dxa"/>
        <w:tblLook w:val="04A0" w:firstRow="1" w:lastRow="0" w:firstColumn="1" w:lastColumn="0" w:noHBand="0" w:noVBand="1"/>
      </w:tblPr>
      <w:tblGrid>
        <w:gridCol w:w="2800"/>
        <w:gridCol w:w="1760"/>
        <w:gridCol w:w="1760"/>
        <w:gridCol w:w="1760"/>
        <w:gridCol w:w="1760"/>
      </w:tblGrid>
      <w:tr w:rsidR="00143AC6" w:rsidRPr="00143AC6" w:rsidTr="00143AC6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Technology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Photovoltaics: SMALL residential systems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143AC6" w:rsidRPr="00143AC6" w:rsidTr="00143AC6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Financial data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2050</w:t>
            </w:r>
          </w:p>
        </w:tc>
      </w:tr>
      <w:tr w:rsidR="00143AC6" w:rsidRPr="00143AC6" w:rsidTr="00143AC6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PV module cost (2015-€/</w:t>
            </w:r>
            <w:proofErr w:type="spellStart"/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  <w:t>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0.16</w:t>
            </w:r>
          </w:p>
        </w:tc>
      </w:tr>
      <w:tr w:rsidR="00143AC6" w:rsidRPr="00143AC6" w:rsidTr="00143AC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Inverter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143AC6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0.03</w:t>
            </w:r>
          </w:p>
        </w:tc>
      </w:tr>
      <w:tr w:rsidR="00143AC6" w:rsidRPr="00143AC6" w:rsidTr="00143AC6">
        <w:trPr>
          <w:trHeight w:val="480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Balance Of Plant cost (2015-€/</w:t>
            </w:r>
            <w:proofErr w:type="spellStart"/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C0504D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i/>
                <w:iCs/>
                <w:color w:val="C0504D"/>
                <w:sz w:val="18"/>
                <w:szCs w:val="18"/>
                <w:lang w:val="en-GB" w:eastAsia="en-GB"/>
              </w:rPr>
              <w:t>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</w:tr>
      <w:tr w:rsidR="00143AC6" w:rsidRPr="00143AC6" w:rsidTr="00143AC6">
        <w:trPr>
          <w:trHeight w:val="49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Specific investment, total system (2015-€/</w:t>
            </w:r>
            <w:proofErr w:type="spellStart"/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43AC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C0504D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b/>
                <w:bCs/>
                <w:i/>
                <w:iCs/>
                <w:color w:val="C0504D"/>
                <w:sz w:val="18"/>
                <w:szCs w:val="18"/>
                <w:lang w:val="en-GB" w:eastAsia="en-GB"/>
              </w:rPr>
              <w:t>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AC6" w:rsidRPr="00143AC6" w:rsidRDefault="00143AC6" w:rsidP="00143AC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43AC6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0.75</w:t>
            </w:r>
          </w:p>
        </w:tc>
      </w:tr>
    </w:tbl>
    <w:p w:rsidR="00D92D91" w:rsidRDefault="00D92D91">
      <w:pPr>
        <w:pStyle w:val="Caption"/>
        <w:rPr>
          <w:b w:val="0"/>
        </w:rPr>
      </w:pPr>
      <w:proofErr w:type="spellStart"/>
      <w:r>
        <w:t>Table</w:t>
      </w:r>
      <w:proofErr w:type="spellEnd"/>
      <w:r>
        <w:t xml:space="preserve"> </w:t>
      </w:r>
      <w:r w:rsidR="00E02571">
        <w:fldChar w:fldCharType="begin"/>
      </w:r>
      <w:r w:rsidR="00E02571">
        <w:instrText xml:space="preserve"> SEQ Table \* ARABIC </w:instrText>
      </w:r>
      <w:r w:rsidR="00E02571">
        <w:fldChar w:fldCharType="separate"/>
      </w:r>
      <w:r w:rsidR="00B94204">
        <w:rPr>
          <w:noProof/>
        </w:rPr>
        <w:t>4</w:t>
      </w:r>
      <w:r w:rsidR="00E02571">
        <w:rPr>
          <w:noProof/>
        </w:rPr>
        <w:fldChar w:fldCharType="end"/>
      </w:r>
      <w:r w:rsidR="00985C56">
        <w:t xml:space="preserve">: </w:t>
      </w:r>
      <w:r w:rsidR="00985C56" w:rsidRPr="00771675">
        <w:rPr>
          <w:b w:val="0"/>
        </w:rPr>
        <w:t>Data er bestemt ved at antage at pv panelets pris er 20</w:t>
      </w:r>
      <w:r w:rsidR="003C64B2">
        <w:rPr>
          <w:b w:val="0"/>
        </w:rPr>
        <w:t xml:space="preserve"> </w:t>
      </w:r>
      <w:r w:rsidR="00985C56" w:rsidRPr="00771675">
        <w:rPr>
          <w:b w:val="0"/>
        </w:rPr>
        <w:t xml:space="preserve">% højere end panelpris for store </w:t>
      </w:r>
      <w:r w:rsidR="00771675" w:rsidRPr="00771675">
        <w:rPr>
          <w:b w:val="0"/>
        </w:rPr>
        <w:t>markplacerede solcelleanlæg (&gt;1MW)</w:t>
      </w:r>
      <w:r w:rsidR="003C64B2">
        <w:rPr>
          <w:b w:val="0"/>
        </w:rPr>
        <w:t>. S</w:t>
      </w:r>
      <w:r w:rsidR="00771675" w:rsidRPr="00771675">
        <w:rPr>
          <w:b w:val="0"/>
        </w:rPr>
        <w:t>amme forhold er antaget for inverter</w:t>
      </w:r>
      <w:r w:rsidR="001D1A3F">
        <w:rPr>
          <w:b w:val="0"/>
        </w:rPr>
        <w:t xml:space="preserve"> </w:t>
      </w:r>
      <w:r w:rsidR="00771675" w:rsidRPr="00771675">
        <w:rPr>
          <w:b w:val="0"/>
        </w:rPr>
        <w:t xml:space="preserve">pris, </w:t>
      </w:r>
      <w:r w:rsidR="001D1A3F">
        <w:rPr>
          <w:b w:val="0"/>
        </w:rPr>
        <w:t xml:space="preserve">som </w:t>
      </w:r>
      <w:r w:rsidR="00771675" w:rsidRPr="00771675">
        <w:rPr>
          <w:b w:val="0"/>
        </w:rPr>
        <w:t xml:space="preserve">er inkluderet i BOP. </w:t>
      </w:r>
      <w:r w:rsidR="00771675">
        <w:rPr>
          <w:b w:val="0"/>
        </w:rPr>
        <w:t>BOP</w:t>
      </w:r>
      <w:r w:rsidR="00771675" w:rsidRPr="00771675">
        <w:rPr>
          <w:b w:val="0"/>
        </w:rPr>
        <w:t xml:space="preserve"> </w:t>
      </w:r>
      <w:r w:rsidR="001D1A3F">
        <w:rPr>
          <w:b w:val="0"/>
        </w:rPr>
        <w:t xml:space="preserve">ekskl. Inverter </w:t>
      </w:r>
      <w:r w:rsidR="00771675" w:rsidRPr="00771675">
        <w:rPr>
          <w:b w:val="0"/>
        </w:rPr>
        <w:t>er bestemt ud</w:t>
      </w:r>
      <w:r w:rsidR="00771675">
        <w:rPr>
          <w:b w:val="0"/>
        </w:rPr>
        <w:t xml:space="preserve"> </w:t>
      </w:r>
      <w:r w:rsidR="00771675" w:rsidRPr="00771675">
        <w:rPr>
          <w:b w:val="0"/>
        </w:rPr>
        <w:t>fra de priser for samlede anlæg inklusiv montage og transport</w:t>
      </w:r>
      <w:r w:rsidR="00771675">
        <w:rPr>
          <w:b w:val="0"/>
        </w:rPr>
        <w:t xml:space="preserve"> og den udvikling, der er forudsat i eksisterende teknologikatalog.</w:t>
      </w:r>
    </w:p>
    <w:p w:rsidR="00EB1C13" w:rsidRPr="00137696" w:rsidRDefault="00EB1C13" w:rsidP="00137696"/>
    <w:tbl>
      <w:tblPr>
        <w:tblW w:w="9840" w:type="dxa"/>
        <w:tblInd w:w="103" w:type="dxa"/>
        <w:tblLook w:val="04A0" w:firstRow="1" w:lastRow="0" w:firstColumn="1" w:lastColumn="0" w:noHBand="0" w:noVBand="1"/>
      </w:tblPr>
      <w:tblGrid>
        <w:gridCol w:w="2800"/>
        <w:gridCol w:w="1760"/>
        <w:gridCol w:w="1760"/>
        <w:gridCol w:w="1760"/>
        <w:gridCol w:w="1760"/>
      </w:tblGrid>
      <w:tr w:rsidR="00B81953" w:rsidRPr="00D824AF" w:rsidTr="00B81953">
        <w:trPr>
          <w:trHeight w:val="71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81953" w:rsidRPr="00D824AF" w:rsidRDefault="00B81953" w:rsidP="00D824A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Technology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81953" w:rsidRDefault="00B81953" w:rsidP="00B8195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B81953" w:rsidRPr="00D824AF" w:rsidRDefault="00B81953" w:rsidP="00B8195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Photovoltaics: MEDIUM sized commercial systems</w:t>
            </w:r>
          </w:p>
          <w:p w:rsidR="00B81953" w:rsidRPr="00D824AF" w:rsidRDefault="00B81953" w:rsidP="00B8195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824AF" w:rsidRPr="00D824AF" w:rsidTr="00D824A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Financial data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/>
              </w:rPr>
              <w:t>2050</w:t>
            </w:r>
          </w:p>
        </w:tc>
      </w:tr>
      <w:tr w:rsidR="00D824AF" w:rsidRPr="00D824AF" w:rsidTr="00D824A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PV module cost (2015-€/</w:t>
            </w:r>
            <w:proofErr w:type="spellStart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  <w:t>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0.14</w:t>
            </w:r>
          </w:p>
        </w:tc>
      </w:tr>
      <w:tr w:rsidR="00D824AF" w:rsidRPr="00D824AF" w:rsidTr="00D824AF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Inverter and transformer (2015-€/</w:t>
            </w:r>
            <w:proofErr w:type="spellStart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D824AF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0.03</w:t>
            </w:r>
          </w:p>
        </w:tc>
      </w:tr>
      <w:tr w:rsidR="00D824AF" w:rsidRPr="00D824AF" w:rsidTr="00D824AF">
        <w:trPr>
          <w:trHeight w:val="4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Balance Of Plant , mark-up &amp; contingency cost (2015-€/</w:t>
            </w:r>
            <w:proofErr w:type="spellStart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</w:tr>
      <w:tr w:rsidR="00D824AF" w:rsidRPr="00D824AF" w:rsidTr="00D824AF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Specific investment, total system (2015-€/</w:t>
            </w:r>
            <w:proofErr w:type="spellStart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0.77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0.64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4AF" w:rsidRPr="00D824AF" w:rsidRDefault="00D824AF" w:rsidP="00D824A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4A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0.56</w:t>
            </w:r>
          </w:p>
        </w:tc>
      </w:tr>
    </w:tbl>
    <w:p w:rsidR="00D92D91" w:rsidRPr="00D92D91" w:rsidRDefault="00D92D91" w:rsidP="00D92D91">
      <w:pPr>
        <w:pStyle w:val="Caption"/>
      </w:pPr>
      <w:proofErr w:type="spellStart"/>
      <w:r>
        <w:t>Table</w:t>
      </w:r>
      <w:proofErr w:type="spellEnd"/>
      <w:r>
        <w:t xml:space="preserve"> </w:t>
      </w:r>
      <w:r w:rsidR="00E02571">
        <w:fldChar w:fldCharType="begin"/>
      </w:r>
      <w:r w:rsidR="00E02571">
        <w:instrText xml:space="preserve"> SEQ Table \* ARABIC </w:instrText>
      </w:r>
      <w:r w:rsidR="00E02571">
        <w:fldChar w:fldCharType="separate"/>
      </w:r>
      <w:r w:rsidR="00B94204">
        <w:rPr>
          <w:noProof/>
        </w:rPr>
        <w:t>5</w:t>
      </w:r>
      <w:r w:rsidR="00E02571">
        <w:rPr>
          <w:noProof/>
        </w:rPr>
        <w:fldChar w:fldCharType="end"/>
      </w:r>
      <w:r w:rsidR="00771675">
        <w:t>:</w:t>
      </w:r>
      <w:r w:rsidR="00771675" w:rsidRPr="00771675">
        <w:rPr>
          <w:b w:val="0"/>
        </w:rPr>
        <w:t xml:space="preserve"> Finansielle data for mellemstore taganlæg</w:t>
      </w:r>
      <w:r w:rsidR="00771675">
        <w:rPr>
          <w:b w:val="0"/>
        </w:rPr>
        <w:t>(50-500kW)</w:t>
      </w:r>
      <w:r w:rsidR="00771675" w:rsidRPr="00771675">
        <w:rPr>
          <w:b w:val="0"/>
        </w:rPr>
        <w:t>.</w:t>
      </w:r>
      <w:r w:rsidR="00771675">
        <w:rPr>
          <w:b w:val="0"/>
        </w:rPr>
        <w:t xml:space="preserve"> </w:t>
      </w:r>
      <w:r w:rsidR="00771675" w:rsidRPr="00771675">
        <w:rPr>
          <w:b w:val="0"/>
        </w:rPr>
        <w:t xml:space="preserve">Data er bestemt ved at antage at pv panelets pris er </w:t>
      </w:r>
      <w:r w:rsidR="00771675">
        <w:rPr>
          <w:b w:val="0"/>
        </w:rPr>
        <w:t>1</w:t>
      </w:r>
      <w:r w:rsidR="00771675" w:rsidRPr="00771675">
        <w:rPr>
          <w:b w:val="0"/>
        </w:rPr>
        <w:t>0</w:t>
      </w:r>
      <w:r w:rsidR="00771675">
        <w:rPr>
          <w:b w:val="0"/>
        </w:rPr>
        <w:t xml:space="preserve"> </w:t>
      </w:r>
      <w:r w:rsidR="00771675" w:rsidRPr="00771675">
        <w:rPr>
          <w:b w:val="0"/>
        </w:rPr>
        <w:t>% højere end panelpris for store markplacerede solcelleanlæg (&gt;1MW) samme forhold er antaget for inverter</w:t>
      </w:r>
      <w:r w:rsidR="001D1A3F">
        <w:rPr>
          <w:b w:val="0"/>
        </w:rPr>
        <w:t xml:space="preserve"> </w:t>
      </w:r>
      <w:r w:rsidR="00771675" w:rsidRPr="00771675">
        <w:rPr>
          <w:b w:val="0"/>
        </w:rPr>
        <w:t xml:space="preserve">pris. </w:t>
      </w:r>
      <w:r w:rsidR="00771675">
        <w:rPr>
          <w:b w:val="0"/>
        </w:rPr>
        <w:t>BOP</w:t>
      </w:r>
      <w:r w:rsidR="00771675" w:rsidRPr="00771675">
        <w:rPr>
          <w:b w:val="0"/>
        </w:rPr>
        <w:t xml:space="preserve"> er bestemt </w:t>
      </w:r>
      <w:r w:rsidR="00221F18">
        <w:rPr>
          <w:b w:val="0"/>
        </w:rPr>
        <w:t xml:space="preserve">dels </w:t>
      </w:r>
      <w:r w:rsidR="00771675" w:rsidRPr="00771675">
        <w:rPr>
          <w:b w:val="0"/>
        </w:rPr>
        <w:t>ud</w:t>
      </w:r>
      <w:r w:rsidR="00771675">
        <w:rPr>
          <w:b w:val="0"/>
        </w:rPr>
        <w:t xml:space="preserve"> </w:t>
      </w:r>
      <w:r w:rsidR="00771675" w:rsidRPr="00771675">
        <w:rPr>
          <w:b w:val="0"/>
        </w:rPr>
        <w:t>fra de priser for samlede anlæg inklusiv montage og transport</w:t>
      </w:r>
      <w:r w:rsidR="00771675">
        <w:rPr>
          <w:b w:val="0"/>
        </w:rPr>
        <w:t xml:space="preserve"> indhentet under 2</w:t>
      </w:r>
      <w:r w:rsidR="00221F18">
        <w:rPr>
          <w:b w:val="0"/>
        </w:rPr>
        <w:t>,</w:t>
      </w:r>
      <w:r w:rsidR="00771675">
        <w:rPr>
          <w:b w:val="0"/>
        </w:rPr>
        <w:t xml:space="preserve"> </w:t>
      </w:r>
      <w:r w:rsidR="00221F18">
        <w:rPr>
          <w:b w:val="0"/>
        </w:rPr>
        <w:t xml:space="preserve">dels ud fra BOP og </w:t>
      </w:r>
      <w:r w:rsidR="00771675">
        <w:rPr>
          <w:b w:val="0"/>
        </w:rPr>
        <w:t>den udvikling</w:t>
      </w:r>
      <w:r w:rsidR="00221F18">
        <w:rPr>
          <w:b w:val="0"/>
        </w:rPr>
        <w:t xml:space="preserve"> i totalanlægspris </w:t>
      </w:r>
      <w:r w:rsidR="00771675">
        <w:rPr>
          <w:b w:val="0"/>
        </w:rPr>
        <w:t>forudsat i eksisterende teknologikatalog.</w:t>
      </w:r>
    </w:p>
    <w:p w:rsidR="005A1CC5" w:rsidRDefault="005A1CC5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JRC[4] angiver priser for 2015 og forventninger til priser 2020,2030,2040 og 2050 for 5 forskellige scenarier for hhv. kommercielle anlæg og små husholdningsanlæg. Priser i vores forslag følger baseline scenariet forholdsvis godt og ligger omtrent midt i forudsigelserne. </w:t>
      </w:r>
    </w:p>
    <w:p w:rsidR="00113FF3" w:rsidRDefault="00B13690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Størrelsen af </w:t>
      </w:r>
      <w:r w:rsidR="00D92D91">
        <w:rPr>
          <w:rStyle w:val="IntenseEmphasis"/>
          <w:b w:val="0"/>
          <w:i w:val="0"/>
          <w:color w:val="auto"/>
        </w:rPr>
        <w:t xml:space="preserve">ændringer </w:t>
      </w:r>
      <w:r>
        <w:rPr>
          <w:rStyle w:val="IntenseEmphasis"/>
          <w:b w:val="0"/>
          <w:i w:val="0"/>
          <w:color w:val="auto"/>
        </w:rPr>
        <w:t xml:space="preserve">i forhold til de nuværende </w:t>
      </w:r>
      <w:r w:rsidR="00D92D91">
        <w:rPr>
          <w:rStyle w:val="IntenseEmphasis"/>
          <w:b w:val="0"/>
          <w:i w:val="0"/>
          <w:color w:val="auto"/>
        </w:rPr>
        <w:t>ses i tabel 4 og tabel 5. Det ses</w:t>
      </w:r>
      <w:r>
        <w:rPr>
          <w:rStyle w:val="IntenseEmphasis"/>
          <w:b w:val="0"/>
          <w:i w:val="0"/>
          <w:color w:val="auto"/>
        </w:rPr>
        <w:t>,</w:t>
      </w:r>
      <w:r w:rsidR="00D92D91">
        <w:rPr>
          <w:rStyle w:val="IntenseEmphasis"/>
          <w:b w:val="0"/>
          <w:i w:val="0"/>
          <w:color w:val="auto"/>
        </w:rPr>
        <w:t xml:space="preserve"> at </w:t>
      </w:r>
      <w:r>
        <w:rPr>
          <w:rStyle w:val="IntenseEmphasis"/>
          <w:b w:val="0"/>
          <w:i w:val="0"/>
          <w:color w:val="auto"/>
        </w:rPr>
        <w:t>størst er</w:t>
      </w:r>
      <w:r w:rsidR="00D92D91">
        <w:rPr>
          <w:rStyle w:val="IntenseEmphasis"/>
          <w:b w:val="0"/>
          <w:i w:val="0"/>
          <w:color w:val="auto"/>
        </w:rPr>
        <w:t xml:space="preserve"> ændring er i forhold til panelpriserne og det skyldes</w:t>
      </w:r>
      <w:r w:rsidR="00044619">
        <w:rPr>
          <w:rStyle w:val="IntenseEmphasis"/>
          <w:b w:val="0"/>
          <w:i w:val="0"/>
          <w:color w:val="auto"/>
        </w:rPr>
        <w:t>,</w:t>
      </w:r>
      <w:r w:rsidR="00D92D91">
        <w:rPr>
          <w:rStyle w:val="IntenseEmphasis"/>
          <w:b w:val="0"/>
          <w:i w:val="0"/>
          <w:color w:val="auto"/>
        </w:rPr>
        <w:t xml:space="preserve"> dels</w:t>
      </w:r>
      <w:r w:rsidR="00044619">
        <w:rPr>
          <w:rStyle w:val="IntenseEmphasis"/>
          <w:b w:val="0"/>
          <w:i w:val="0"/>
          <w:color w:val="auto"/>
        </w:rPr>
        <w:t>,</w:t>
      </w:r>
      <w:r w:rsidR="00D92D91">
        <w:rPr>
          <w:rStyle w:val="IntenseEmphasis"/>
          <w:b w:val="0"/>
          <w:i w:val="0"/>
          <w:color w:val="auto"/>
        </w:rPr>
        <w:t xml:space="preserve"> at panelprisen er faldet</w:t>
      </w:r>
      <w:r w:rsidR="004053E1">
        <w:rPr>
          <w:rStyle w:val="IntenseEmphasis"/>
          <w:b w:val="0"/>
          <w:i w:val="0"/>
          <w:color w:val="auto"/>
        </w:rPr>
        <w:t xml:space="preserve"> mere end forventet,</w:t>
      </w:r>
      <w:r w:rsidR="00D92D91">
        <w:rPr>
          <w:rStyle w:val="IntenseEmphasis"/>
          <w:b w:val="0"/>
          <w:i w:val="0"/>
          <w:color w:val="auto"/>
        </w:rPr>
        <w:t xml:space="preserve"> men også at </w:t>
      </w:r>
      <w:r w:rsidR="00044619">
        <w:rPr>
          <w:rStyle w:val="IntenseEmphasis"/>
          <w:b w:val="0"/>
          <w:i w:val="0"/>
          <w:color w:val="auto"/>
        </w:rPr>
        <w:t xml:space="preserve">størstedelen af </w:t>
      </w:r>
      <w:r w:rsidR="00D92D91">
        <w:rPr>
          <w:rStyle w:val="IntenseEmphasis"/>
          <w:b w:val="0"/>
          <w:i w:val="0"/>
          <w:color w:val="auto"/>
        </w:rPr>
        <w:t xml:space="preserve">installatør omkostning og profit </w:t>
      </w:r>
      <w:r w:rsidR="00044619">
        <w:rPr>
          <w:rStyle w:val="IntenseEmphasis"/>
          <w:b w:val="0"/>
          <w:i w:val="0"/>
          <w:color w:val="auto"/>
        </w:rPr>
        <w:t xml:space="preserve">nu </w:t>
      </w:r>
      <w:r w:rsidR="004053E1">
        <w:rPr>
          <w:rStyle w:val="IntenseEmphasis"/>
          <w:b w:val="0"/>
          <w:i w:val="0"/>
          <w:color w:val="auto"/>
        </w:rPr>
        <w:t>er lagt ind</w:t>
      </w:r>
      <w:r w:rsidR="00D92D91">
        <w:rPr>
          <w:rStyle w:val="IntenseEmphasis"/>
          <w:b w:val="0"/>
          <w:i w:val="0"/>
          <w:color w:val="auto"/>
        </w:rPr>
        <w:t xml:space="preserve"> under øvrige (Balance of plant).</w:t>
      </w:r>
      <w:r>
        <w:rPr>
          <w:rStyle w:val="IntenseEmphasis"/>
          <w:b w:val="0"/>
          <w:i w:val="0"/>
          <w:color w:val="auto"/>
        </w:rPr>
        <w:t xml:space="preserve"> Total anlægsomkostning falder med 12-14 % for små anlæg, og med 20-25 % for mellemstore anlæg.</w:t>
      </w:r>
    </w:p>
    <w:p w:rsidR="00D92D91" w:rsidRDefault="00D92D91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</w:p>
    <w:tbl>
      <w:tblPr>
        <w:tblW w:w="7338" w:type="dxa"/>
        <w:tblInd w:w="103" w:type="dxa"/>
        <w:tblLook w:val="04A0" w:firstRow="1" w:lastRow="0" w:firstColumn="1" w:lastColumn="0" w:noHBand="0" w:noVBand="1"/>
      </w:tblPr>
      <w:tblGrid>
        <w:gridCol w:w="3501"/>
        <w:gridCol w:w="1279"/>
        <w:gridCol w:w="1279"/>
        <w:gridCol w:w="1279"/>
      </w:tblGrid>
      <w:tr w:rsidR="001C4930" w:rsidRPr="001C4930" w:rsidTr="001C4930">
        <w:trPr>
          <w:trHeight w:val="300"/>
        </w:trPr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Photovoltaics: SMALL residential systems</w:t>
            </w:r>
          </w:p>
        </w:tc>
      </w:tr>
      <w:tr w:rsidR="001C4930" w:rsidRPr="001C4930" w:rsidTr="001C4930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2050</w:t>
            </w:r>
          </w:p>
        </w:tc>
      </w:tr>
      <w:tr w:rsidR="001C4930" w:rsidRPr="001C4930" w:rsidTr="001C493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PV module cost (2015-€/</w:t>
            </w:r>
            <w:proofErr w:type="spellStart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-46%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-45%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-49%</w:t>
            </w:r>
          </w:p>
        </w:tc>
      </w:tr>
      <w:tr w:rsidR="001C4930" w:rsidRPr="001C4930" w:rsidTr="001C4930">
        <w:trPr>
          <w:trHeight w:val="510"/>
        </w:trPr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4930" w:rsidRPr="00137696" w:rsidRDefault="00137696" w:rsidP="00137696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</w:pP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Inverter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pris er </w:t>
            </w: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ikke opgjort separat i nuværende katalog,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det bør indgå </w:t>
            </w: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ved vurdering af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viste</w:t>
            </w: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 ændring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er</w:t>
            </w: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 i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priser for </w:t>
            </w: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panel og BOP.</w:t>
            </w:r>
          </w:p>
        </w:tc>
      </w:tr>
      <w:tr w:rsidR="001C4930" w:rsidRPr="001C4930" w:rsidTr="001C4930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Balance Of Plant cost (2015-€/</w:t>
            </w:r>
            <w:proofErr w:type="spellStart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1%</w:t>
            </w:r>
          </w:p>
        </w:tc>
      </w:tr>
      <w:tr w:rsidR="001C4930" w:rsidRPr="001C4930" w:rsidTr="001C4930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Specific investment, total system (2015-€/</w:t>
            </w:r>
            <w:proofErr w:type="spellStart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-14%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-12%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-14%</w:t>
            </w:r>
          </w:p>
        </w:tc>
      </w:tr>
    </w:tbl>
    <w:p w:rsidR="00113FF3" w:rsidRDefault="00D92D91" w:rsidP="00D92D91">
      <w:pPr>
        <w:pStyle w:val="Caption"/>
        <w:rPr>
          <w:rStyle w:val="IntenseEmphasis"/>
          <w:b/>
          <w:i w:val="0"/>
          <w:color w:val="auto"/>
        </w:rPr>
      </w:pPr>
      <w:proofErr w:type="spellStart"/>
      <w:r>
        <w:t>Table</w:t>
      </w:r>
      <w:proofErr w:type="spellEnd"/>
      <w:r>
        <w:t xml:space="preserve"> </w:t>
      </w:r>
      <w:r w:rsidR="00E02571">
        <w:fldChar w:fldCharType="begin"/>
      </w:r>
      <w:r w:rsidR="00E02571">
        <w:instrText xml:space="preserve"> SEQ Table \* ARABIC </w:instrText>
      </w:r>
      <w:r w:rsidR="00E02571">
        <w:fldChar w:fldCharType="separate"/>
      </w:r>
      <w:r w:rsidR="00B94204">
        <w:rPr>
          <w:noProof/>
        </w:rPr>
        <w:t>6</w:t>
      </w:r>
      <w:r w:rsidR="00E02571">
        <w:rPr>
          <w:noProof/>
        </w:rPr>
        <w:fldChar w:fldCharType="end"/>
      </w:r>
      <w:r w:rsidR="001C4930">
        <w:t>:</w:t>
      </w:r>
      <w:r w:rsidR="001C4930" w:rsidRPr="00137696">
        <w:rPr>
          <w:b w:val="0"/>
        </w:rPr>
        <w:t xml:space="preserve"> </w:t>
      </w:r>
      <w:r w:rsidR="001C4930">
        <w:rPr>
          <w:b w:val="0"/>
        </w:rPr>
        <w:t>Sammenligning af f</w:t>
      </w:r>
      <w:r w:rsidR="001C4930" w:rsidRPr="00137696">
        <w:rPr>
          <w:b w:val="0"/>
        </w:rPr>
        <w:t>orslåede værdier i forhold til data i eksisterende katalog for små private anlæg</w:t>
      </w:r>
      <w:r w:rsidR="001C4930">
        <w:t>.</w:t>
      </w:r>
    </w:p>
    <w:tbl>
      <w:tblPr>
        <w:tblW w:w="8640" w:type="dxa"/>
        <w:tblInd w:w="103" w:type="dxa"/>
        <w:tblLook w:val="04A0" w:firstRow="1" w:lastRow="0" w:firstColumn="1" w:lastColumn="0" w:noHBand="0" w:noVBand="1"/>
      </w:tblPr>
      <w:tblGrid>
        <w:gridCol w:w="2900"/>
        <w:gridCol w:w="2020"/>
        <w:gridCol w:w="1860"/>
        <w:gridCol w:w="1860"/>
      </w:tblGrid>
      <w:tr w:rsidR="001C4930" w:rsidRPr="001C4930" w:rsidTr="001C4930">
        <w:trPr>
          <w:trHeight w:val="315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Photovoltaics: MEDIUM sized commercial systems</w:t>
            </w:r>
          </w:p>
        </w:tc>
      </w:tr>
      <w:tr w:rsidR="001C4930" w:rsidRPr="001C4930" w:rsidTr="001C4930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2050</w:t>
            </w:r>
          </w:p>
        </w:tc>
      </w:tr>
      <w:tr w:rsidR="001C4930" w:rsidRPr="001C4930" w:rsidTr="001C4930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PV module cost (2015-€/</w:t>
            </w:r>
            <w:proofErr w:type="spellStart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-48%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-44%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-50%</w:t>
            </w:r>
          </w:p>
        </w:tc>
      </w:tr>
      <w:tr w:rsidR="001C4930" w:rsidRPr="001C4930" w:rsidTr="001C4930">
        <w:trPr>
          <w:trHeight w:val="510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4930" w:rsidRPr="00137696" w:rsidRDefault="00137696" w:rsidP="00137696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</w:pP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="001C4930"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nverter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pris er </w:t>
            </w:r>
            <w:r w:rsidR="001C4930"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ikke opgjort separat i nuværende katalog,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det bør indgå </w:t>
            </w:r>
            <w:r w:rsidR="001C4930"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ved vurdering af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viste</w:t>
            </w: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1C4930"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ændring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er</w:t>
            </w:r>
            <w:r w:rsidR="001C4930"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 i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priser for </w:t>
            </w:r>
            <w:r w:rsidR="001C4930"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panel og BOP</w:t>
            </w:r>
            <w:r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>.</w:t>
            </w:r>
            <w:r w:rsidR="001C4930" w:rsidRPr="00137696">
              <w:rPr>
                <w:rFonts w:eastAsia="Times New Roman" w:cs="Arial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1C4930" w:rsidRPr="001C4930" w:rsidTr="001C4930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Balance Of Plant cost (2015-€/</w:t>
            </w:r>
            <w:proofErr w:type="spellStart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-10%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-6%</w:t>
            </w:r>
          </w:p>
        </w:tc>
      </w:tr>
      <w:tr w:rsidR="001C4930" w:rsidRPr="001C4930" w:rsidTr="001C4930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Specific investment, total system (2015-€/</w:t>
            </w:r>
            <w:proofErr w:type="spellStart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Wp</w:t>
            </w:r>
            <w:proofErr w:type="spellEnd"/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-25%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-23%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4930" w:rsidRPr="001C4930" w:rsidRDefault="001C4930" w:rsidP="001C493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C493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-21%</w:t>
            </w:r>
          </w:p>
        </w:tc>
      </w:tr>
    </w:tbl>
    <w:p w:rsidR="00D92D91" w:rsidRDefault="00D92D91" w:rsidP="00D92D91">
      <w:pPr>
        <w:pStyle w:val="Caption"/>
        <w:rPr>
          <w:rStyle w:val="IntenseEmphasis"/>
          <w:b/>
          <w:i w:val="0"/>
          <w:color w:val="auto"/>
        </w:rPr>
      </w:pPr>
      <w:proofErr w:type="spellStart"/>
      <w:r>
        <w:t>Table</w:t>
      </w:r>
      <w:proofErr w:type="spellEnd"/>
      <w:r>
        <w:t xml:space="preserve"> </w:t>
      </w:r>
      <w:r w:rsidR="00E02571">
        <w:fldChar w:fldCharType="begin"/>
      </w:r>
      <w:r w:rsidR="00E02571">
        <w:instrText xml:space="preserve"> SEQ Table \* ARABIC </w:instrText>
      </w:r>
      <w:r w:rsidR="00E02571">
        <w:fldChar w:fldCharType="separate"/>
      </w:r>
      <w:r w:rsidR="00B94204">
        <w:rPr>
          <w:noProof/>
        </w:rPr>
        <w:t>7</w:t>
      </w:r>
      <w:r w:rsidR="00E02571">
        <w:rPr>
          <w:noProof/>
        </w:rPr>
        <w:fldChar w:fldCharType="end"/>
      </w:r>
      <w:r w:rsidR="001C4930">
        <w:t>:</w:t>
      </w:r>
      <w:r w:rsidR="001C4930" w:rsidRPr="00AA22BC">
        <w:rPr>
          <w:b w:val="0"/>
        </w:rPr>
        <w:t xml:space="preserve"> </w:t>
      </w:r>
      <w:r w:rsidR="001C4930">
        <w:rPr>
          <w:b w:val="0"/>
        </w:rPr>
        <w:t>Sammenligning af f</w:t>
      </w:r>
      <w:r w:rsidR="001C4930" w:rsidRPr="00AA22BC">
        <w:rPr>
          <w:b w:val="0"/>
        </w:rPr>
        <w:t xml:space="preserve">orslåede værdier i forhold til data i eksisterende katalog for </w:t>
      </w:r>
      <w:r w:rsidR="001C4930">
        <w:rPr>
          <w:b w:val="0"/>
        </w:rPr>
        <w:t xml:space="preserve">mellemstore </w:t>
      </w:r>
      <w:r w:rsidR="001C4930" w:rsidRPr="00AA22BC">
        <w:rPr>
          <w:b w:val="0"/>
        </w:rPr>
        <w:t>anlæg</w:t>
      </w:r>
      <w:r w:rsidR="001C4930">
        <w:rPr>
          <w:b w:val="0"/>
        </w:rPr>
        <w:t xml:space="preserve"> til erhverv.</w:t>
      </w:r>
    </w:p>
    <w:p w:rsidR="00CF042A" w:rsidRPr="00B77EBA" w:rsidRDefault="00D60BEF" w:rsidP="00CF042A">
      <w:pPr>
        <w:spacing w:before="240" w:line="240" w:lineRule="auto"/>
        <w:rPr>
          <w:color w:val="1F497D"/>
          <w:sz w:val="18"/>
        </w:rPr>
      </w:pPr>
      <w:r>
        <w:rPr>
          <w:color w:val="1F497D"/>
          <w:sz w:val="18"/>
        </w:rPr>
        <w:t xml:space="preserve"> </w:t>
      </w:r>
      <w:r w:rsidR="00CF042A">
        <w:rPr>
          <w:color w:val="1F497D"/>
          <w:sz w:val="18"/>
        </w:rPr>
        <w:t xml:space="preserve"> </w:t>
      </w:r>
      <w:r w:rsidR="00CF042A" w:rsidRPr="00B77EBA">
        <w:rPr>
          <w:color w:val="1F497D"/>
          <w:sz w:val="18"/>
        </w:rPr>
        <w:t xml:space="preserve"> </w:t>
      </w:r>
    </w:p>
    <w:p w:rsidR="00063862" w:rsidRDefault="00063862">
      <w:pPr>
        <w:spacing w:after="200" w:line="276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br w:type="page"/>
      </w:r>
    </w:p>
    <w:p w:rsidR="006819DD" w:rsidRDefault="006819DD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</w:p>
    <w:p w:rsidR="006819DD" w:rsidRPr="006819DD" w:rsidRDefault="006819DD" w:rsidP="006819DD">
      <w:pPr>
        <w:spacing w:after="200"/>
        <w:rPr>
          <w:rStyle w:val="IntenseEmphasis"/>
          <w:bCs w:val="0"/>
          <w:i w:val="0"/>
          <w:iCs w:val="0"/>
          <w:color w:val="auto"/>
        </w:rPr>
      </w:pPr>
      <w:r w:rsidRPr="006819DD">
        <w:rPr>
          <w:rStyle w:val="IntenseEmphasis"/>
          <w:bCs w:val="0"/>
          <w:i w:val="0"/>
          <w:iCs w:val="0"/>
          <w:color w:val="auto"/>
        </w:rPr>
        <w:t xml:space="preserve">Analyse af </w:t>
      </w:r>
      <w:r>
        <w:rPr>
          <w:rStyle w:val="IntenseEmphasis"/>
          <w:bCs w:val="0"/>
          <w:i w:val="0"/>
          <w:iCs w:val="0"/>
          <w:color w:val="auto"/>
        </w:rPr>
        <w:t>DC/AC faktor</w:t>
      </w:r>
      <w:r w:rsidRPr="006819DD">
        <w:rPr>
          <w:rStyle w:val="IntenseEmphasis"/>
          <w:bCs w:val="0"/>
          <w:i w:val="0"/>
          <w:iCs w:val="0"/>
          <w:color w:val="auto"/>
        </w:rPr>
        <w:t xml:space="preserve"> </w:t>
      </w:r>
    </w:p>
    <w:tbl>
      <w:tblPr>
        <w:tblW w:w="11649" w:type="dxa"/>
        <w:tblInd w:w="103" w:type="dxa"/>
        <w:tblLook w:val="04A0" w:firstRow="1" w:lastRow="0" w:firstColumn="1" w:lastColumn="0" w:noHBand="0" w:noVBand="1"/>
      </w:tblPr>
      <w:tblGrid>
        <w:gridCol w:w="2200"/>
        <w:gridCol w:w="2713"/>
        <w:gridCol w:w="1561"/>
        <w:gridCol w:w="1424"/>
        <w:gridCol w:w="3751"/>
      </w:tblGrid>
      <w:tr w:rsidR="00B13690" w:rsidRPr="00B13690" w:rsidTr="00B13690">
        <w:trPr>
          <w:trHeight w:val="5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 xml:space="preserve">DC/AC </w:t>
            </w:r>
            <w:proofErr w:type="spellStart"/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faktor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690" w:rsidRPr="00B13690" w:rsidRDefault="00B13690" w:rsidP="00B136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proofErr w:type="spellStart"/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Gennemsnit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690" w:rsidRPr="00B13690" w:rsidRDefault="00B13690" w:rsidP="00B136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Max.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690" w:rsidRPr="00B13690" w:rsidRDefault="00B13690" w:rsidP="00B136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 xml:space="preserve">Min. 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690" w:rsidRPr="00B13690" w:rsidRDefault="00B13690" w:rsidP="00B136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proofErr w:type="spellStart"/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Standardafvigelse</w:t>
            </w:r>
            <w:proofErr w:type="spellEnd"/>
          </w:p>
        </w:tc>
      </w:tr>
      <w:tr w:rsidR="00B13690" w:rsidRPr="00B13690" w:rsidTr="00B13690">
        <w:trPr>
          <w:trHeight w:val="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Private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1.02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1.08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0.94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0.05</w:t>
            </w:r>
          </w:p>
        </w:tc>
      </w:tr>
      <w:tr w:rsidR="00B13690" w:rsidRPr="00B13690" w:rsidTr="00B13690">
        <w:trPr>
          <w:trHeight w:val="41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proofErr w:type="spellStart"/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Erhverv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1.04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1.25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1.00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690" w:rsidRPr="00B13690" w:rsidRDefault="00B13690" w:rsidP="00B13690">
            <w:pPr>
              <w:keepNext/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</w:pPr>
            <w:r w:rsidRPr="00B13690">
              <w:rPr>
                <w:rFonts w:ascii="Calibri" w:eastAsia="Times New Roman" w:hAnsi="Calibri" w:cs="Times New Roman"/>
                <w:color w:val="000000"/>
                <w:sz w:val="22"/>
                <w:lang w:val="en-GB" w:eastAsia="en-GB"/>
              </w:rPr>
              <w:t>0.10</w:t>
            </w:r>
          </w:p>
        </w:tc>
      </w:tr>
    </w:tbl>
    <w:p w:rsidR="00B13690" w:rsidRDefault="00B13690" w:rsidP="00B13690">
      <w:pPr>
        <w:pStyle w:val="Caption"/>
        <w:rPr>
          <w:rStyle w:val="IntenseEmphasis"/>
          <w:b/>
          <w:i w:val="0"/>
          <w:color w:val="auto"/>
        </w:rPr>
      </w:pPr>
      <w:proofErr w:type="spellStart"/>
      <w:r>
        <w:t>Table</w:t>
      </w:r>
      <w:proofErr w:type="spellEnd"/>
      <w:r>
        <w:t xml:space="preserve"> </w:t>
      </w:r>
      <w:r w:rsidR="00E02571">
        <w:fldChar w:fldCharType="begin"/>
      </w:r>
      <w:r w:rsidR="00E02571">
        <w:instrText xml:space="preserve"> SEQ Table \* ARABIC </w:instrText>
      </w:r>
      <w:r w:rsidR="00E02571">
        <w:fldChar w:fldCharType="separate"/>
      </w:r>
      <w:r w:rsidR="00B94204">
        <w:rPr>
          <w:noProof/>
        </w:rPr>
        <w:t>8</w:t>
      </w:r>
      <w:r w:rsidR="00E02571">
        <w:rPr>
          <w:noProof/>
        </w:rPr>
        <w:fldChar w:fldCharType="end"/>
      </w:r>
      <w:r w:rsidR="00063862">
        <w:t>: A/C faktor fundet i undersøgelse 2b for 6 små private anlæg og 6 mellemstore anlæg til erhverv.</w:t>
      </w:r>
    </w:p>
    <w:p w:rsidR="00EC5B1E" w:rsidRDefault="006819DD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Det ses af data i tabel</w:t>
      </w:r>
      <w:r w:rsidR="00B13690">
        <w:rPr>
          <w:rStyle w:val="IntenseEmphasis"/>
          <w:b w:val="0"/>
          <w:i w:val="0"/>
          <w:color w:val="auto"/>
        </w:rPr>
        <w:t xml:space="preserve"> 6</w:t>
      </w:r>
      <w:r>
        <w:rPr>
          <w:rStyle w:val="IntenseEmphasis"/>
          <w:b w:val="0"/>
          <w:i w:val="0"/>
          <w:color w:val="auto"/>
        </w:rPr>
        <w:t>, at der ikke er grund til at tro</w:t>
      </w:r>
      <w:r w:rsidR="005B0836">
        <w:rPr>
          <w:rStyle w:val="IntenseEmphasis"/>
          <w:b w:val="0"/>
          <w:i w:val="0"/>
          <w:color w:val="auto"/>
        </w:rPr>
        <w:t>,</w:t>
      </w:r>
      <w:r>
        <w:rPr>
          <w:rStyle w:val="IntenseEmphasis"/>
          <w:b w:val="0"/>
          <w:i w:val="0"/>
          <w:color w:val="auto"/>
        </w:rPr>
        <w:t xml:space="preserve"> at der har været radikal ændring i DC/AC faktoren for de mindre og mellemstore tagplacerede anlæg</w:t>
      </w:r>
      <w:r w:rsidR="005B0836">
        <w:rPr>
          <w:rStyle w:val="IntenseEmphasis"/>
          <w:b w:val="0"/>
          <w:i w:val="0"/>
          <w:color w:val="auto"/>
        </w:rPr>
        <w:t xml:space="preserve">. Derfor bibeholdes DC/AC faktoren </w:t>
      </w:r>
      <w:r w:rsidR="00EC5B1E">
        <w:rPr>
          <w:rStyle w:val="IntenseEmphasis"/>
          <w:b w:val="0"/>
          <w:i w:val="0"/>
          <w:color w:val="auto"/>
        </w:rPr>
        <w:t>1.05 som i det eksisterende katalog.</w:t>
      </w:r>
    </w:p>
    <w:p w:rsidR="003218EA" w:rsidRDefault="003218EA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</w:p>
    <w:p w:rsidR="003218EA" w:rsidRDefault="003218EA" w:rsidP="003218EA">
      <w:pPr>
        <w:rPr>
          <w:rStyle w:val="IntenseEmphasis"/>
          <w:b w:val="0"/>
          <w:i w:val="0"/>
          <w:color w:val="auto"/>
        </w:rPr>
      </w:pPr>
      <w:r w:rsidRPr="00137696">
        <w:rPr>
          <w:rStyle w:val="IntenseEmphasis"/>
          <w:b w:val="0"/>
          <w:i w:val="0"/>
          <w:color w:val="auto"/>
        </w:rPr>
        <w:t xml:space="preserve">[1]: Salgsrepræsentanter fra </w:t>
      </w:r>
      <w:r>
        <w:rPr>
          <w:rStyle w:val="IntenseEmphasis"/>
          <w:b w:val="0"/>
          <w:i w:val="0"/>
          <w:color w:val="auto"/>
        </w:rPr>
        <w:t>5 leverandører (i tilfældig rækkefølge)</w:t>
      </w:r>
      <w:r w:rsidRPr="00137696">
        <w:rPr>
          <w:rStyle w:val="IntenseEmphasis"/>
          <w:b w:val="0"/>
          <w:i w:val="0"/>
          <w:color w:val="auto"/>
        </w:rPr>
        <w:t xml:space="preserve">: </w:t>
      </w:r>
    </w:p>
    <w:p w:rsidR="003218EA" w:rsidRPr="00137696" w:rsidRDefault="003218EA" w:rsidP="00EA13FD">
      <w:pPr>
        <w:pStyle w:val="ListParagraph"/>
        <w:numPr>
          <w:ilvl w:val="0"/>
          <w:numId w:val="3"/>
        </w:numPr>
        <w:rPr>
          <w:rStyle w:val="IntenseEmphasis"/>
          <w:b w:val="0"/>
          <w:i w:val="0"/>
          <w:color w:val="auto"/>
        </w:rPr>
      </w:pPr>
      <w:proofErr w:type="spellStart"/>
      <w:r w:rsidRPr="00137696">
        <w:rPr>
          <w:rStyle w:val="IntenseEmphasis"/>
          <w:b w:val="0"/>
          <w:i w:val="0"/>
          <w:color w:val="auto"/>
        </w:rPr>
        <w:t>Changzhou</w:t>
      </w:r>
      <w:proofErr w:type="spellEnd"/>
      <w:r w:rsidRPr="00137696">
        <w:rPr>
          <w:rStyle w:val="IntenseEmphasis"/>
          <w:b w:val="0"/>
          <w:i w:val="0"/>
          <w:color w:val="auto"/>
        </w:rPr>
        <w:t xml:space="preserve"> </w:t>
      </w:r>
      <w:proofErr w:type="spellStart"/>
      <w:r w:rsidRPr="00137696">
        <w:rPr>
          <w:rStyle w:val="IntenseEmphasis"/>
          <w:b w:val="0"/>
          <w:i w:val="0"/>
          <w:color w:val="auto"/>
        </w:rPr>
        <w:t>EGing</w:t>
      </w:r>
      <w:proofErr w:type="spellEnd"/>
      <w:r w:rsidRPr="00137696">
        <w:rPr>
          <w:rStyle w:val="IntenseEmphasis"/>
          <w:b w:val="0"/>
          <w:i w:val="0"/>
          <w:color w:val="auto"/>
        </w:rPr>
        <w:t xml:space="preserve"> </w:t>
      </w:r>
      <w:proofErr w:type="spellStart"/>
      <w:r w:rsidRPr="00137696">
        <w:rPr>
          <w:rStyle w:val="IntenseEmphasis"/>
          <w:b w:val="0"/>
          <w:i w:val="0"/>
          <w:color w:val="auto"/>
        </w:rPr>
        <w:t>Photovoltaic</w:t>
      </w:r>
      <w:proofErr w:type="spellEnd"/>
      <w:r w:rsidRPr="00137696">
        <w:rPr>
          <w:rStyle w:val="IntenseEmphasis"/>
          <w:b w:val="0"/>
          <w:i w:val="0"/>
          <w:color w:val="auto"/>
        </w:rPr>
        <w:t xml:space="preserve"> Technology Co., Ltd.,</w:t>
      </w:r>
    </w:p>
    <w:p w:rsidR="003218EA" w:rsidRPr="00137696" w:rsidRDefault="003218EA" w:rsidP="00EA13FD">
      <w:pPr>
        <w:pStyle w:val="ListParagraph"/>
        <w:numPr>
          <w:ilvl w:val="0"/>
          <w:numId w:val="3"/>
        </w:numPr>
        <w:rPr>
          <w:rStyle w:val="IntenseEmphasis"/>
          <w:b w:val="0"/>
          <w:i w:val="0"/>
          <w:color w:val="auto"/>
        </w:rPr>
      </w:pPr>
      <w:r w:rsidRPr="00137696">
        <w:rPr>
          <w:rStyle w:val="IntenseEmphasis"/>
          <w:rFonts w:hint="eastAsia"/>
          <w:b w:val="0"/>
          <w:i w:val="0"/>
          <w:color w:val="auto"/>
        </w:rPr>
        <w:t xml:space="preserve">China </w:t>
      </w:r>
      <w:proofErr w:type="spellStart"/>
      <w:r w:rsidRPr="00137696">
        <w:rPr>
          <w:rStyle w:val="IntenseEmphasis"/>
          <w:rFonts w:hint="eastAsia"/>
          <w:b w:val="0"/>
          <w:i w:val="0"/>
          <w:color w:val="auto"/>
        </w:rPr>
        <w:t>Sunergy</w:t>
      </w:r>
      <w:proofErr w:type="spellEnd"/>
      <w:r w:rsidRPr="00137696">
        <w:rPr>
          <w:rStyle w:val="IntenseEmphasis"/>
          <w:rFonts w:hint="eastAsia"/>
          <w:b w:val="0"/>
          <w:i w:val="0"/>
          <w:color w:val="auto"/>
        </w:rPr>
        <w:t xml:space="preserve"> (Nanjing) </w:t>
      </w:r>
      <w:proofErr w:type="spellStart"/>
      <w:proofErr w:type="gramStart"/>
      <w:r w:rsidRPr="00137696">
        <w:rPr>
          <w:rStyle w:val="IntenseEmphasis"/>
          <w:rFonts w:hint="eastAsia"/>
          <w:b w:val="0"/>
          <w:i w:val="0"/>
          <w:color w:val="auto"/>
        </w:rPr>
        <w:t>Co.,Ltd</w:t>
      </w:r>
      <w:proofErr w:type="spellEnd"/>
      <w:proofErr w:type="gramEnd"/>
      <w:r w:rsidRPr="00137696">
        <w:rPr>
          <w:rStyle w:val="IntenseEmphasis"/>
          <w:b w:val="0"/>
          <w:i w:val="0"/>
          <w:color w:val="auto"/>
        </w:rPr>
        <w:t>,</w:t>
      </w:r>
    </w:p>
    <w:p w:rsidR="003218EA" w:rsidRPr="00137696" w:rsidRDefault="003218EA" w:rsidP="00EA13FD">
      <w:pPr>
        <w:pStyle w:val="ListParagraph"/>
        <w:numPr>
          <w:ilvl w:val="0"/>
          <w:numId w:val="3"/>
        </w:numPr>
        <w:rPr>
          <w:rStyle w:val="IntenseEmphasis"/>
          <w:b w:val="0"/>
          <w:i w:val="0"/>
          <w:color w:val="auto"/>
        </w:rPr>
      </w:pPr>
      <w:r w:rsidRPr="00137696">
        <w:rPr>
          <w:rStyle w:val="IntenseEmphasis"/>
          <w:b w:val="0"/>
          <w:i w:val="0"/>
          <w:color w:val="auto"/>
        </w:rPr>
        <w:t>Trinasolar,</w:t>
      </w:r>
    </w:p>
    <w:p w:rsidR="003218EA" w:rsidRPr="00137696" w:rsidRDefault="003218EA" w:rsidP="00EA13FD">
      <w:pPr>
        <w:pStyle w:val="ListParagraph"/>
        <w:numPr>
          <w:ilvl w:val="0"/>
          <w:numId w:val="3"/>
        </w:numPr>
        <w:rPr>
          <w:rStyle w:val="IntenseEmphasis"/>
          <w:b w:val="0"/>
          <w:i w:val="0"/>
          <w:color w:val="auto"/>
        </w:rPr>
      </w:pPr>
      <w:r w:rsidRPr="00137696">
        <w:rPr>
          <w:rStyle w:val="IntenseEmphasis"/>
          <w:b w:val="0"/>
          <w:i w:val="0"/>
          <w:color w:val="auto"/>
        </w:rPr>
        <w:t xml:space="preserve">ZNSHINE PV-TECH CO., LTD. </w:t>
      </w:r>
    </w:p>
    <w:p w:rsidR="003218EA" w:rsidRPr="00137696" w:rsidRDefault="003218EA" w:rsidP="00EA13FD">
      <w:pPr>
        <w:pStyle w:val="ListParagraph"/>
        <w:numPr>
          <w:ilvl w:val="0"/>
          <w:numId w:val="3"/>
        </w:numPr>
        <w:rPr>
          <w:rStyle w:val="IntenseEmphasis"/>
          <w:b w:val="0"/>
          <w:i w:val="0"/>
          <w:color w:val="auto"/>
        </w:rPr>
      </w:pPr>
      <w:proofErr w:type="spellStart"/>
      <w:r w:rsidRPr="00137696">
        <w:rPr>
          <w:rStyle w:val="IntenseEmphasis"/>
          <w:b w:val="0"/>
          <w:i w:val="0"/>
          <w:color w:val="auto"/>
        </w:rPr>
        <w:t>Elkem</w:t>
      </w:r>
      <w:proofErr w:type="spellEnd"/>
      <w:r w:rsidRPr="00137696">
        <w:rPr>
          <w:rStyle w:val="IntenseEmphasis"/>
          <w:b w:val="0"/>
          <w:i w:val="0"/>
          <w:color w:val="auto"/>
        </w:rPr>
        <w:t xml:space="preserve"> Solar</w:t>
      </w:r>
    </w:p>
    <w:p w:rsidR="00916489" w:rsidRPr="00916489" w:rsidRDefault="00916489" w:rsidP="00916489">
      <w:pPr>
        <w:spacing w:before="240" w:line="240" w:lineRule="auto"/>
        <w:rPr>
          <w:rStyle w:val="IntenseEmphasis"/>
          <w:b w:val="0"/>
          <w:i w:val="0"/>
          <w:color w:val="auto"/>
        </w:rPr>
      </w:pPr>
    </w:p>
    <w:p w:rsidR="00916489" w:rsidRPr="00C53E6F" w:rsidRDefault="00916489" w:rsidP="00916489">
      <w:pPr>
        <w:spacing w:after="200"/>
        <w:rPr>
          <w:rStyle w:val="IntenseEmphasis"/>
          <w:b w:val="0"/>
          <w:bCs w:val="0"/>
          <w:i w:val="0"/>
          <w:iCs w:val="0"/>
          <w:color w:val="auto"/>
        </w:rPr>
      </w:pPr>
      <w:r w:rsidRPr="00916489">
        <w:rPr>
          <w:rStyle w:val="IntenseEmphasis"/>
          <w:b w:val="0"/>
          <w:i w:val="0"/>
          <w:color w:val="auto"/>
        </w:rPr>
        <w:t>[</w:t>
      </w:r>
      <w:r>
        <w:rPr>
          <w:rStyle w:val="IntenseEmphasis"/>
          <w:b w:val="0"/>
          <w:i w:val="0"/>
          <w:color w:val="auto"/>
        </w:rPr>
        <w:t>2</w:t>
      </w:r>
      <w:r w:rsidRPr="00916489">
        <w:rPr>
          <w:rStyle w:val="IntenseEmphasis"/>
          <w:b w:val="0"/>
          <w:i w:val="0"/>
          <w:color w:val="auto"/>
        </w:rPr>
        <w:t>]</w:t>
      </w:r>
      <w:r>
        <w:rPr>
          <w:rStyle w:val="IntenseEmphasis"/>
          <w:b w:val="0"/>
          <w:i w:val="0"/>
          <w:color w:val="auto"/>
        </w:rPr>
        <w:t xml:space="preserve">: </w:t>
      </w:r>
      <w:proofErr w:type="spellStart"/>
      <w:r w:rsidRPr="00C53E6F">
        <w:rPr>
          <w:rStyle w:val="IntenseEmphasis"/>
          <w:b w:val="0"/>
          <w:i w:val="0"/>
          <w:color w:val="auto"/>
        </w:rPr>
        <w:t>Renewable</w:t>
      </w:r>
      <w:proofErr w:type="spellEnd"/>
      <w:r w:rsidRPr="00C53E6F">
        <w:rPr>
          <w:rStyle w:val="IntenseEmphasis"/>
          <w:b w:val="0"/>
          <w:i w:val="0"/>
          <w:color w:val="auto"/>
        </w:rPr>
        <w:t xml:space="preserve"> Power Generation </w:t>
      </w:r>
      <w:proofErr w:type="spellStart"/>
      <w:r>
        <w:rPr>
          <w:rStyle w:val="IntenseEmphasis"/>
          <w:b w:val="0"/>
          <w:i w:val="0"/>
          <w:color w:val="auto"/>
        </w:rPr>
        <w:t>C</w:t>
      </w:r>
      <w:r w:rsidRPr="00C53E6F">
        <w:rPr>
          <w:rStyle w:val="IntenseEmphasis"/>
          <w:b w:val="0"/>
          <w:i w:val="0"/>
          <w:color w:val="auto"/>
        </w:rPr>
        <w:t>ost</w:t>
      </w:r>
      <w:r>
        <w:rPr>
          <w:rStyle w:val="IntenseEmphasis"/>
          <w:b w:val="0"/>
          <w:i w:val="0"/>
          <w:color w:val="auto"/>
        </w:rPr>
        <w:t>s</w:t>
      </w:r>
      <w:proofErr w:type="spellEnd"/>
      <w:r w:rsidRPr="00C53E6F">
        <w:rPr>
          <w:rStyle w:val="IntenseEmphasis"/>
          <w:b w:val="0"/>
          <w:i w:val="0"/>
          <w:color w:val="auto"/>
        </w:rPr>
        <w:t xml:space="preserve"> in 2017, IRENA</w:t>
      </w:r>
      <w:r>
        <w:rPr>
          <w:rStyle w:val="IntenseEmphasis"/>
          <w:b w:val="0"/>
          <w:i w:val="0"/>
          <w:color w:val="auto"/>
        </w:rPr>
        <w:t>,</w:t>
      </w:r>
      <w:r w:rsidRPr="00C53E6F">
        <w:rPr>
          <w:rStyle w:val="IntenseEmphasis"/>
          <w:b w:val="0"/>
          <w:i w:val="0"/>
          <w:color w:val="auto"/>
        </w:rPr>
        <w:t xml:space="preserve"> januar 2018</w:t>
      </w:r>
      <w:r>
        <w:rPr>
          <w:rStyle w:val="IntenseEmphasis"/>
          <w:b w:val="0"/>
          <w:i w:val="0"/>
          <w:color w:val="auto"/>
        </w:rPr>
        <w:t xml:space="preserve"> [2]</w:t>
      </w:r>
      <w:r w:rsidRPr="00C53E6F">
        <w:rPr>
          <w:rStyle w:val="IntenseEmphasis"/>
          <w:b w:val="0"/>
          <w:i w:val="0"/>
          <w:color w:val="auto"/>
        </w:rPr>
        <w:t>.</w:t>
      </w:r>
    </w:p>
    <w:p w:rsidR="00916489" w:rsidRDefault="00916489" w:rsidP="00143C1C">
      <w:pPr>
        <w:spacing w:before="240" w:line="240" w:lineRule="auto"/>
        <w:rPr>
          <w:rStyle w:val="IntenseEmphasis"/>
          <w:b w:val="0"/>
          <w:i w:val="0"/>
          <w:color w:val="auto"/>
        </w:rPr>
      </w:pPr>
    </w:p>
    <w:p w:rsidR="004A1716" w:rsidRDefault="00916489" w:rsidP="00143C1C">
      <w:pPr>
        <w:spacing w:before="240" w:line="240" w:lineRule="auto"/>
      </w:pPr>
      <w:r>
        <w:rPr>
          <w:rStyle w:val="IntenseEmphasis"/>
          <w:b w:val="0"/>
          <w:i w:val="0"/>
          <w:color w:val="auto"/>
        </w:rPr>
        <w:t xml:space="preserve">[3]: </w:t>
      </w:r>
      <w:r w:rsidR="004A1716">
        <w:rPr>
          <w:rStyle w:val="IntenseEmphasis"/>
          <w:b w:val="0"/>
          <w:i w:val="0"/>
          <w:color w:val="auto"/>
        </w:rPr>
        <w:t>S</w:t>
      </w:r>
      <w:r w:rsidR="004A1716" w:rsidRPr="004A1716">
        <w:t>olcelle-installationsfirmaers hjemmesider 1.-5. marts 2018</w:t>
      </w:r>
      <w:r w:rsidR="004A1716">
        <w:t>:</w:t>
      </w:r>
    </w:p>
    <w:p w:rsidR="003218EA" w:rsidRDefault="004A1716" w:rsidP="004A1716">
      <w:pPr>
        <w:spacing w:before="240" w:line="240" w:lineRule="auto"/>
        <w:rPr>
          <w:rStyle w:val="IntenseEmphasis"/>
          <w:b w:val="0"/>
          <w:i w:val="0"/>
          <w:color w:val="auto"/>
        </w:rPr>
      </w:pPr>
      <w:r>
        <w:rPr>
          <w:b/>
        </w:rPr>
        <w:t xml:space="preserve"> </w:t>
      </w:r>
      <w:hyperlink r:id="rId9" w:history="1">
        <w:r w:rsidR="009A3F43" w:rsidRPr="00902F71">
          <w:rPr>
            <w:rStyle w:val="Hyperlink"/>
          </w:rPr>
          <w:t>https://www.vivaenergi.dk</w:t>
        </w:r>
      </w:hyperlink>
    </w:p>
    <w:p w:rsidR="00916489" w:rsidRDefault="00E02571" w:rsidP="00143C1C">
      <w:pPr>
        <w:spacing w:before="240" w:line="240" w:lineRule="auto"/>
        <w:rPr>
          <w:rStyle w:val="Hyperlink"/>
          <w:bCs/>
          <w:iCs/>
        </w:rPr>
      </w:pPr>
      <w:hyperlink r:id="rId10" w:history="1">
        <w:r w:rsidR="004A1716" w:rsidRPr="00902F71">
          <w:rPr>
            <w:rStyle w:val="Hyperlink"/>
            <w:bCs/>
            <w:iCs/>
          </w:rPr>
          <w:t>https://xn--billigtsolcelleanlg-2xb.dk</w:t>
        </w:r>
      </w:hyperlink>
    </w:p>
    <w:p w:rsidR="004A1716" w:rsidRPr="004A1716" w:rsidRDefault="004A1716" w:rsidP="00143C1C">
      <w:pPr>
        <w:spacing w:before="240" w:line="240" w:lineRule="auto"/>
        <w:rPr>
          <w:rStyle w:val="Hyperlink"/>
          <w:bCs/>
          <w:iCs/>
        </w:rPr>
      </w:pPr>
      <w:r w:rsidRPr="004A1716">
        <w:rPr>
          <w:rStyle w:val="Hyperlink"/>
          <w:bCs/>
          <w:iCs/>
        </w:rPr>
        <w:t>https://klimaenergi.dk</w:t>
      </w:r>
    </w:p>
    <w:p w:rsidR="004A1716" w:rsidRPr="00925002" w:rsidRDefault="008022F6" w:rsidP="008022F6">
      <w:pPr>
        <w:spacing w:before="240" w:after="240" w:line="276" w:lineRule="auto"/>
        <w:rPr>
          <w:rStyle w:val="IntenseEmphasis"/>
          <w:b w:val="0"/>
          <w:i w:val="0"/>
          <w:color w:val="auto"/>
          <w:lang w:val="en-GB"/>
        </w:rPr>
      </w:pPr>
      <w:r>
        <w:rPr>
          <w:rStyle w:val="IntenseEmphasis"/>
          <w:b w:val="0"/>
          <w:i w:val="0"/>
          <w:color w:val="auto"/>
        </w:rPr>
        <w:t>[4</w:t>
      </w:r>
      <w:r w:rsidRPr="00925002">
        <w:rPr>
          <w:rStyle w:val="IntenseEmphasis"/>
          <w:b w:val="0"/>
          <w:i w:val="0"/>
          <w:color w:val="auto"/>
          <w:lang w:val="en-GB"/>
        </w:rPr>
        <w:t>]:</w:t>
      </w:r>
      <w:r w:rsidRPr="00925002">
        <w:rPr>
          <w:rStyle w:val="IntenseEmphasis"/>
          <w:b w:val="0"/>
          <w:i w:val="0"/>
          <w:color w:val="auto"/>
          <w:lang w:val="en-GB"/>
        </w:rPr>
        <w:t xml:space="preserve"> </w:t>
      </w:r>
      <w:r w:rsidRPr="00925002">
        <w:rPr>
          <w:rStyle w:val="IntenseEmphasis"/>
          <w:b w:val="0"/>
          <w:i w:val="0"/>
          <w:color w:val="auto"/>
          <w:lang w:val="en-GB"/>
        </w:rPr>
        <w:t>Cost development of low carbon energy technologies</w:t>
      </w:r>
      <w:r w:rsidRPr="00925002">
        <w:rPr>
          <w:rStyle w:val="IntenseEmphasis"/>
          <w:b w:val="0"/>
          <w:i w:val="0"/>
          <w:color w:val="auto"/>
          <w:lang w:val="en-GB"/>
        </w:rPr>
        <w:t>,</w:t>
      </w:r>
      <w:r w:rsidR="00925002" w:rsidRPr="00925002">
        <w:rPr>
          <w:rStyle w:val="IntenseEmphasis"/>
          <w:b w:val="0"/>
          <w:i w:val="0"/>
          <w:color w:val="auto"/>
          <w:lang w:val="en-GB"/>
        </w:rPr>
        <w:t xml:space="preserve"> </w:t>
      </w:r>
      <w:r w:rsidRPr="00925002">
        <w:rPr>
          <w:rStyle w:val="IntenseEmphasis"/>
          <w:b w:val="0"/>
          <w:i w:val="0"/>
          <w:color w:val="auto"/>
          <w:lang w:val="en-GB"/>
        </w:rPr>
        <w:t>Scenario-based cost trajectories to 2050, 2017 edition,</w:t>
      </w:r>
      <w:r w:rsidR="00925002">
        <w:rPr>
          <w:rStyle w:val="IntenseEmphasis"/>
          <w:b w:val="0"/>
          <w:i w:val="0"/>
          <w:color w:val="auto"/>
          <w:lang w:val="en-GB"/>
        </w:rPr>
        <w:t xml:space="preserve"> </w:t>
      </w:r>
      <w:proofErr w:type="spellStart"/>
      <w:r w:rsidRPr="00925002">
        <w:rPr>
          <w:rStyle w:val="IntenseEmphasis"/>
          <w:b w:val="0"/>
          <w:i w:val="0"/>
          <w:color w:val="auto"/>
          <w:lang w:val="en-GB"/>
        </w:rPr>
        <w:t>Tsiropoulos</w:t>
      </w:r>
      <w:proofErr w:type="spellEnd"/>
      <w:r w:rsidRPr="00925002">
        <w:rPr>
          <w:rStyle w:val="IntenseEmphasis"/>
          <w:b w:val="0"/>
          <w:i w:val="0"/>
          <w:color w:val="auto"/>
          <w:lang w:val="en-GB"/>
        </w:rPr>
        <w:t xml:space="preserve">, I. </w:t>
      </w:r>
      <w:proofErr w:type="spellStart"/>
      <w:r w:rsidRPr="00925002">
        <w:rPr>
          <w:rStyle w:val="IntenseEmphasis"/>
          <w:b w:val="0"/>
          <w:i w:val="0"/>
          <w:color w:val="auto"/>
          <w:lang w:val="en-GB"/>
        </w:rPr>
        <w:t>Tarvydas</w:t>
      </w:r>
      <w:proofErr w:type="spellEnd"/>
      <w:r w:rsidRPr="00925002">
        <w:rPr>
          <w:rStyle w:val="IntenseEmphasis"/>
          <w:b w:val="0"/>
          <w:i w:val="0"/>
          <w:color w:val="auto"/>
          <w:lang w:val="en-GB"/>
        </w:rPr>
        <w:t xml:space="preserve">, D., </w:t>
      </w:r>
      <w:proofErr w:type="spellStart"/>
      <w:r w:rsidRPr="00925002">
        <w:rPr>
          <w:rStyle w:val="IntenseEmphasis"/>
          <w:b w:val="0"/>
          <w:i w:val="0"/>
          <w:color w:val="auto"/>
          <w:lang w:val="en-GB"/>
        </w:rPr>
        <w:t>Zucker</w:t>
      </w:r>
      <w:proofErr w:type="spellEnd"/>
      <w:r w:rsidRPr="00925002">
        <w:rPr>
          <w:rStyle w:val="IntenseEmphasis"/>
          <w:b w:val="0"/>
          <w:i w:val="0"/>
          <w:color w:val="auto"/>
          <w:lang w:val="en-GB"/>
        </w:rPr>
        <w:t xml:space="preserve">, A. January </w:t>
      </w:r>
      <w:r w:rsidRPr="00925002">
        <w:rPr>
          <w:rStyle w:val="IntenseEmphasis"/>
          <w:b w:val="0"/>
          <w:i w:val="0"/>
          <w:color w:val="auto"/>
          <w:lang w:val="en-GB"/>
        </w:rPr>
        <w:t xml:space="preserve">2018  </w:t>
      </w:r>
    </w:p>
    <w:sectPr w:rsidR="004A1716" w:rsidRPr="00925002" w:rsidSect="004E6D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71" w:rsidRDefault="00E02571" w:rsidP="008969C1">
      <w:pPr>
        <w:spacing w:line="240" w:lineRule="auto"/>
      </w:pPr>
      <w:r>
        <w:separator/>
      </w:r>
    </w:p>
  </w:endnote>
  <w:endnote w:type="continuationSeparator" w:id="0">
    <w:p w:rsidR="00E02571" w:rsidRDefault="00E02571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8D" w:rsidRDefault="00100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8D" w:rsidRPr="002A4EDA" w:rsidRDefault="0010098D">
    <w:pPr>
      <w:pStyle w:val="Footer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CB56E0">
      <w:rPr>
        <w:noProof/>
      </w:rPr>
      <w:t>2</w:t>
    </w:r>
    <w:r w:rsidRPr="002A4EDA">
      <w:fldChar w:fldCharType="end"/>
    </w:r>
    <w:r w:rsidRPr="002A4EDA">
      <w:t>/</w:t>
    </w:r>
    <w:r w:rsidR="00E02571">
      <w:fldChar w:fldCharType="begin"/>
    </w:r>
    <w:r w:rsidR="00E02571">
      <w:instrText xml:space="preserve"> NUMPAGES </w:instrText>
    </w:r>
    <w:r w:rsidR="00E02571">
      <w:fldChar w:fldCharType="separate"/>
    </w:r>
    <w:r w:rsidR="00CB56E0">
      <w:rPr>
        <w:noProof/>
      </w:rPr>
      <w:t>5</w:t>
    </w:r>
    <w:r w:rsidR="00E0257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8D" w:rsidRPr="002A4EDA" w:rsidRDefault="0010098D">
    <w:pPr>
      <w:pStyle w:val="Footer"/>
    </w:pPr>
    <w:r w:rsidRPr="002A4ED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3EF8C" wp14:editId="0879B471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098D" w:rsidRDefault="0010098D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10098D" w:rsidRPr="00AB4885" w:rsidRDefault="0010098D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0098D" w:rsidRPr="00110084" w:rsidRDefault="0010098D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Amaliegade 44</w:t>
                          </w:r>
                        </w:p>
                        <w:p w:rsidR="0010098D" w:rsidRDefault="0010098D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1256 København K</w:t>
                          </w:r>
                        </w:p>
                        <w:p w:rsidR="0010098D" w:rsidRPr="00F714AB" w:rsidRDefault="0010098D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0098D" w:rsidRPr="00110084" w:rsidRDefault="0010098D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10098D" w:rsidRDefault="0010098D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:rsidR="0010098D" w:rsidRPr="00F714AB" w:rsidRDefault="0010098D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0098D" w:rsidRPr="00F714AB" w:rsidRDefault="0010098D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www.ens</w:t>
                          </w:r>
                          <w:r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10098D" w:rsidRDefault="0010098D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10098D" w:rsidRPr="00AB4885" w:rsidRDefault="0010098D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0098D" w:rsidRPr="00110084" w:rsidRDefault="0010098D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Amaliegade 44</w:t>
                    </w:r>
                  </w:p>
                  <w:p w:rsidR="0010098D" w:rsidRDefault="0010098D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1256 København K</w:t>
                    </w:r>
                  </w:p>
                  <w:p w:rsidR="0010098D" w:rsidRPr="00F714AB" w:rsidRDefault="0010098D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0098D" w:rsidRPr="00110084" w:rsidRDefault="0010098D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10098D" w:rsidRDefault="0010098D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10098D" w:rsidRPr="00F714AB" w:rsidRDefault="0010098D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0098D" w:rsidRPr="00F714AB" w:rsidRDefault="0010098D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www.ens</w:t>
                    </w:r>
                    <w:r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CB56E0">
      <w:rPr>
        <w:noProof/>
      </w:rPr>
      <w:t>1</w:t>
    </w:r>
    <w:r w:rsidRPr="002A4EDA">
      <w:fldChar w:fldCharType="end"/>
    </w:r>
    <w:r w:rsidRPr="002A4EDA">
      <w:t>/</w:t>
    </w:r>
    <w:r w:rsidR="00E02571">
      <w:fldChar w:fldCharType="begin"/>
    </w:r>
    <w:r w:rsidR="00E02571">
      <w:instrText xml:space="preserve"> NUMPAGES </w:instrText>
    </w:r>
    <w:r w:rsidR="00E02571">
      <w:fldChar w:fldCharType="separate"/>
    </w:r>
    <w:r w:rsidR="00CB56E0">
      <w:rPr>
        <w:noProof/>
      </w:rPr>
      <w:t>5</w:t>
    </w:r>
    <w:r w:rsidR="00E025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71" w:rsidRDefault="00E02571" w:rsidP="008969C1">
      <w:pPr>
        <w:spacing w:line="240" w:lineRule="auto"/>
      </w:pPr>
      <w:r>
        <w:separator/>
      </w:r>
    </w:p>
  </w:footnote>
  <w:footnote w:type="continuationSeparator" w:id="0">
    <w:p w:rsidR="00E02571" w:rsidRDefault="00E02571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8D" w:rsidRDefault="00100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8D" w:rsidRDefault="0010098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79F0BDAB" wp14:editId="23A93C83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8D" w:rsidRDefault="0010098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2E833CF1" wp14:editId="7BC5AABC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3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924E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144E64"/>
    <w:multiLevelType w:val="hybridMultilevel"/>
    <w:tmpl w:val="3BA81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3F6A"/>
    <w:multiLevelType w:val="hybridMultilevel"/>
    <w:tmpl w:val="1B46A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6C"/>
    <w:rsid w:val="000129E1"/>
    <w:rsid w:val="0001541B"/>
    <w:rsid w:val="00022817"/>
    <w:rsid w:val="000240AC"/>
    <w:rsid w:val="00033F9D"/>
    <w:rsid w:val="00036061"/>
    <w:rsid w:val="00044619"/>
    <w:rsid w:val="00063862"/>
    <w:rsid w:val="00065C74"/>
    <w:rsid w:val="000808F3"/>
    <w:rsid w:val="0008428E"/>
    <w:rsid w:val="00086163"/>
    <w:rsid w:val="000A08E2"/>
    <w:rsid w:val="000A59B8"/>
    <w:rsid w:val="000A7134"/>
    <w:rsid w:val="000A748C"/>
    <w:rsid w:val="000B50A3"/>
    <w:rsid w:val="000C207C"/>
    <w:rsid w:val="000C47E1"/>
    <w:rsid w:val="000D34C1"/>
    <w:rsid w:val="0010098D"/>
    <w:rsid w:val="00110084"/>
    <w:rsid w:val="00113FF3"/>
    <w:rsid w:val="00122E29"/>
    <w:rsid w:val="00127693"/>
    <w:rsid w:val="00137696"/>
    <w:rsid w:val="00140C61"/>
    <w:rsid w:val="00143AC6"/>
    <w:rsid w:val="00143C1C"/>
    <w:rsid w:val="00181E5B"/>
    <w:rsid w:val="00183A43"/>
    <w:rsid w:val="00194743"/>
    <w:rsid w:val="001B01DD"/>
    <w:rsid w:val="001C4930"/>
    <w:rsid w:val="001D1A3F"/>
    <w:rsid w:val="002070BB"/>
    <w:rsid w:val="00214364"/>
    <w:rsid w:val="00221F18"/>
    <w:rsid w:val="00231212"/>
    <w:rsid w:val="00251DB5"/>
    <w:rsid w:val="002611C9"/>
    <w:rsid w:val="002626A8"/>
    <w:rsid w:val="0027768F"/>
    <w:rsid w:val="002861AB"/>
    <w:rsid w:val="00296E6F"/>
    <w:rsid w:val="002A1D29"/>
    <w:rsid w:val="002A325E"/>
    <w:rsid w:val="002A4EDA"/>
    <w:rsid w:val="002C135B"/>
    <w:rsid w:val="003218EA"/>
    <w:rsid w:val="0034007A"/>
    <w:rsid w:val="00340F20"/>
    <w:rsid w:val="00347BCC"/>
    <w:rsid w:val="00352DBE"/>
    <w:rsid w:val="00363F9F"/>
    <w:rsid w:val="00395493"/>
    <w:rsid w:val="003B1472"/>
    <w:rsid w:val="003B241C"/>
    <w:rsid w:val="003B31EC"/>
    <w:rsid w:val="003B5DBB"/>
    <w:rsid w:val="003B7D18"/>
    <w:rsid w:val="003C64B2"/>
    <w:rsid w:val="003D7D27"/>
    <w:rsid w:val="004053E1"/>
    <w:rsid w:val="00405AD5"/>
    <w:rsid w:val="004129C4"/>
    <w:rsid w:val="00426C38"/>
    <w:rsid w:val="004456A7"/>
    <w:rsid w:val="004508CC"/>
    <w:rsid w:val="004704DA"/>
    <w:rsid w:val="004744C4"/>
    <w:rsid w:val="004847C2"/>
    <w:rsid w:val="0049433E"/>
    <w:rsid w:val="004A1716"/>
    <w:rsid w:val="004D5CFB"/>
    <w:rsid w:val="004E6D04"/>
    <w:rsid w:val="004F5C81"/>
    <w:rsid w:val="005104C0"/>
    <w:rsid w:val="00514242"/>
    <w:rsid w:val="00527652"/>
    <w:rsid w:val="005340A7"/>
    <w:rsid w:val="0054688B"/>
    <w:rsid w:val="00570AAE"/>
    <w:rsid w:val="00580B6B"/>
    <w:rsid w:val="005A1CC5"/>
    <w:rsid w:val="005B0836"/>
    <w:rsid w:val="005C5BEC"/>
    <w:rsid w:val="005D2B08"/>
    <w:rsid w:val="005D79EC"/>
    <w:rsid w:val="005E1DCF"/>
    <w:rsid w:val="005E6DC5"/>
    <w:rsid w:val="006202F5"/>
    <w:rsid w:val="00632422"/>
    <w:rsid w:val="00665F29"/>
    <w:rsid w:val="00667FF1"/>
    <w:rsid w:val="006803EB"/>
    <w:rsid w:val="006819DD"/>
    <w:rsid w:val="006B1BD8"/>
    <w:rsid w:val="006D6210"/>
    <w:rsid w:val="006D6C5F"/>
    <w:rsid w:val="006E691D"/>
    <w:rsid w:val="006F09D1"/>
    <w:rsid w:val="00721870"/>
    <w:rsid w:val="00727B35"/>
    <w:rsid w:val="00740BD5"/>
    <w:rsid w:val="00742489"/>
    <w:rsid w:val="007636C2"/>
    <w:rsid w:val="00771675"/>
    <w:rsid w:val="007B75E6"/>
    <w:rsid w:val="00800E2B"/>
    <w:rsid w:val="008022F6"/>
    <w:rsid w:val="00802C9E"/>
    <w:rsid w:val="00804D82"/>
    <w:rsid w:val="008176EC"/>
    <w:rsid w:val="008414C2"/>
    <w:rsid w:val="008838AD"/>
    <w:rsid w:val="00895922"/>
    <w:rsid w:val="008969C1"/>
    <w:rsid w:val="008B09EC"/>
    <w:rsid w:val="008B2A36"/>
    <w:rsid w:val="008B5B5E"/>
    <w:rsid w:val="008F2666"/>
    <w:rsid w:val="00903CC7"/>
    <w:rsid w:val="00916489"/>
    <w:rsid w:val="00917B79"/>
    <w:rsid w:val="00923F35"/>
    <w:rsid w:val="00924B3B"/>
    <w:rsid w:val="00924B41"/>
    <w:rsid w:val="00925002"/>
    <w:rsid w:val="0094184B"/>
    <w:rsid w:val="00985C56"/>
    <w:rsid w:val="009A3F43"/>
    <w:rsid w:val="009D18F8"/>
    <w:rsid w:val="009D1E37"/>
    <w:rsid w:val="009D3FB5"/>
    <w:rsid w:val="009E2B35"/>
    <w:rsid w:val="009F235E"/>
    <w:rsid w:val="00A11731"/>
    <w:rsid w:val="00A245A0"/>
    <w:rsid w:val="00A31ED8"/>
    <w:rsid w:val="00A46851"/>
    <w:rsid w:val="00A53C43"/>
    <w:rsid w:val="00A77B6C"/>
    <w:rsid w:val="00A9284C"/>
    <w:rsid w:val="00A94C64"/>
    <w:rsid w:val="00AB4885"/>
    <w:rsid w:val="00AC3FF3"/>
    <w:rsid w:val="00AC60EA"/>
    <w:rsid w:val="00AD4A7A"/>
    <w:rsid w:val="00B13690"/>
    <w:rsid w:val="00B1566A"/>
    <w:rsid w:val="00B22DCC"/>
    <w:rsid w:val="00B5277B"/>
    <w:rsid w:val="00B536E9"/>
    <w:rsid w:val="00B64ED6"/>
    <w:rsid w:val="00B77EBA"/>
    <w:rsid w:val="00B81953"/>
    <w:rsid w:val="00B94204"/>
    <w:rsid w:val="00BA0FCB"/>
    <w:rsid w:val="00BB144E"/>
    <w:rsid w:val="00BD2772"/>
    <w:rsid w:val="00BE7FA7"/>
    <w:rsid w:val="00C048D8"/>
    <w:rsid w:val="00C20E5C"/>
    <w:rsid w:val="00C25D1B"/>
    <w:rsid w:val="00C2614C"/>
    <w:rsid w:val="00C371EF"/>
    <w:rsid w:val="00C4750C"/>
    <w:rsid w:val="00C53E6F"/>
    <w:rsid w:val="00C651CC"/>
    <w:rsid w:val="00C801C9"/>
    <w:rsid w:val="00C84897"/>
    <w:rsid w:val="00CA0C7F"/>
    <w:rsid w:val="00CB01A0"/>
    <w:rsid w:val="00CB3A7C"/>
    <w:rsid w:val="00CB56E0"/>
    <w:rsid w:val="00CF042A"/>
    <w:rsid w:val="00D1257F"/>
    <w:rsid w:val="00D12E7B"/>
    <w:rsid w:val="00D34286"/>
    <w:rsid w:val="00D357CF"/>
    <w:rsid w:val="00D51E80"/>
    <w:rsid w:val="00D60BEF"/>
    <w:rsid w:val="00D727FD"/>
    <w:rsid w:val="00D824AF"/>
    <w:rsid w:val="00D92D91"/>
    <w:rsid w:val="00D93447"/>
    <w:rsid w:val="00DA7419"/>
    <w:rsid w:val="00DB2383"/>
    <w:rsid w:val="00DB27AD"/>
    <w:rsid w:val="00DB49D5"/>
    <w:rsid w:val="00DC2214"/>
    <w:rsid w:val="00DD1186"/>
    <w:rsid w:val="00DE2BDA"/>
    <w:rsid w:val="00DF76B2"/>
    <w:rsid w:val="00E02571"/>
    <w:rsid w:val="00E452E8"/>
    <w:rsid w:val="00E52507"/>
    <w:rsid w:val="00E62BA2"/>
    <w:rsid w:val="00E649BD"/>
    <w:rsid w:val="00E65202"/>
    <w:rsid w:val="00E97B69"/>
    <w:rsid w:val="00EA13FD"/>
    <w:rsid w:val="00EB1C13"/>
    <w:rsid w:val="00EB3E35"/>
    <w:rsid w:val="00EC5B1E"/>
    <w:rsid w:val="00ED066E"/>
    <w:rsid w:val="00EF04F1"/>
    <w:rsid w:val="00F02820"/>
    <w:rsid w:val="00F21BB2"/>
    <w:rsid w:val="00F246A3"/>
    <w:rsid w:val="00F3314C"/>
    <w:rsid w:val="00F419B9"/>
    <w:rsid w:val="00F437C2"/>
    <w:rsid w:val="00F503E8"/>
    <w:rsid w:val="00F714AB"/>
    <w:rsid w:val="00FA19BE"/>
    <w:rsid w:val="00FA3F72"/>
    <w:rsid w:val="00F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E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2D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7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C1"/>
  </w:style>
  <w:style w:type="paragraph" w:styleId="Footer">
    <w:name w:val="footer"/>
    <w:basedOn w:val="Normal"/>
    <w:link w:val="FooterChar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C1"/>
  </w:style>
  <w:style w:type="paragraph" w:styleId="BalloonText">
    <w:name w:val="Balloon Text"/>
    <w:basedOn w:val="Normal"/>
    <w:link w:val="BalloonTextChar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885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070BB"/>
    <w:rPr>
      <w:b/>
      <w:bCs/>
      <w:i/>
      <w:iCs/>
      <w:color w:val="0097A7" w:themeColor="accent1"/>
    </w:rPr>
  </w:style>
  <w:style w:type="paragraph" w:styleId="ListParagraph">
    <w:name w:val="List Paragraph"/>
    <w:basedOn w:val="Normal"/>
    <w:uiPriority w:val="34"/>
    <w:qFormat/>
    <w:rsid w:val="005C5B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5BE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BE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BEC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FB7FB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D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D8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1ED8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ED8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22DCC"/>
    <w:rPr>
      <w:rFonts w:asciiTheme="majorHAnsi" w:eastAsiaTheme="majorEastAsia" w:hAnsiTheme="majorHAnsi" w:cstheme="majorBidi"/>
      <w:b/>
      <w:bCs/>
      <w:i/>
      <w:iCs/>
      <w:color w:val="0097A7" w:themeColor="accen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3C1C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B77EBA"/>
    <w:pPr>
      <w:spacing w:after="200" w:line="240" w:lineRule="auto"/>
    </w:pPr>
    <w:rPr>
      <w:b/>
      <w:bCs/>
      <w:color w:val="0097A7" w:themeColor="accent1"/>
      <w:sz w:val="18"/>
      <w:szCs w:val="18"/>
    </w:rPr>
  </w:style>
  <w:style w:type="paragraph" w:customStyle="1" w:styleId="Default">
    <w:name w:val="Default"/>
    <w:rsid w:val="008022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E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2D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7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C1"/>
  </w:style>
  <w:style w:type="paragraph" w:styleId="Footer">
    <w:name w:val="footer"/>
    <w:basedOn w:val="Normal"/>
    <w:link w:val="FooterChar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C1"/>
  </w:style>
  <w:style w:type="paragraph" w:styleId="BalloonText">
    <w:name w:val="Balloon Text"/>
    <w:basedOn w:val="Normal"/>
    <w:link w:val="BalloonTextChar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885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070BB"/>
    <w:rPr>
      <w:b/>
      <w:bCs/>
      <w:i/>
      <w:iCs/>
      <w:color w:val="0097A7" w:themeColor="accent1"/>
    </w:rPr>
  </w:style>
  <w:style w:type="paragraph" w:styleId="ListParagraph">
    <w:name w:val="List Paragraph"/>
    <w:basedOn w:val="Normal"/>
    <w:uiPriority w:val="34"/>
    <w:qFormat/>
    <w:rsid w:val="005C5B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5BE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BE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BEC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FB7FB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D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D8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1ED8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ED8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22DCC"/>
    <w:rPr>
      <w:rFonts w:asciiTheme="majorHAnsi" w:eastAsiaTheme="majorEastAsia" w:hAnsiTheme="majorHAnsi" w:cstheme="majorBidi"/>
      <w:b/>
      <w:bCs/>
      <w:i/>
      <w:iCs/>
      <w:color w:val="0097A7" w:themeColor="accen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3C1C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B77EBA"/>
    <w:pPr>
      <w:spacing w:after="200" w:line="240" w:lineRule="auto"/>
    </w:pPr>
    <w:rPr>
      <w:b/>
      <w:bCs/>
      <w:color w:val="0097A7" w:themeColor="accent1"/>
      <w:sz w:val="18"/>
      <w:szCs w:val="18"/>
    </w:rPr>
  </w:style>
  <w:style w:type="paragraph" w:customStyle="1" w:styleId="Default">
    <w:name w:val="Default"/>
    <w:rsid w:val="008022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xn--billigtsolcelleanlg-2xb.dk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www.vivaenergi.d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B8741FB6-D588-41B3-B893-74382F2EA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131F7-29AF-409B-A74A-FF5E66C36CB0}"/>
</file>

<file path=customXml/itemProps3.xml><?xml version="1.0" encoding="utf-8"?>
<ds:datastoreItem xmlns:ds="http://schemas.openxmlformats.org/officeDocument/2006/customXml" ds:itemID="{3D041DE1-B822-4FA8-B192-BC2F0A981765}"/>
</file>

<file path=customXml/itemProps4.xml><?xml version="1.0" encoding="utf-8"?>
<ds:datastoreItem xmlns:ds="http://schemas.openxmlformats.org/officeDocument/2006/customXml" ds:itemID="{A6B93D5D-98D1-4686-BA95-24F2B9DE77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5922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www.RiisDATA.com v/Michael Riis Sørensen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 Stenby Lundsager</dc:creator>
  <cp:lastModifiedBy>Rikke Næraa</cp:lastModifiedBy>
  <cp:revision>49</cp:revision>
  <dcterms:created xsi:type="dcterms:W3CDTF">2018-03-05T11:25:00Z</dcterms:created>
  <dcterms:modified xsi:type="dcterms:W3CDTF">2018-03-27T08:28:00Z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