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C5" w:rsidRPr="00EB2D54" w:rsidRDefault="00BD38C5" w:rsidP="00BD38C5">
      <w:pPr>
        <w:rPr>
          <w:b/>
        </w:rPr>
      </w:pPr>
      <w:bookmarkStart w:id="0" w:name="_GoBack"/>
      <w:r w:rsidRPr="00EB2D54">
        <w:rPr>
          <w:b/>
        </w:rPr>
        <w:t xml:space="preserve">Notat om </w:t>
      </w:r>
      <w:r>
        <w:rPr>
          <w:b/>
        </w:rPr>
        <w:t xml:space="preserve">håndtering af </w:t>
      </w:r>
      <w:r w:rsidRPr="00EB2D54">
        <w:rPr>
          <w:b/>
        </w:rPr>
        <w:t>indkomne høringssvar</w:t>
      </w:r>
      <w:bookmarkEnd w:id="0"/>
      <w:r w:rsidRPr="00EB2D54">
        <w:rPr>
          <w:b/>
        </w:rPr>
        <w:t xml:space="preserve"> vedrørende </w:t>
      </w:r>
      <w:r>
        <w:rPr>
          <w:b/>
        </w:rPr>
        <w:t xml:space="preserve">de endelige </w:t>
      </w:r>
      <w:r w:rsidRPr="00EB2D54">
        <w:rPr>
          <w:b/>
        </w:rPr>
        <w:t>samfundsøkonomiske beregningsforudsætninger 2018</w:t>
      </w:r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A53C43">
              <w:rPr>
                <w:b/>
                <w:sz w:val="16"/>
                <w:szCs w:val="16"/>
              </w:rPr>
              <w:t>Kontor/afdeling</w:t>
            </w:r>
          </w:p>
          <w:p w:rsidR="008F2666" w:rsidRPr="00A53C43" w:rsidRDefault="00BD38C5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Systemanalyse</w:t>
            </w:r>
          </w:p>
          <w:p w:rsidR="00A53C43" w:rsidRDefault="00A53C43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036061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Dato</w:t>
            </w: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CREATEDATE  \@ "d. MMMM yyyy"  \* MERGEFORMAT </w:instrText>
            </w:r>
            <w:r>
              <w:rPr>
                <w:sz w:val="16"/>
                <w:szCs w:val="16"/>
              </w:rPr>
              <w:fldChar w:fldCharType="separate"/>
            </w:r>
            <w:r w:rsidR="00A235B3">
              <w:rPr>
                <w:noProof/>
                <w:sz w:val="16"/>
                <w:szCs w:val="16"/>
              </w:rPr>
              <w:t>17</w:t>
            </w:r>
            <w:r w:rsidR="00BD38C5">
              <w:rPr>
                <w:noProof/>
                <w:sz w:val="16"/>
                <w:szCs w:val="16"/>
              </w:rPr>
              <w:t xml:space="preserve">. </w:t>
            </w:r>
            <w:r w:rsidR="00A235B3">
              <w:rPr>
                <w:noProof/>
                <w:sz w:val="16"/>
                <w:szCs w:val="16"/>
              </w:rPr>
              <w:t xml:space="preserve">oktober </w:t>
            </w:r>
            <w:r w:rsidR="00BD38C5">
              <w:rPr>
                <w:noProof/>
                <w:sz w:val="16"/>
                <w:szCs w:val="16"/>
              </w:rPr>
              <w:t xml:space="preserve"> 2018</w:t>
            </w:r>
            <w:r>
              <w:rPr>
                <w:sz w:val="16"/>
                <w:szCs w:val="16"/>
              </w:rPr>
              <w:fldChar w:fldCharType="end"/>
            </w:r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J nr.</w:t>
            </w:r>
            <w:r>
              <w:rPr>
                <w:sz w:val="16"/>
                <w:szCs w:val="16"/>
              </w:rPr>
              <w:t xml:space="preserve"> </w:t>
            </w:r>
            <w:r w:rsidR="00BD38C5">
              <w:rPr>
                <w:sz w:val="16"/>
                <w:szCs w:val="16"/>
              </w:rPr>
              <w:t xml:space="preserve">2018 - </w:t>
            </w:r>
            <w:proofErr w:type="gramStart"/>
            <w:r w:rsidR="00BD38C5">
              <w:rPr>
                <w:sz w:val="16"/>
                <w:szCs w:val="16"/>
              </w:rPr>
              <w:t>17491</w:t>
            </w:r>
            <w:proofErr w:type="gramEnd"/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  <w:r w:rsidRPr="00A53C43">
              <w:rPr>
                <w:sz w:val="16"/>
                <w:szCs w:val="16"/>
              </w:rPr>
              <w:t>/</w:t>
            </w:r>
            <w:r w:rsidR="00BD38C5">
              <w:rPr>
                <w:sz w:val="16"/>
                <w:szCs w:val="16"/>
              </w:rPr>
              <w:t>IRB</w:t>
            </w:r>
          </w:p>
        </w:tc>
      </w:tr>
    </w:tbl>
    <w:p w:rsidR="008F2666" w:rsidRDefault="008F2666" w:rsidP="00721870">
      <w:pPr>
        <w:spacing w:after="1540"/>
      </w:pPr>
    </w:p>
    <w:p w:rsidR="00BD38C5" w:rsidRDefault="00BD38C5" w:rsidP="00BD38C5">
      <w:r>
        <w:t>Hermed offentliggøres de endelige Sam</w:t>
      </w:r>
      <w:r w:rsidR="00950312">
        <w:t xml:space="preserve">fundsøkonomiske </w:t>
      </w:r>
      <w:proofErr w:type="spellStart"/>
      <w:r w:rsidR="00950312">
        <w:t>beregningsforud</w:t>
      </w:r>
      <w:proofErr w:type="spellEnd"/>
      <w:r w:rsidR="00950312">
        <w:t>-</w:t>
      </w:r>
      <w:r>
        <w:t>sætninger 2018. Energistyrelsen takker for alle de indkomne og konstruktive høringssvar i forbindelse med høringen af de samfundsøkonomiske beregningsforudsætninger 2018</w:t>
      </w:r>
      <w:r>
        <w:rPr>
          <w:rStyle w:val="Fodnotehenvisning"/>
        </w:rPr>
        <w:footnoteReference w:id="1"/>
      </w:r>
      <w:r>
        <w:t xml:space="preserve">. </w:t>
      </w:r>
      <w:r w:rsidR="005B3441">
        <w:t xml:space="preserve">Vi skal beklage, at forudsætningerne først offentliggøres nu, hvilket primært skyldes et større arbejde i Finansministeriet med at opdatere kvoteprisen </w:t>
      </w:r>
      <w:r w:rsidR="005B3441" w:rsidRPr="00A235B3">
        <w:t>via en lettere justeret metode.</w:t>
      </w:r>
    </w:p>
    <w:p w:rsidR="00BD38C5" w:rsidRDefault="00BD38C5" w:rsidP="00BD38C5"/>
    <w:p w:rsidR="00BD38C5" w:rsidRDefault="00BD38C5" w:rsidP="00BD38C5">
      <w:r>
        <w:t>Følgende parter har indgivet høringssvar: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Dansk Energi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Dansk Fjernvarme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Drivkraft Danmark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DTU Management Engineering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Gladsaxe Kommune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HMN og DGD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HOFOR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proofErr w:type="spellStart"/>
      <w:r>
        <w:t>PlanEnergi</w:t>
      </w:r>
      <w:proofErr w:type="spellEnd"/>
      <w:r>
        <w:t xml:space="preserve"> 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Rambøll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Skatteministeriet</w:t>
      </w:r>
    </w:p>
    <w:p w:rsidR="00BD38C5" w:rsidRDefault="00BD38C5" w:rsidP="00BD38C5">
      <w:pPr>
        <w:pStyle w:val="Listeafsnit"/>
        <w:numPr>
          <w:ilvl w:val="0"/>
          <w:numId w:val="1"/>
        </w:numPr>
      </w:pPr>
      <w:r>
        <w:t>VEKS.</w:t>
      </w:r>
    </w:p>
    <w:p w:rsidR="00BD38C5" w:rsidRDefault="00BD38C5" w:rsidP="00BD38C5"/>
    <w:p w:rsidR="00BD38C5" w:rsidRDefault="00BD38C5" w:rsidP="00BD38C5">
      <w:r>
        <w:t xml:space="preserve">Nedenfor er de væsentligste ændringer i forhold til høringsversionen forklaret. Mindre tekstrelaterede ændringer er ikke nævnt, mens alle ændringer der påvirker selve tallene er. De væsentligste ændringer vedrører gasprisen og opdateringen af kvoteprisen. </w:t>
      </w:r>
    </w:p>
    <w:p w:rsidR="00BD38C5" w:rsidRDefault="00BD38C5" w:rsidP="00BD38C5"/>
    <w:p w:rsidR="00BD38C5" w:rsidRDefault="00BD38C5" w:rsidP="00BD38C5">
      <w:r w:rsidRPr="005E6E91">
        <w:rPr>
          <w:rFonts w:asciiTheme="majorHAnsi" w:eastAsiaTheme="majorEastAsia" w:hAnsiTheme="majorHAnsi" w:cstheme="majorBidi"/>
          <w:b/>
          <w:bCs/>
          <w:color w:val="0097A7" w:themeColor="accent1"/>
        </w:rPr>
        <w:t>Ændringer i forhold til den udsendte høringsversion</w:t>
      </w:r>
      <w:r>
        <w:t xml:space="preserve"> </w:t>
      </w:r>
    </w:p>
    <w:p w:rsidR="00BD38C5" w:rsidRDefault="00BD38C5" w:rsidP="00BD38C5">
      <w:pPr>
        <w:pStyle w:val="Listeafsnit"/>
        <w:numPr>
          <w:ilvl w:val="0"/>
          <w:numId w:val="2"/>
        </w:numPr>
        <w:rPr>
          <w:b/>
        </w:rPr>
      </w:pPr>
      <w:r>
        <w:rPr>
          <w:b/>
        </w:rPr>
        <w:t>IEA’s brændselsprisantagelser</w:t>
      </w:r>
    </w:p>
    <w:p w:rsidR="00BD38C5" w:rsidRPr="00674601" w:rsidRDefault="00BD38C5" w:rsidP="00BD38C5">
      <w:pPr>
        <w:pStyle w:val="Listeafsnit"/>
        <w:ind w:left="360"/>
      </w:pPr>
      <w:r>
        <w:t xml:space="preserve">Til omregning af naturgasprisen i tabel 3 var der i høringsversionen anvendt en forkert brandværdi. Dette er justeret i den endelige version. </w:t>
      </w:r>
    </w:p>
    <w:p w:rsidR="00BD38C5" w:rsidRDefault="00BD38C5" w:rsidP="00BD38C5">
      <w:pPr>
        <w:pStyle w:val="Listeafsnit"/>
        <w:ind w:left="360"/>
        <w:rPr>
          <w:b/>
        </w:rPr>
      </w:pPr>
    </w:p>
    <w:p w:rsidR="00BD38C5" w:rsidRPr="00F110CE" w:rsidRDefault="00BD38C5" w:rsidP="00BD38C5">
      <w:pPr>
        <w:pStyle w:val="Listeafsnit"/>
        <w:numPr>
          <w:ilvl w:val="0"/>
          <w:numId w:val="2"/>
        </w:numPr>
        <w:rPr>
          <w:b/>
        </w:rPr>
      </w:pPr>
      <w:r w:rsidRPr="00F110CE">
        <w:rPr>
          <w:b/>
        </w:rPr>
        <w:t>Tillæg til olie og gas</w:t>
      </w:r>
    </w:p>
    <w:p w:rsidR="00BD38C5" w:rsidRDefault="00BD38C5" w:rsidP="00BD38C5">
      <w:pPr>
        <w:pStyle w:val="Listeafsnit"/>
        <w:ind w:left="360"/>
      </w:pPr>
      <w:r>
        <w:lastRenderedPageBreak/>
        <w:t xml:space="preserve">De angivne tillæg (tabel 5) var ikke opdateret korrekt i forhold til de bagvedliggende data fra Danmarks Statistik. Dette er justeret. Priserne an forbrugssted i tabel 6 er konsekvensrettet. </w:t>
      </w:r>
    </w:p>
    <w:p w:rsidR="00BD38C5" w:rsidRDefault="00BD38C5" w:rsidP="00BD38C5">
      <w:pPr>
        <w:pStyle w:val="Listeafsnit"/>
        <w:ind w:left="360"/>
        <w:rPr>
          <w:b/>
        </w:rPr>
      </w:pPr>
    </w:p>
    <w:p w:rsidR="00BD38C5" w:rsidRPr="00D037A0" w:rsidRDefault="00BD38C5" w:rsidP="00BD38C5">
      <w:pPr>
        <w:pStyle w:val="Listeafsnit"/>
        <w:numPr>
          <w:ilvl w:val="0"/>
          <w:numId w:val="2"/>
        </w:numPr>
        <w:rPr>
          <w:b/>
        </w:rPr>
      </w:pPr>
      <w:r w:rsidRPr="00D037A0">
        <w:rPr>
          <w:b/>
        </w:rPr>
        <w:t>Elprisen</w:t>
      </w:r>
    </w:p>
    <w:p w:rsidR="00BD38C5" w:rsidRDefault="00BD38C5" w:rsidP="00BD38C5">
      <w:pPr>
        <w:pStyle w:val="Listeafsnit"/>
        <w:ind w:left="360"/>
      </w:pPr>
      <w:r>
        <w:t xml:space="preserve">Som konsekvens af Energiaftalen er produktionsandelene for </w:t>
      </w:r>
      <w:proofErr w:type="spellStart"/>
      <w:r>
        <w:t>elproduktion</w:t>
      </w:r>
      <w:proofErr w:type="spellEnd"/>
      <w:r>
        <w:t xml:space="preserve"> (tabel 7) blevet justeret, således at kul ikke længere indgår i produktionsmikset, mens andelen </w:t>
      </w:r>
      <w:r w:rsidR="00446035">
        <w:t xml:space="preserve">af </w:t>
      </w:r>
      <w:r>
        <w:t xml:space="preserve">havvind er øget. Dette har betydning for elpriserne i tabel 8, der er justeret som følge heraf.     </w:t>
      </w:r>
    </w:p>
    <w:p w:rsidR="00BD38C5" w:rsidRPr="00EE004D" w:rsidRDefault="00BD38C5" w:rsidP="00BD38C5">
      <w:pPr>
        <w:pStyle w:val="Listeafsnit"/>
        <w:ind w:left="360"/>
      </w:pPr>
    </w:p>
    <w:p w:rsidR="00BD38C5" w:rsidRPr="009727B9" w:rsidRDefault="00BD38C5" w:rsidP="00BD38C5">
      <w:pPr>
        <w:pStyle w:val="Listeafsnit"/>
        <w:numPr>
          <w:ilvl w:val="0"/>
          <w:numId w:val="2"/>
        </w:numPr>
      </w:pPr>
      <w:r w:rsidRPr="009727B9">
        <w:rPr>
          <w:b/>
        </w:rPr>
        <w:t>Gasprisen</w:t>
      </w:r>
    </w:p>
    <w:p w:rsidR="00BD38C5" w:rsidRPr="009727B9" w:rsidRDefault="00BD38C5" w:rsidP="00BD38C5">
      <w:pPr>
        <w:pStyle w:val="Listeafsnit"/>
        <w:ind w:left="360"/>
      </w:pPr>
      <w:r w:rsidRPr="009727B9">
        <w:t>I forhol</w:t>
      </w:r>
      <w:r>
        <w:t>d</w:t>
      </w:r>
      <w:r w:rsidRPr="009727B9">
        <w:t xml:space="preserve"> til</w:t>
      </w:r>
      <w:r>
        <w:t xml:space="preserve"> høringsversionen er der sket to ændringer af gasprisen. Den ene drejer sig om </w:t>
      </w:r>
      <w:proofErr w:type="spellStart"/>
      <w:r>
        <w:t>sunk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og den anden om tilpasning af den rene gaspris i forhold til den voksende andel biogas i gasnettet. </w:t>
      </w:r>
      <w:r w:rsidRPr="009727B9">
        <w:t xml:space="preserve"> </w:t>
      </w:r>
    </w:p>
    <w:p w:rsidR="00BD38C5" w:rsidRPr="009727B9" w:rsidRDefault="00BD38C5" w:rsidP="00BD38C5">
      <w:pPr>
        <w:pStyle w:val="Listeafsnit"/>
        <w:ind w:left="1304"/>
        <w:rPr>
          <w:b/>
        </w:rPr>
      </w:pPr>
      <w:proofErr w:type="spellStart"/>
      <w:r w:rsidRPr="009727B9">
        <w:rPr>
          <w:b/>
        </w:rPr>
        <w:t>Sunk</w:t>
      </w:r>
      <w:proofErr w:type="spellEnd"/>
      <w:r w:rsidRPr="009727B9">
        <w:rPr>
          <w:b/>
        </w:rPr>
        <w:t xml:space="preserve"> </w:t>
      </w:r>
      <w:proofErr w:type="spellStart"/>
      <w:r w:rsidRPr="009727B9">
        <w:rPr>
          <w:b/>
        </w:rPr>
        <w:t>costs</w:t>
      </w:r>
      <w:proofErr w:type="spellEnd"/>
      <w:r>
        <w:rPr>
          <w:b/>
        </w:rPr>
        <w:t xml:space="preserve"> (tabel 10): </w:t>
      </w:r>
      <w:r w:rsidRPr="00DB2B8A">
        <w:t xml:space="preserve">Energistyrelsen havde i </w:t>
      </w:r>
      <w:r>
        <w:t xml:space="preserve">maj måned en ny metode for tillæggene til gas i høring. Metodeændringen drejede sig først og fremmest om en mere detaljeret </w:t>
      </w:r>
      <w:r w:rsidR="00446035">
        <w:t xml:space="preserve">forbrugsinddeling </w:t>
      </w:r>
      <w:r>
        <w:t xml:space="preserve">af kunderne, fremfor de hidtidige tre niveauer; an forbruger, an værk og an kraftværker. Derudover blev alle øvrige dele gennemgået, herunder avance, distributionstarif, transmission og </w:t>
      </w:r>
      <w:proofErr w:type="spellStart"/>
      <w:r>
        <w:t>sunk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. Metoden blev med ganske få justeringer anvendt til fastsættelsen af tillæggene (tabel 10) i </w:t>
      </w:r>
      <w:r w:rsidRPr="00DB2B8A">
        <w:t>høring</w:t>
      </w:r>
      <w:r>
        <w:t xml:space="preserve">sversionen af de samfundsøkonomiske beregningsforudsætninger. Det viste sig efterfølgende, at der var brug for yderligere justeringer, idet </w:t>
      </w:r>
      <w:proofErr w:type="spellStart"/>
      <w:r>
        <w:t>sunk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andelen for distributionstariffen var for lav i forhold til det fastsatte begreb for </w:t>
      </w:r>
      <w:proofErr w:type="spellStart"/>
      <w:r>
        <w:t>sunk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i de samfundsøkonomiske beregningsforudsætninger. Tabel 11 er konsekvensrettet som følge heraf. </w:t>
      </w:r>
    </w:p>
    <w:p w:rsidR="00BD38C5" w:rsidRDefault="00BD38C5" w:rsidP="00BD38C5">
      <w:pPr>
        <w:pStyle w:val="Listeafsnit"/>
        <w:ind w:left="1304"/>
      </w:pPr>
      <w:r w:rsidRPr="009727B9">
        <w:rPr>
          <w:b/>
        </w:rPr>
        <w:t>Biogas</w:t>
      </w:r>
      <w:r>
        <w:rPr>
          <w:b/>
        </w:rPr>
        <w:t xml:space="preserve"> (tabel 11): </w:t>
      </w:r>
      <w:r>
        <w:t>For at skabe konsistens imellem fastsættelsen af elprisen og gasprisen, som begge bevæger sig imod i højere grad, at være en pris for vedvarende energi end for fossil</w:t>
      </w:r>
      <w:r w:rsidR="00446035">
        <w:t>,</w:t>
      </w:r>
      <w:r>
        <w:t xml:space="preserve"> er metoden for fastsættelse af gasprisen revideret. Der tages </w:t>
      </w:r>
      <w:r w:rsidRPr="00B13761">
        <w:t xml:space="preserve">højde for den højere produktionspris ved biogas </w:t>
      </w:r>
      <w:r>
        <w:t>og andre VE-gasser i forhold til naturgas,</w:t>
      </w:r>
      <w:r w:rsidRPr="00B13761">
        <w:t xml:space="preserve"> </w:t>
      </w:r>
      <w:r w:rsidR="00446035">
        <w:t>ved hjælp</w:t>
      </w:r>
      <w:r>
        <w:t xml:space="preserve"> af en vægtet pris imellem de to. Som konsekvens heraf er der også blevet indsat en ny tabel (tabel 13), som angiver CO</w:t>
      </w:r>
      <w:r w:rsidRPr="0004192B">
        <w:rPr>
          <w:vertAlign w:val="subscript"/>
        </w:rPr>
        <w:t>2</w:t>
      </w:r>
      <w:r>
        <w:t>-udledninger fra gasforbrug i årene frem til 2040. CO</w:t>
      </w:r>
      <w:r w:rsidRPr="0004192B">
        <w:rPr>
          <w:vertAlign w:val="subscript"/>
        </w:rPr>
        <w:t>2</w:t>
      </w:r>
      <w:r>
        <w:t xml:space="preserve">-udledningen fra gasforbrug (fossil) var før angivet i tabel 12 som ét konstant tal.    </w:t>
      </w:r>
    </w:p>
    <w:p w:rsidR="00BD38C5" w:rsidRDefault="00BD38C5" w:rsidP="00BD38C5">
      <w:pPr>
        <w:pStyle w:val="Listeafsnit"/>
        <w:ind w:left="360"/>
        <w:rPr>
          <w:b/>
        </w:rPr>
      </w:pPr>
    </w:p>
    <w:p w:rsidR="00BD38C5" w:rsidRPr="00223F06" w:rsidRDefault="00BD38C5" w:rsidP="00BD38C5">
      <w:pPr>
        <w:pStyle w:val="Listeafsnit"/>
        <w:numPr>
          <w:ilvl w:val="0"/>
          <w:numId w:val="2"/>
        </w:numPr>
        <w:rPr>
          <w:b/>
        </w:rPr>
      </w:pPr>
      <w:r w:rsidRPr="00223F06">
        <w:rPr>
          <w:b/>
        </w:rPr>
        <w:t>CO</w:t>
      </w:r>
      <w:r w:rsidRPr="00223F06">
        <w:rPr>
          <w:b/>
          <w:vertAlign w:val="subscript"/>
        </w:rPr>
        <w:t>2</w:t>
      </w:r>
      <w:r w:rsidRPr="00223F06">
        <w:rPr>
          <w:b/>
        </w:rPr>
        <w:t>-emmissioner fra produktion og forbrug af el</w:t>
      </w:r>
    </w:p>
    <w:p w:rsidR="00BD38C5" w:rsidRDefault="00BD38C5" w:rsidP="00BD38C5">
      <w:pPr>
        <w:pStyle w:val="Listeafsnit"/>
        <w:ind w:left="360"/>
      </w:pPr>
      <w:r>
        <w:t>Grundet Energiaftalen, som blev offentliggjort efter høringen af de samfundsøkonomiske brændselsprisforudsætninger, er emissioner fra produktion og forbrug af el justeret en anelse (tabel 13 i høringsversionen, nu tabel 14). I tabellen er også tilføjet CO</w:t>
      </w:r>
      <w:r w:rsidRPr="00223F06">
        <w:rPr>
          <w:vertAlign w:val="subscript"/>
        </w:rPr>
        <w:t>2</w:t>
      </w:r>
      <w:r>
        <w:t xml:space="preserve">-emmissioner. Disse lægger sig, ligesom de øvrige emissionstal i tabellen, op af produktionssammensætningen, </w:t>
      </w:r>
      <w:r>
        <w:lastRenderedPageBreak/>
        <w:t xml:space="preserve">som beskrevet i afsnit 4.1, og er altså ikke med udgangspunkt i Basisfremskrivningen og </w:t>
      </w:r>
      <w:proofErr w:type="spellStart"/>
      <w:r>
        <w:t>frozen</w:t>
      </w:r>
      <w:proofErr w:type="spellEnd"/>
      <w:r>
        <w:t xml:space="preserve"> policy. </w:t>
      </w:r>
    </w:p>
    <w:p w:rsidR="00BD38C5" w:rsidRPr="00EE004D" w:rsidRDefault="00BD38C5" w:rsidP="00BD38C5">
      <w:pPr>
        <w:pStyle w:val="Listeafsnit"/>
        <w:ind w:left="360"/>
      </w:pPr>
    </w:p>
    <w:p w:rsidR="00BD38C5" w:rsidRPr="00D037A0" w:rsidRDefault="00BD38C5" w:rsidP="00BD38C5">
      <w:pPr>
        <w:pStyle w:val="Listeafsnit"/>
        <w:numPr>
          <w:ilvl w:val="0"/>
          <w:numId w:val="2"/>
        </w:numPr>
      </w:pPr>
      <w:r w:rsidRPr="00D037A0">
        <w:rPr>
          <w:b/>
        </w:rPr>
        <w:t>Kvotep</w:t>
      </w:r>
      <w:r>
        <w:rPr>
          <w:b/>
        </w:rPr>
        <w:t>risen</w:t>
      </w:r>
    </w:p>
    <w:p w:rsidR="00BD38C5" w:rsidRPr="00A235B3" w:rsidRDefault="00BD38C5" w:rsidP="005D29A2">
      <w:pPr>
        <w:pStyle w:val="Listeafsnit"/>
        <w:ind w:left="360"/>
      </w:pPr>
      <w:r>
        <w:t>Udgangspunktet for CO</w:t>
      </w:r>
      <w:r w:rsidRPr="00FA775C">
        <w:rPr>
          <w:vertAlign w:val="subscript"/>
        </w:rPr>
        <w:t>2</w:t>
      </w:r>
      <w:r>
        <w:t xml:space="preserve">-kvoteprisen (tabel 14 i høringsversionen, nu tabel 15) i høringsversionen lå væsentligt under den aktuelle markedspris. </w:t>
      </w:r>
      <w:r w:rsidR="005D29A2" w:rsidRPr="005D29A2">
        <w:rPr>
          <w:b/>
        </w:rPr>
        <w:t xml:space="preserve"> </w:t>
      </w:r>
      <w:r w:rsidR="005D29A2" w:rsidRPr="00A235B3">
        <w:t xml:space="preserve">Mange af høringssvarene har derfor påpeget, at kvoteprisfremskrivningen der hidtil er blevet benyttet ikke er tilsvarende den seneste tids udvikling på markedet. Den endelige version tager udgangspunkt i en ny metode udviklet af Finansministeriet. Denne beregner de skønnede implikationer af Ministerrådet og Europaparlamentets reform af kvotehandelssystemet, </w:t>
      </w:r>
      <w:r w:rsidR="001D3F36" w:rsidRPr="00A235B3">
        <w:t>der</w:t>
      </w:r>
      <w:r w:rsidR="005D29A2" w:rsidRPr="00A235B3">
        <w:t xml:space="preserve"> afspejler sig i en højere markedspris. </w:t>
      </w:r>
      <w:r w:rsidR="001D3F36" w:rsidRPr="00A235B3">
        <w:t>D</w:t>
      </w:r>
      <w:r w:rsidR="005D29A2" w:rsidRPr="00A235B3">
        <w:t>e fremskrevne kvotepriser</w:t>
      </w:r>
      <w:r w:rsidR="001D3F36" w:rsidRPr="00A235B3">
        <w:t xml:space="preserve"> er som konsekvens heraf</w:t>
      </w:r>
      <w:r w:rsidR="005D29A2" w:rsidRPr="00A235B3">
        <w:t xml:space="preserve"> substantielt højere end de hidtidige priser</w:t>
      </w:r>
      <w:r w:rsidR="0004781C" w:rsidRPr="00A235B3">
        <w:t xml:space="preserve"> der fremgik i høringsudkastet og</w:t>
      </w:r>
      <w:r w:rsidR="00EB2788" w:rsidRPr="00A235B3">
        <w:t xml:space="preserve"> i</w:t>
      </w:r>
      <w:r w:rsidR="005D29A2" w:rsidRPr="00A235B3">
        <w:t xml:space="preserve"> Basisfremskrivningen 2018. </w:t>
      </w:r>
      <w:r w:rsidRPr="00A235B3">
        <w:t>Prisen for CO</w:t>
      </w:r>
      <w:r w:rsidRPr="00A235B3">
        <w:rPr>
          <w:vertAlign w:val="subscript"/>
        </w:rPr>
        <w:t>2</w:t>
      </w:r>
      <w:r w:rsidRPr="00A235B3">
        <w:t xml:space="preserve">-udledning uden for kvotesektoren er justeret tilsvarende. </w:t>
      </w:r>
    </w:p>
    <w:p w:rsidR="00BD38C5" w:rsidRDefault="00BD38C5" w:rsidP="00BD38C5">
      <w:pPr>
        <w:pStyle w:val="Listeafsnit"/>
        <w:ind w:left="360"/>
        <w:rPr>
          <w:b/>
        </w:rPr>
      </w:pPr>
    </w:p>
    <w:p w:rsidR="00BD38C5" w:rsidRPr="00EB2D54" w:rsidRDefault="00BD38C5" w:rsidP="00BD38C5">
      <w:pPr>
        <w:pStyle w:val="Listeafsnit"/>
        <w:numPr>
          <w:ilvl w:val="0"/>
          <w:numId w:val="2"/>
        </w:numPr>
        <w:rPr>
          <w:b/>
        </w:rPr>
      </w:pPr>
      <w:r w:rsidRPr="00EB2D54">
        <w:rPr>
          <w:b/>
        </w:rPr>
        <w:t>SNAP-værdier:</w:t>
      </w:r>
    </w:p>
    <w:p w:rsidR="00BD38C5" w:rsidRDefault="00BD38C5" w:rsidP="00BD38C5">
      <w:pPr>
        <w:pStyle w:val="Listeafsnit"/>
        <w:ind w:left="360"/>
      </w:pPr>
      <w:r>
        <w:t>Siden høringen af forudsætningerne i juni er der blevet publiceret nye, opdaterede SNAP-værdier</w:t>
      </w:r>
      <w:r>
        <w:rPr>
          <w:rStyle w:val="Fodnotehenvisning"/>
        </w:rPr>
        <w:footnoteReference w:id="2"/>
      </w:r>
      <w:r>
        <w:t xml:space="preserve"> (tabel i 15 høringsversionen nu tabel 16). Disse er medtaget i den endelige version af de samfundsøkonomiske beregningsforudsætninger. SNAP-værdierne er værdisætninger af udledningerne af SO</w:t>
      </w:r>
      <w:r w:rsidRPr="002D3189">
        <w:rPr>
          <w:vertAlign w:val="subscript"/>
        </w:rPr>
        <w:t>2</w:t>
      </w:r>
      <w:r>
        <w:t xml:space="preserve">, </w:t>
      </w:r>
      <w:proofErr w:type="spellStart"/>
      <w:r>
        <w:t>NO</w:t>
      </w:r>
      <w:r w:rsidRPr="002D3189">
        <w:rPr>
          <w:vertAlign w:val="subscript"/>
        </w:rPr>
        <w:t>x</w:t>
      </w:r>
      <w:proofErr w:type="spellEnd"/>
      <w:r>
        <w:t xml:space="preserve"> og PM</w:t>
      </w:r>
      <w:r w:rsidRPr="002D3189">
        <w:rPr>
          <w:vertAlign w:val="subscript"/>
        </w:rPr>
        <w:t>2,5</w:t>
      </w:r>
      <w:r>
        <w:t>.</w:t>
      </w:r>
    </w:p>
    <w:p w:rsidR="00BD38C5" w:rsidRDefault="00BD38C5" w:rsidP="00BD38C5"/>
    <w:p w:rsidR="00A9284C" w:rsidRDefault="00A9284C" w:rsidP="00804D82"/>
    <w:sectPr w:rsidR="00A9284C" w:rsidSect="000A08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A0" w:rsidRDefault="008924A0" w:rsidP="008969C1">
      <w:pPr>
        <w:spacing w:line="240" w:lineRule="auto"/>
      </w:pPr>
      <w:r>
        <w:separator/>
      </w:r>
    </w:p>
  </w:endnote>
  <w:endnote w:type="continuationSeparator" w:id="0">
    <w:p w:rsidR="008924A0" w:rsidRDefault="008924A0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C5" w:rsidRDefault="00BD38C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950312">
      <w:rPr>
        <w:noProof/>
      </w:rPr>
      <w:t>2</w:t>
    </w:r>
    <w:r w:rsidRPr="002A4EDA">
      <w:fldChar w:fldCharType="end"/>
    </w:r>
    <w:r w:rsidRPr="002A4EDA">
      <w:t>/</w:t>
    </w:r>
    <w:fldSimple w:instr=" NUMPAGES ">
      <w:r w:rsidR="00950312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D8BE" wp14:editId="1001A840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Amaliegade 44</w:t>
                          </w:r>
                        </w:p>
                        <w:p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1256 København 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:rsidR="00DA7419" w:rsidRPr="00446035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AT"/>
                            </w:rPr>
                          </w:pPr>
                          <w:r w:rsidRPr="00446035">
                            <w:rPr>
                              <w:sz w:val="16"/>
                              <w:szCs w:val="16"/>
                              <w:lang w:val="de-AT"/>
                            </w:rPr>
                            <w:t>E: ens@ens.dk</w:t>
                          </w:r>
                        </w:p>
                        <w:p w:rsidR="00AB4885" w:rsidRPr="0044603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AT"/>
                            </w:rPr>
                          </w:pPr>
                        </w:p>
                        <w:p w:rsidR="00DA7419" w:rsidRPr="00446035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AT"/>
                            </w:rPr>
                          </w:pPr>
                          <w:r w:rsidRPr="00446035">
                            <w:rPr>
                              <w:sz w:val="16"/>
                              <w:szCs w:val="16"/>
                              <w:lang w:val="de-AT"/>
                            </w:rPr>
                            <w:t>www.</w:t>
                          </w:r>
                          <w:r w:rsidR="00110084" w:rsidRPr="00446035">
                            <w:rPr>
                              <w:sz w:val="16"/>
                              <w:szCs w:val="16"/>
                              <w:lang w:val="de-AT"/>
                            </w:rPr>
                            <w:t>ens</w:t>
                          </w:r>
                          <w:r w:rsidR="00DA7419" w:rsidRPr="00446035">
                            <w:rPr>
                              <w:sz w:val="16"/>
                              <w:szCs w:val="16"/>
                              <w:lang w:val="de-AT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Amaliegade 44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1256 København 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Pr="00446035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  <w:lang w:val="de-AT"/>
                      </w:rPr>
                    </w:pPr>
                    <w:r w:rsidRPr="00446035">
                      <w:rPr>
                        <w:sz w:val="16"/>
                        <w:szCs w:val="16"/>
                        <w:lang w:val="de-AT"/>
                      </w:rPr>
                      <w:t>E: ens@ens.dk</w:t>
                    </w:r>
                  </w:p>
                  <w:p w:rsidR="00AB4885" w:rsidRPr="0044603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e-AT"/>
                      </w:rPr>
                    </w:pPr>
                  </w:p>
                  <w:p w:rsidR="00DA7419" w:rsidRPr="00446035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  <w:lang w:val="de-AT"/>
                      </w:rPr>
                    </w:pPr>
                    <w:r w:rsidRPr="00446035">
                      <w:rPr>
                        <w:sz w:val="16"/>
                        <w:szCs w:val="16"/>
                        <w:lang w:val="de-AT"/>
                      </w:rPr>
                      <w:t>www.</w:t>
                    </w:r>
                    <w:r w:rsidR="00110084" w:rsidRPr="00446035">
                      <w:rPr>
                        <w:sz w:val="16"/>
                        <w:szCs w:val="16"/>
                        <w:lang w:val="de-AT"/>
                      </w:rPr>
                      <w:t>ens</w:t>
                    </w:r>
                    <w:r w:rsidR="00DA7419" w:rsidRPr="00446035">
                      <w:rPr>
                        <w:sz w:val="16"/>
                        <w:szCs w:val="16"/>
                        <w:lang w:val="de-AT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950312">
      <w:rPr>
        <w:noProof/>
      </w:rPr>
      <w:t>1</w:t>
    </w:r>
    <w:r w:rsidR="008969C1" w:rsidRPr="002A4EDA">
      <w:fldChar w:fldCharType="end"/>
    </w:r>
    <w:r w:rsidR="008969C1" w:rsidRPr="002A4EDA">
      <w:t>/</w:t>
    </w:r>
    <w:fldSimple w:instr=" NUMPAGES ">
      <w:r w:rsidR="0095031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A0" w:rsidRDefault="008924A0" w:rsidP="008969C1">
      <w:pPr>
        <w:spacing w:line="240" w:lineRule="auto"/>
      </w:pPr>
      <w:r>
        <w:separator/>
      </w:r>
    </w:p>
  </w:footnote>
  <w:footnote w:type="continuationSeparator" w:id="0">
    <w:p w:rsidR="008924A0" w:rsidRDefault="008924A0" w:rsidP="008969C1">
      <w:pPr>
        <w:spacing w:line="240" w:lineRule="auto"/>
      </w:pPr>
      <w:r>
        <w:continuationSeparator/>
      </w:r>
    </w:p>
  </w:footnote>
  <w:footnote w:id="1">
    <w:p w:rsidR="00BD38C5" w:rsidRPr="00EE004D" w:rsidRDefault="00BD38C5" w:rsidP="00BD38C5">
      <w:pPr>
        <w:spacing w:line="240" w:lineRule="auto"/>
        <w:rPr>
          <w:sz w:val="18"/>
        </w:rPr>
      </w:pPr>
      <w:r>
        <w:rPr>
          <w:rStyle w:val="Fodnotehenvisning"/>
        </w:rPr>
        <w:footnoteRef/>
      </w:r>
      <w:r>
        <w:t xml:space="preserve"> </w:t>
      </w:r>
      <w:r w:rsidRPr="00EE004D">
        <w:rPr>
          <w:sz w:val="18"/>
        </w:rPr>
        <w:t xml:space="preserve">Høringsversionen af forudsætningerne var tilgængelig på Energistyrelsens hjemmeside og blev rundsendt til en række interessenter. Høringsperioden varede fra 11. til 24. juni 2018. </w:t>
      </w:r>
    </w:p>
    <w:p w:rsidR="00BD38C5" w:rsidRDefault="00BD38C5" w:rsidP="00BD38C5">
      <w:pPr>
        <w:pStyle w:val="Fodnotetekst"/>
      </w:pPr>
    </w:p>
  </w:footnote>
  <w:footnote w:id="2">
    <w:p w:rsidR="00BD38C5" w:rsidRDefault="00BD38C5" w:rsidP="00BD38C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BD38C5">
        <w:rPr>
          <w:rFonts w:asciiTheme="majorHAnsi" w:hAnsiTheme="majorHAnsi" w:cstheme="majorHAnsi"/>
          <w:color w:val="0A0A0A"/>
          <w:sz w:val="18"/>
          <w:szCs w:val="18"/>
        </w:rPr>
        <w:t xml:space="preserve">SNAP er en forkortelse af </w:t>
      </w:r>
      <w:proofErr w:type="spellStart"/>
      <w:r w:rsidRPr="00BD38C5">
        <w:rPr>
          <w:rFonts w:asciiTheme="majorHAnsi" w:hAnsiTheme="majorHAnsi" w:cstheme="majorHAnsi"/>
          <w:color w:val="0A0A0A"/>
          <w:sz w:val="18"/>
          <w:szCs w:val="18"/>
        </w:rPr>
        <w:t>Selected</w:t>
      </w:r>
      <w:proofErr w:type="spellEnd"/>
      <w:r w:rsidRPr="00BD38C5">
        <w:rPr>
          <w:rFonts w:asciiTheme="majorHAnsi" w:hAnsiTheme="majorHAnsi" w:cstheme="majorHAnsi"/>
          <w:color w:val="0A0A0A"/>
          <w:sz w:val="18"/>
          <w:szCs w:val="18"/>
        </w:rPr>
        <w:t xml:space="preserve"> </w:t>
      </w:r>
      <w:proofErr w:type="spellStart"/>
      <w:r w:rsidRPr="00BD38C5">
        <w:rPr>
          <w:rFonts w:asciiTheme="majorHAnsi" w:hAnsiTheme="majorHAnsi" w:cstheme="majorHAnsi"/>
          <w:color w:val="0A0A0A"/>
          <w:sz w:val="18"/>
          <w:szCs w:val="18"/>
        </w:rPr>
        <w:t>Nomenclature</w:t>
      </w:r>
      <w:proofErr w:type="spellEnd"/>
      <w:r w:rsidRPr="00BD38C5">
        <w:rPr>
          <w:rFonts w:asciiTheme="majorHAnsi" w:hAnsiTheme="majorHAnsi" w:cstheme="majorHAnsi"/>
          <w:color w:val="0A0A0A"/>
          <w:sz w:val="18"/>
          <w:szCs w:val="18"/>
        </w:rPr>
        <w:t xml:space="preserve"> for source of Air Pollution. Dvs. et system til gruppering af emissioner og aktiviteter.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C5" w:rsidRDefault="00BD38C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721144E" wp14:editId="0B14B3E1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21399CF2" wp14:editId="3A46A976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198B"/>
    <w:multiLevelType w:val="singleLevel"/>
    <w:tmpl w:val="4CE440AE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4235293C"/>
    <w:multiLevelType w:val="multilevel"/>
    <w:tmpl w:val="7D8011D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C5"/>
    <w:rsid w:val="00022817"/>
    <w:rsid w:val="00036061"/>
    <w:rsid w:val="0004781C"/>
    <w:rsid w:val="00065C74"/>
    <w:rsid w:val="00086163"/>
    <w:rsid w:val="000A08E2"/>
    <w:rsid w:val="00110084"/>
    <w:rsid w:val="00140C61"/>
    <w:rsid w:val="001D3F36"/>
    <w:rsid w:val="002611C9"/>
    <w:rsid w:val="002639C9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456A7"/>
    <w:rsid w:val="00446035"/>
    <w:rsid w:val="004704DA"/>
    <w:rsid w:val="004D5CFB"/>
    <w:rsid w:val="004F5C81"/>
    <w:rsid w:val="00527652"/>
    <w:rsid w:val="005340A7"/>
    <w:rsid w:val="005B3441"/>
    <w:rsid w:val="005D29A2"/>
    <w:rsid w:val="006202F5"/>
    <w:rsid w:val="00665F29"/>
    <w:rsid w:val="00667FF1"/>
    <w:rsid w:val="006803EB"/>
    <w:rsid w:val="006D6210"/>
    <w:rsid w:val="006E691D"/>
    <w:rsid w:val="00721870"/>
    <w:rsid w:val="007636C2"/>
    <w:rsid w:val="007B75E6"/>
    <w:rsid w:val="00800E2B"/>
    <w:rsid w:val="00802C9E"/>
    <w:rsid w:val="00804D82"/>
    <w:rsid w:val="008176EC"/>
    <w:rsid w:val="008924A0"/>
    <w:rsid w:val="008969C1"/>
    <w:rsid w:val="008F2666"/>
    <w:rsid w:val="00923F35"/>
    <w:rsid w:val="00950312"/>
    <w:rsid w:val="009D3FB5"/>
    <w:rsid w:val="00A235B3"/>
    <w:rsid w:val="00A46851"/>
    <w:rsid w:val="00A53C43"/>
    <w:rsid w:val="00A9284C"/>
    <w:rsid w:val="00AB4885"/>
    <w:rsid w:val="00AC60EA"/>
    <w:rsid w:val="00B1566A"/>
    <w:rsid w:val="00B536E9"/>
    <w:rsid w:val="00BA0FCB"/>
    <w:rsid w:val="00BD2772"/>
    <w:rsid w:val="00BD38C5"/>
    <w:rsid w:val="00C20E5C"/>
    <w:rsid w:val="00C4750C"/>
    <w:rsid w:val="00C651CC"/>
    <w:rsid w:val="00CB3A7C"/>
    <w:rsid w:val="00D1257F"/>
    <w:rsid w:val="00D12E7B"/>
    <w:rsid w:val="00D357CF"/>
    <w:rsid w:val="00D93447"/>
    <w:rsid w:val="00DA7419"/>
    <w:rsid w:val="00DC2214"/>
    <w:rsid w:val="00DD1186"/>
    <w:rsid w:val="00E452E8"/>
    <w:rsid w:val="00E65202"/>
    <w:rsid w:val="00EB2788"/>
    <w:rsid w:val="00ED066E"/>
    <w:rsid w:val="00F3314C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D38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BD38C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38C5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D38C5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344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344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3441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344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3441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D38C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BD38C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38C5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D38C5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B344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B344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B3441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B344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B344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ord\Skabeloner\1%20Energistyrelsen\EFKM_Notat_ENS_vDK_01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E2821036-996D-46AB-9CE8-404EB4641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B6E98-A8C9-49FD-80D4-428E4E35DC4D}"/>
</file>

<file path=customXml/itemProps3.xml><?xml version="1.0" encoding="utf-8"?>
<ds:datastoreItem xmlns:ds="http://schemas.openxmlformats.org/officeDocument/2006/customXml" ds:itemID="{0E3A09BF-F975-4942-AF64-5091873C91F6}"/>
</file>

<file path=customXml/itemProps4.xml><?xml version="1.0" encoding="utf-8"?>
<ds:datastoreItem xmlns:ds="http://schemas.openxmlformats.org/officeDocument/2006/customXml" ds:itemID="{489386F4-D6B9-4873-94D8-ECC129E662B1}"/>
</file>

<file path=docProps/app.xml><?xml version="1.0" encoding="utf-8"?>
<Properties xmlns="http://schemas.openxmlformats.org/officeDocument/2006/extended-properties" xmlns:vt="http://schemas.openxmlformats.org/officeDocument/2006/docPropsVTypes">
  <Template>EFKM_Notat_ENS_vDK_01.dotx</Template>
  <TotalTime>76</TotalTime>
  <Pages>3</Pages>
  <Words>723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Motzkus</dc:creator>
  <cp:lastModifiedBy>Ingeborg Ørbech</cp:lastModifiedBy>
  <cp:revision>3</cp:revision>
  <dcterms:created xsi:type="dcterms:W3CDTF">2018-10-17T10:37:00Z</dcterms:created>
  <dcterms:modified xsi:type="dcterms:W3CDTF">2018-10-17T11:53:00Z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