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0EA" w:rsidRDefault="00366A57" w:rsidP="008F2666">
      <w:bookmarkStart w:id="0" w:name="_GoBack"/>
      <w:bookmarkEnd w:id="0"/>
      <w:r>
        <w:t>Notat</w:t>
      </w:r>
    </w:p>
    <w:tbl>
      <w:tblPr>
        <w:tblStyle w:val="Tabel-Gitter"/>
        <w:tblpPr w:leftFromText="142" w:rightFromText="142" w:vertAnchor="page" w:tblpX="7712" w:tblpY="28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tblGrid>
      <w:tr w:rsidR="008F2666" w:rsidRPr="00A53C43" w:rsidTr="00A46851">
        <w:tc>
          <w:tcPr>
            <w:tcW w:w="2235" w:type="dxa"/>
          </w:tcPr>
          <w:p w:rsidR="008F2666" w:rsidRPr="00A53C43" w:rsidRDefault="008F2666" w:rsidP="00A46851">
            <w:pPr>
              <w:spacing w:line="220" w:lineRule="exact"/>
              <w:rPr>
                <w:b/>
                <w:sz w:val="16"/>
                <w:szCs w:val="16"/>
              </w:rPr>
            </w:pPr>
            <w:r w:rsidRPr="00A53C43">
              <w:rPr>
                <w:b/>
                <w:sz w:val="16"/>
                <w:szCs w:val="16"/>
              </w:rPr>
              <w:t>Kontor/afdeling</w:t>
            </w:r>
          </w:p>
          <w:p w:rsidR="008F2666" w:rsidRPr="00A53C43" w:rsidRDefault="00366A57" w:rsidP="00A46851">
            <w:pPr>
              <w:spacing w:line="220" w:lineRule="exact"/>
              <w:rPr>
                <w:sz w:val="16"/>
                <w:szCs w:val="16"/>
              </w:rPr>
            </w:pPr>
            <w:r>
              <w:rPr>
                <w:sz w:val="16"/>
                <w:szCs w:val="16"/>
              </w:rPr>
              <w:t>Systemanalyse</w:t>
            </w:r>
          </w:p>
          <w:p w:rsidR="00A53C43" w:rsidRDefault="00A53C43" w:rsidP="00A46851">
            <w:pPr>
              <w:spacing w:line="220" w:lineRule="exact"/>
              <w:rPr>
                <w:sz w:val="16"/>
                <w:szCs w:val="16"/>
              </w:rPr>
            </w:pPr>
          </w:p>
          <w:p w:rsidR="008F2666" w:rsidRPr="00036061" w:rsidRDefault="008F2666" w:rsidP="00A46851">
            <w:pPr>
              <w:spacing w:line="220" w:lineRule="exact"/>
              <w:rPr>
                <w:b/>
                <w:sz w:val="16"/>
                <w:szCs w:val="16"/>
              </w:rPr>
            </w:pPr>
            <w:r w:rsidRPr="00036061">
              <w:rPr>
                <w:b/>
                <w:sz w:val="16"/>
                <w:szCs w:val="16"/>
              </w:rPr>
              <w:t>Dato</w:t>
            </w:r>
          </w:p>
          <w:p w:rsidR="008F2666" w:rsidRDefault="00A53C43" w:rsidP="00A46851">
            <w:pPr>
              <w:spacing w:line="220" w:lineRule="exact"/>
              <w:rPr>
                <w:sz w:val="16"/>
                <w:szCs w:val="16"/>
              </w:rPr>
            </w:pPr>
            <w:r>
              <w:rPr>
                <w:sz w:val="16"/>
                <w:szCs w:val="16"/>
              </w:rPr>
              <w:fldChar w:fldCharType="begin"/>
            </w:r>
            <w:r>
              <w:rPr>
                <w:sz w:val="16"/>
                <w:szCs w:val="16"/>
              </w:rPr>
              <w:instrText xml:space="preserve"> CREATEDATE  \@ "d. MMMM yyyy"  \* MERGEFORMAT </w:instrText>
            </w:r>
            <w:r>
              <w:rPr>
                <w:sz w:val="16"/>
                <w:szCs w:val="16"/>
              </w:rPr>
              <w:fldChar w:fldCharType="separate"/>
            </w:r>
            <w:r w:rsidR="00AA78EE">
              <w:rPr>
                <w:noProof/>
                <w:sz w:val="16"/>
                <w:szCs w:val="16"/>
              </w:rPr>
              <w:t>1</w:t>
            </w:r>
            <w:r w:rsidR="00F05211">
              <w:rPr>
                <w:noProof/>
                <w:sz w:val="16"/>
                <w:szCs w:val="16"/>
              </w:rPr>
              <w:t>0</w:t>
            </w:r>
            <w:r w:rsidR="00366A57">
              <w:rPr>
                <w:noProof/>
                <w:sz w:val="16"/>
                <w:szCs w:val="16"/>
              </w:rPr>
              <w:t xml:space="preserve">. </w:t>
            </w:r>
            <w:r w:rsidR="00F60F39">
              <w:rPr>
                <w:noProof/>
                <w:sz w:val="16"/>
                <w:szCs w:val="16"/>
              </w:rPr>
              <w:t>december</w:t>
            </w:r>
            <w:r w:rsidR="00366A57">
              <w:rPr>
                <w:noProof/>
                <w:sz w:val="16"/>
                <w:szCs w:val="16"/>
              </w:rPr>
              <w:t xml:space="preserve"> 201</w:t>
            </w:r>
            <w:r>
              <w:rPr>
                <w:sz w:val="16"/>
                <w:szCs w:val="16"/>
              </w:rPr>
              <w:fldChar w:fldCharType="end"/>
            </w:r>
            <w:r w:rsidR="00F05211">
              <w:rPr>
                <w:sz w:val="16"/>
                <w:szCs w:val="16"/>
              </w:rPr>
              <w:t>9</w:t>
            </w:r>
          </w:p>
          <w:p w:rsidR="002611C9" w:rsidRPr="00A53C43" w:rsidRDefault="002611C9" w:rsidP="00A46851">
            <w:pPr>
              <w:spacing w:line="220" w:lineRule="exact"/>
              <w:rPr>
                <w:sz w:val="16"/>
                <w:szCs w:val="16"/>
              </w:rPr>
            </w:pPr>
          </w:p>
          <w:p w:rsidR="008F2666" w:rsidRDefault="00A53C43" w:rsidP="00A46851">
            <w:pPr>
              <w:spacing w:line="220" w:lineRule="exact"/>
              <w:rPr>
                <w:sz w:val="16"/>
                <w:szCs w:val="16"/>
              </w:rPr>
            </w:pPr>
            <w:r w:rsidRPr="00036061">
              <w:rPr>
                <w:b/>
                <w:sz w:val="16"/>
                <w:szCs w:val="16"/>
              </w:rPr>
              <w:t>J nr.</w:t>
            </w:r>
            <w:r>
              <w:rPr>
                <w:sz w:val="16"/>
                <w:szCs w:val="16"/>
              </w:rPr>
              <w:t xml:space="preserve"> </w:t>
            </w:r>
            <w:r>
              <w:rPr>
                <w:sz w:val="16"/>
                <w:szCs w:val="16"/>
              </w:rPr>
              <w:fldChar w:fldCharType="begin"/>
            </w:r>
            <w:r>
              <w:rPr>
                <w:sz w:val="16"/>
                <w:szCs w:val="16"/>
              </w:rPr>
              <w:instrText xml:space="preserve"> MACROBUTTON NOMACRO xxx </w:instrText>
            </w:r>
            <w:r>
              <w:rPr>
                <w:sz w:val="16"/>
                <w:szCs w:val="16"/>
              </w:rPr>
              <w:fldChar w:fldCharType="end"/>
            </w:r>
          </w:p>
          <w:p w:rsidR="002611C9" w:rsidRPr="00A53C43" w:rsidRDefault="002611C9" w:rsidP="00A46851">
            <w:pPr>
              <w:spacing w:line="220" w:lineRule="exact"/>
              <w:rPr>
                <w:sz w:val="16"/>
                <w:szCs w:val="16"/>
              </w:rPr>
            </w:pPr>
          </w:p>
          <w:p w:rsidR="008F2666" w:rsidRPr="00A53C43" w:rsidRDefault="008F2666" w:rsidP="00A46851">
            <w:pPr>
              <w:spacing w:line="220" w:lineRule="exact"/>
              <w:rPr>
                <w:sz w:val="16"/>
                <w:szCs w:val="16"/>
              </w:rPr>
            </w:pPr>
            <w:r w:rsidRPr="00A53C43">
              <w:rPr>
                <w:sz w:val="16"/>
                <w:szCs w:val="16"/>
              </w:rPr>
              <w:t>/</w:t>
            </w:r>
            <w:r w:rsidR="00FB5C5C">
              <w:rPr>
                <w:sz w:val="16"/>
                <w:szCs w:val="16"/>
              </w:rPr>
              <w:t>IRB</w:t>
            </w:r>
          </w:p>
        </w:tc>
      </w:tr>
    </w:tbl>
    <w:p w:rsidR="008F2666" w:rsidRDefault="008F2666" w:rsidP="00721870">
      <w:pPr>
        <w:spacing w:after="1540"/>
      </w:pPr>
    </w:p>
    <w:p w:rsidR="00F60F39" w:rsidRPr="00536E48" w:rsidRDefault="00F05211" w:rsidP="00F60F39">
      <w:pPr>
        <w:pStyle w:val="Overskrift1"/>
        <w:rPr>
          <w:rFonts w:cstheme="majorHAnsi"/>
        </w:rPr>
      </w:pPr>
      <w:r>
        <w:rPr>
          <w:rFonts w:cstheme="majorHAnsi"/>
        </w:rPr>
        <w:t>PSO-tariffen for 1. kvartal 2020</w:t>
      </w:r>
    </w:p>
    <w:p w:rsidR="00F60F39" w:rsidRPr="00F60F39" w:rsidRDefault="00F60F39" w:rsidP="00F60F39">
      <w:pPr>
        <w:pStyle w:val="Default"/>
        <w:rPr>
          <w:rFonts w:asciiTheme="majorHAnsi" w:hAnsiTheme="majorHAnsi" w:cstheme="majorHAnsi"/>
          <w:sz w:val="20"/>
          <w:szCs w:val="20"/>
        </w:rPr>
      </w:pPr>
      <w:r w:rsidRPr="00F60F39">
        <w:rPr>
          <w:rFonts w:asciiTheme="majorHAnsi" w:hAnsiTheme="majorHAnsi" w:cstheme="majorHAnsi"/>
          <w:b/>
          <w:bCs/>
          <w:sz w:val="20"/>
          <w:szCs w:val="20"/>
        </w:rPr>
        <w:t xml:space="preserve"> </w:t>
      </w:r>
    </w:p>
    <w:p w:rsidR="00F60F39" w:rsidRPr="00F60F39" w:rsidRDefault="00F05211" w:rsidP="00F60F39">
      <w:pPr>
        <w:rPr>
          <w:rFonts w:asciiTheme="majorHAnsi" w:hAnsiTheme="majorHAnsi" w:cstheme="majorHAnsi"/>
          <w:szCs w:val="20"/>
        </w:rPr>
      </w:pPr>
      <w:r>
        <w:rPr>
          <w:rFonts w:asciiTheme="majorHAnsi" w:hAnsiTheme="majorHAnsi" w:cstheme="majorHAnsi"/>
          <w:szCs w:val="20"/>
        </w:rPr>
        <w:t>PSO-tariffen for 1. kvartal 2020</w:t>
      </w:r>
      <w:r w:rsidR="00F60F39" w:rsidRPr="002E4431">
        <w:rPr>
          <w:rFonts w:asciiTheme="majorHAnsi" w:hAnsiTheme="majorHAnsi" w:cstheme="majorHAnsi"/>
          <w:szCs w:val="20"/>
        </w:rPr>
        <w:t xml:space="preserve"> er fastsat til </w:t>
      </w:r>
      <w:r>
        <w:rPr>
          <w:rFonts w:asciiTheme="majorHAnsi" w:hAnsiTheme="majorHAnsi" w:cstheme="majorHAnsi"/>
          <w:szCs w:val="20"/>
        </w:rPr>
        <w:t>2,</w:t>
      </w:r>
      <w:r w:rsidR="009B072C">
        <w:rPr>
          <w:rFonts w:asciiTheme="majorHAnsi" w:hAnsiTheme="majorHAnsi" w:cstheme="majorHAnsi"/>
          <w:szCs w:val="20"/>
        </w:rPr>
        <w:t>6</w:t>
      </w:r>
      <w:r w:rsidR="00F60F39" w:rsidRPr="002E4431">
        <w:rPr>
          <w:rFonts w:asciiTheme="majorHAnsi" w:hAnsiTheme="majorHAnsi" w:cstheme="majorHAnsi"/>
          <w:szCs w:val="20"/>
        </w:rPr>
        <w:t xml:space="preserve"> øre/kWh. PSO-tariffen er fastsat med baggrund </w:t>
      </w:r>
      <w:r>
        <w:rPr>
          <w:rFonts w:asciiTheme="majorHAnsi" w:hAnsiTheme="majorHAnsi" w:cstheme="majorHAnsi"/>
          <w:szCs w:val="20"/>
        </w:rPr>
        <w:t>i elpriser for 1. kvartal på 324 kr./MWh i Vestdanmark og 331</w:t>
      </w:r>
      <w:r w:rsidR="00F60F39" w:rsidRPr="002E4431">
        <w:rPr>
          <w:rFonts w:asciiTheme="majorHAnsi" w:hAnsiTheme="majorHAnsi" w:cstheme="majorHAnsi"/>
          <w:szCs w:val="20"/>
        </w:rPr>
        <w:t xml:space="preserve"> kr./kWh i Østdanmark</w:t>
      </w:r>
      <w:r w:rsidR="004C0592" w:rsidRPr="002E4431">
        <w:rPr>
          <w:rStyle w:val="Fodnotehenvisning"/>
          <w:rFonts w:asciiTheme="majorHAnsi" w:hAnsiTheme="majorHAnsi" w:cstheme="majorHAnsi"/>
          <w:szCs w:val="20"/>
        </w:rPr>
        <w:footnoteReference w:id="1"/>
      </w:r>
      <w:r w:rsidR="00F60F39" w:rsidRPr="002E4431">
        <w:rPr>
          <w:rFonts w:asciiTheme="majorHAnsi" w:hAnsiTheme="majorHAnsi" w:cstheme="majorHAnsi"/>
          <w:szCs w:val="20"/>
        </w:rPr>
        <w:t>.</w:t>
      </w:r>
    </w:p>
    <w:p w:rsidR="00F60F39" w:rsidRPr="00F60F39" w:rsidRDefault="00F60F39" w:rsidP="00F60F39">
      <w:pPr>
        <w:rPr>
          <w:rFonts w:asciiTheme="majorHAnsi" w:hAnsiTheme="majorHAnsi" w:cstheme="majorHAnsi"/>
          <w:szCs w:val="20"/>
        </w:rPr>
      </w:pPr>
    </w:p>
    <w:p w:rsidR="00F60F39" w:rsidRPr="00F60F39" w:rsidRDefault="00F60F39" w:rsidP="00F60F39">
      <w:pPr>
        <w:spacing w:line="240" w:lineRule="auto"/>
        <w:rPr>
          <w:rFonts w:asciiTheme="majorHAnsi" w:hAnsiTheme="majorHAnsi" w:cstheme="majorHAnsi"/>
          <w:b/>
          <w:szCs w:val="20"/>
        </w:rPr>
      </w:pPr>
      <w:r w:rsidRPr="00F60F39">
        <w:rPr>
          <w:rFonts w:asciiTheme="majorHAnsi" w:hAnsiTheme="majorHAnsi" w:cstheme="majorHAnsi"/>
          <w:b/>
          <w:szCs w:val="20"/>
        </w:rPr>
        <w:t>Tabel 1:</w:t>
      </w:r>
      <w:r w:rsidR="00F05211">
        <w:rPr>
          <w:rFonts w:asciiTheme="majorHAnsi" w:hAnsiTheme="majorHAnsi" w:cstheme="majorHAnsi"/>
          <w:b/>
          <w:szCs w:val="20"/>
        </w:rPr>
        <w:t xml:space="preserve"> PSO-tariffer pr. 1. januar 2020</w:t>
      </w:r>
    </w:p>
    <w:tbl>
      <w:tblPr>
        <w:tblStyle w:val="Lysliste-farve1"/>
        <w:tblW w:w="0" w:type="auto"/>
        <w:tblLook w:val="04A0" w:firstRow="1" w:lastRow="0" w:firstColumn="1" w:lastColumn="0" w:noHBand="0" w:noVBand="1"/>
      </w:tblPr>
      <w:tblGrid>
        <w:gridCol w:w="3708"/>
        <w:gridCol w:w="3671"/>
      </w:tblGrid>
      <w:tr w:rsidR="00F60F39" w:rsidRPr="00F60F39" w:rsidTr="006C4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9" w:type="dxa"/>
          </w:tcPr>
          <w:p w:rsidR="00F60F39" w:rsidRPr="00F60F39" w:rsidRDefault="00F60F39" w:rsidP="006C4348">
            <w:pPr>
              <w:spacing w:line="240" w:lineRule="auto"/>
              <w:jc w:val="both"/>
              <w:rPr>
                <w:rFonts w:asciiTheme="majorHAnsi" w:hAnsiTheme="majorHAnsi" w:cstheme="majorHAnsi"/>
                <w:szCs w:val="20"/>
              </w:rPr>
            </w:pPr>
            <w:r w:rsidRPr="00F60F39">
              <w:rPr>
                <w:rFonts w:asciiTheme="majorHAnsi" w:hAnsiTheme="majorHAnsi" w:cstheme="majorHAnsi"/>
                <w:szCs w:val="20"/>
              </w:rPr>
              <w:t>Øre/Kwh</w:t>
            </w:r>
          </w:p>
        </w:tc>
        <w:tc>
          <w:tcPr>
            <w:tcW w:w="4889" w:type="dxa"/>
          </w:tcPr>
          <w:p w:rsidR="00F60F39" w:rsidRPr="00F60F39" w:rsidRDefault="00F05211" w:rsidP="00F60F39">
            <w:pPr>
              <w:pStyle w:val="Listeafsnit"/>
              <w:numPr>
                <w:ilvl w:val="0"/>
                <w:numId w:val="10"/>
              </w:numPr>
              <w:spacing w:line="240" w:lineRule="auto"/>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kvartal 2020</w:t>
            </w:r>
          </w:p>
        </w:tc>
      </w:tr>
      <w:tr w:rsidR="00F60F39" w:rsidRPr="00F60F39" w:rsidTr="006C4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9" w:type="dxa"/>
          </w:tcPr>
          <w:p w:rsidR="00F60F39" w:rsidRPr="00F60F39" w:rsidRDefault="00F60F39" w:rsidP="006C4348">
            <w:pPr>
              <w:spacing w:line="240" w:lineRule="auto"/>
              <w:rPr>
                <w:rFonts w:asciiTheme="majorHAnsi" w:hAnsiTheme="majorHAnsi" w:cstheme="majorHAnsi"/>
                <w:szCs w:val="20"/>
              </w:rPr>
            </w:pPr>
            <w:r w:rsidRPr="00F60F39">
              <w:rPr>
                <w:rFonts w:asciiTheme="majorHAnsi" w:hAnsiTheme="majorHAnsi" w:cstheme="majorHAnsi"/>
                <w:szCs w:val="20"/>
              </w:rPr>
              <w:t>PSO tarif</w:t>
            </w:r>
          </w:p>
        </w:tc>
        <w:tc>
          <w:tcPr>
            <w:tcW w:w="4889" w:type="dxa"/>
          </w:tcPr>
          <w:p w:rsidR="00F60F39" w:rsidRPr="00F60F39" w:rsidRDefault="00F05211" w:rsidP="009B072C">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2,</w:t>
            </w:r>
            <w:r w:rsidR="009B072C">
              <w:rPr>
                <w:rFonts w:asciiTheme="majorHAnsi" w:hAnsiTheme="majorHAnsi" w:cstheme="majorHAnsi"/>
                <w:szCs w:val="20"/>
              </w:rPr>
              <w:t>6</w:t>
            </w:r>
          </w:p>
        </w:tc>
      </w:tr>
      <w:tr w:rsidR="00F60F39" w:rsidRPr="00F60F39" w:rsidTr="006C4348">
        <w:tc>
          <w:tcPr>
            <w:cnfStyle w:val="001000000000" w:firstRow="0" w:lastRow="0" w:firstColumn="1" w:lastColumn="0" w:oddVBand="0" w:evenVBand="0" w:oddHBand="0" w:evenHBand="0" w:firstRowFirstColumn="0" w:firstRowLastColumn="0" w:lastRowFirstColumn="0" w:lastRowLastColumn="0"/>
            <w:tcW w:w="4889" w:type="dxa"/>
          </w:tcPr>
          <w:p w:rsidR="00F60F39" w:rsidRPr="00F60F39" w:rsidRDefault="00F60F39" w:rsidP="00F60F39">
            <w:pPr>
              <w:pStyle w:val="Listeafsnit"/>
              <w:numPr>
                <w:ilvl w:val="0"/>
                <w:numId w:val="11"/>
              </w:numPr>
              <w:spacing w:line="240" w:lineRule="auto"/>
              <w:rPr>
                <w:rFonts w:asciiTheme="majorHAnsi" w:hAnsiTheme="majorHAnsi" w:cstheme="majorHAnsi"/>
                <w:szCs w:val="20"/>
              </w:rPr>
            </w:pPr>
            <w:r w:rsidRPr="00F60F39">
              <w:rPr>
                <w:rFonts w:asciiTheme="majorHAnsi" w:hAnsiTheme="majorHAnsi" w:cstheme="majorHAnsi"/>
                <w:szCs w:val="20"/>
              </w:rPr>
              <w:t>heraf VE-andel</w:t>
            </w:r>
          </w:p>
        </w:tc>
        <w:tc>
          <w:tcPr>
            <w:tcW w:w="4889" w:type="dxa"/>
          </w:tcPr>
          <w:p w:rsidR="00F60F39" w:rsidRPr="00F60F39" w:rsidRDefault="00F05211" w:rsidP="00F0521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3,1</w:t>
            </w:r>
          </w:p>
        </w:tc>
      </w:tr>
      <w:tr w:rsidR="00F60F39" w:rsidRPr="00F60F39" w:rsidTr="006C4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9" w:type="dxa"/>
          </w:tcPr>
          <w:p w:rsidR="00F60F39" w:rsidRPr="00F60F39" w:rsidRDefault="00F60F39" w:rsidP="006C4348">
            <w:pPr>
              <w:rPr>
                <w:rFonts w:asciiTheme="majorHAnsi" w:hAnsiTheme="majorHAnsi" w:cstheme="majorHAnsi"/>
                <w:szCs w:val="20"/>
              </w:rPr>
            </w:pPr>
            <w:r w:rsidRPr="00F60F39">
              <w:rPr>
                <w:rFonts w:asciiTheme="majorHAnsi" w:hAnsiTheme="majorHAnsi" w:cstheme="majorHAnsi"/>
                <w:szCs w:val="20"/>
              </w:rPr>
              <w:t>Nettoafregnede forbrugere</w:t>
            </w:r>
          </w:p>
        </w:tc>
        <w:tc>
          <w:tcPr>
            <w:tcW w:w="4889" w:type="dxa"/>
          </w:tcPr>
          <w:p w:rsidR="00F60F39" w:rsidRPr="00F60F39" w:rsidRDefault="00F60F39" w:rsidP="006C434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F60F39">
              <w:rPr>
                <w:rFonts w:asciiTheme="majorHAnsi" w:hAnsiTheme="majorHAnsi" w:cstheme="majorHAnsi"/>
                <w:szCs w:val="20"/>
              </w:rPr>
              <w:t>0</w:t>
            </w:r>
            <w:r w:rsidR="00F05211">
              <w:rPr>
                <w:rFonts w:asciiTheme="majorHAnsi" w:hAnsiTheme="majorHAnsi" w:cstheme="majorHAnsi"/>
                <w:szCs w:val="20"/>
              </w:rPr>
              <w:t>,1</w:t>
            </w:r>
          </w:p>
        </w:tc>
      </w:tr>
    </w:tbl>
    <w:p w:rsidR="00F60F39" w:rsidRPr="00536E48" w:rsidRDefault="00F60F39" w:rsidP="00F60F39">
      <w:pPr>
        <w:spacing w:line="240" w:lineRule="auto"/>
        <w:rPr>
          <w:rFonts w:asciiTheme="majorHAnsi" w:hAnsiTheme="majorHAnsi" w:cstheme="majorHAnsi"/>
          <w:i/>
          <w:sz w:val="18"/>
          <w:szCs w:val="18"/>
        </w:rPr>
      </w:pPr>
      <w:r w:rsidRPr="00536E48">
        <w:rPr>
          <w:rFonts w:asciiTheme="majorHAnsi" w:hAnsiTheme="majorHAnsi" w:cstheme="majorHAnsi"/>
          <w:i/>
          <w:sz w:val="18"/>
          <w:szCs w:val="18"/>
        </w:rPr>
        <w:t>Note: Pga. overdækning reduceres den del af tariffen</w:t>
      </w:r>
      <w:r w:rsidR="00D8649F">
        <w:rPr>
          <w:rFonts w:asciiTheme="majorHAnsi" w:hAnsiTheme="majorHAnsi" w:cstheme="majorHAnsi"/>
          <w:i/>
          <w:sz w:val="18"/>
          <w:szCs w:val="18"/>
        </w:rPr>
        <w:t>,</w:t>
      </w:r>
      <w:r w:rsidRPr="00536E48">
        <w:rPr>
          <w:rFonts w:asciiTheme="majorHAnsi" w:hAnsiTheme="majorHAnsi" w:cstheme="majorHAnsi"/>
          <w:i/>
          <w:sz w:val="18"/>
          <w:szCs w:val="18"/>
        </w:rPr>
        <w:t xml:space="preserve"> der vedrører decentral kraftvarme mere end den beregnede tarif herpå. Det betyder</w:t>
      </w:r>
      <w:r w:rsidR="00D8649F">
        <w:rPr>
          <w:rFonts w:asciiTheme="majorHAnsi" w:hAnsiTheme="majorHAnsi" w:cstheme="majorHAnsi"/>
          <w:i/>
          <w:sz w:val="18"/>
          <w:szCs w:val="18"/>
        </w:rPr>
        <w:t>,</w:t>
      </w:r>
      <w:r w:rsidRPr="00536E48">
        <w:rPr>
          <w:rFonts w:asciiTheme="majorHAnsi" w:hAnsiTheme="majorHAnsi" w:cstheme="majorHAnsi"/>
          <w:i/>
          <w:sz w:val="18"/>
          <w:szCs w:val="18"/>
        </w:rPr>
        <w:t xml:space="preserve"> at den samlede tarif er lavere en VE-andelen af tariffen.</w:t>
      </w:r>
    </w:p>
    <w:p w:rsidR="00536E48" w:rsidRPr="00F60F39" w:rsidRDefault="00536E48" w:rsidP="00F60F39">
      <w:pPr>
        <w:spacing w:line="240" w:lineRule="auto"/>
        <w:rPr>
          <w:rFonts w:asciiTheme="majorHAnsi" w:hAnsiTheme="majorHAnsi" w:cstheme="majorHAnsi"/>
          <w:i/>
          <w:szCs w:val="20"/>
        </w:rPr>
      </w:pPr>
    </w:p>
    <w:p w:rsidR="00F60F39" w:rsidRPr="002E4431" w:rsidRDefault="00F60F39" w:rsidP="00F60F39">
      <w:pPr>
        <w:pStyle w:val="Default"/>
        <w:spacing w:line="276" w:lineRule="auto"/>
        <w:rPr>
          <w:rFonts w:asciiTheme="majorHAnsi" w:hAnsiTheme="majorHAnsi" w:cstheme="majorHAnsi"/>
          <w:sz w:val="20"/>
          <w:szCs w:val="20"/>
        </w:rPr>
      </w:pPr>
      <w:r w:rsidRPr="002E4431">
        <w:rPr>
          <w:rFonts w:asciiTheme="majorHAnsi" w:hAnsiTheme="majorHAnsi" w:cstheme="majorHAnsi"/>
          <w:sz w:val="20"/>
          <w:szCs w:val="20"/>
        </w:rPr>
        <w:t>Ved fastsættelsen af PSO-tariffen for 1. kvartal</w:t>
      </w:r>
      <w:r w:rsidR="00F05211">
        <w:rPr>
          <w:rFonts w:asciiTheme="majorHAnsi" w:hAnsiTheme="majorHAnsi" w:cstheme="majorHAnsi"/>
          <w:sz w:val="20"/>
          <w:szCs w:val="20"/>
        </w:rPr>
        <w:t xml:space="preserve"> 2020</w:t>
      </w:r>
      <w:r w:rsidRPr="002E4431">
        <w:rPr>
          <w:rFonts w:asciiTheme="majorHAnsi" w:hAnsiTheme="majorHAnsi" w:cstheme="majorHAnsi"/>
          <w:sz w:val="20"/>
          <w:szCs w:val="20"/>
        </w:rPr>
        <w:t xml:space="preserve"> er der taget højde for både de erhvervsrettede lempelser af PSO’en fra Vækstp</w:t>
      </w:r>
      <w:r w:rsidR="00F05211">
        <w:rPr>
          <w:rFonts w:asciiTheme="majorHAnsi" w:hAnsiTheme="majorHAnsi" w:cstheme="majorHAnsi"/>
          <w:sz w:val="20"/>
          <w:szCs w:val="20"/>
        </w:rPr>
        <w:t>akke 2014 på 1,6 mia. kr. i 2020</w:t>
      </w:r>
      <w:r w:rsidRPr="002E4431">
        <w:rPr>
          <w:rFonts w:asciiTheme="majorHAnsi" w:hAnsiTheme="majorHAnsi" w:cstheme="majorHAnsi"/>
          <w:sz w:val="20"/>
          <w:szCs w:val="20"/>
        </w:rPr>
        <w:t xml:space="preserve"> samt </w:t>
      </w:r>
      <w:r w:rsidRPr="002E4431">
        <w:rPr>
          <w:rFonts w:asciiTheme="majorHAnsi" w:hAnsiTheme="majorHAnsi" w:cstheme="majorHAnsi"/>
          <w:i/>
          <w:iCs/>
          <w:sz w:val="20"/>
          <w:szCs w:val="20"/>
        </w:rPr>
        <w:t xml:space="preserve">Aftale om afskaffelse af PSO-afgiften </w:t>
      </w:r>
      <w:r w:rsidRPr="002E4431">
        <w:rPr>
          <w:rFonts w:asciiTheme="majorHAnsi" w:hAnsiTheme="majorHAnsi" w:cstheme="majorHAnsi"/>
          <w:sz w:val="20"/>
          <w:szCs w:val="20"/>
        </w:rPr>
        <w:t xml:space="preserve">fra november 2016, der lemper PSO-tariffen med </w:t>
      </w:r>
      <w:r w:rsidR="00F05211">
        <w:rPr>
          <w:rFonts w:asciiTheme="majorHAnsi" w:hAnsiTheme="majorHAnsi" w:cstheme="majorHAnsi"/>
          <w:sz w:val="20"/>
          <w:szCs w:val="20"/>
        </w:rPr>
        <w:t>yderligere</w:t>
      </w:r>
      <w:r w:rsidRPr="002E4431">
        <w:rPr>
          <w:rFonts w:asciiTheme="majorHAnsi" w:hAnsiTheme="majorHAnsi" w:cstheme="majorHAnsi"/>
          <w:sz w:val="20"/>
          <w:szCs w:val="20"/>
        </w:rPr>
        <w:t xml:space="preserve"> ca. </w:t>
      </w:r>
      <w:r w:rsidR="00F05211">
        <w:rPr>
          <w:rFonts w:asciiTheme="majorHAnsi" w:hAnsiTheme="majorHAnsi" w:cstheme="majorHAnsi"/>
          <w:sz w:val="20"/>
          <w:szCs w:val="20"/>
        </w:rPr>
        <w:t>3,2 mia. kr. i 2020</w:t>
      </w:r>
      <w:r w:rsidRPr="002E4431">
        <w:rPr>
          <w:rFonts w:asciiTheme="majorHAnsi" w:hAnsiTheme="majorHAnsi" w:cstheme="majorHAnsi"/>
          <w:sz w:val="20"/>
          <w:szCs w:val="20"/>
        </w:rPr>
        <w:t xml:space="preserve">, hvilket er ca. </w:t>
      </w:r>
      <w:r w:rsidR="00F05211">
        <w:rPr>
          <w:rFonts w:asciiTheme="majorHAnsi" w:hAnsiTheme="majorHAnsi" w:cstheme="majorHAnsi"/>
          <w:sz w:val="20"/>
          <w:szCs w:val="20"/>
        </w:rPr>
        <w:t>1,2 mia. kr. mere end i 2019</w:t>
      </w:r>
      <w:r w:rsidRPr="002E4431">
        <w:rPr>
          <w:rFonts w:asciiTheme="majorHAnsi" w:hAnsiTheme="majorHAnsi" w:cstheme="majorHAnsi"/>
          <w:sz w:val="20"/>
          <w:szCs w:val="20"/>
        </w:rPr>
        <w:t xml:space="preserve">. </w:t>
      </w:r>
    </w:p>
    <w:p w:rsidR="00F60F39" w:rsidRPr="002E4431" w:rsidRDefault="00F60F39" w:rsidP="00F60F39">
      <w:pPr>
        <w:pStyle w:val="Default"/>
        <w:spacing w:line="276" w:lineRule="auto"/>
        <w:rPr>
          <w:rFonts w:asciiTheme="majorHAnsi" w:hAnsiTheme="majorHAnsi" w:cstheme="majorHAnsi"/>
          <w:sz w:val="20"/>
          <w:szCs w:val="20"/>
        </w:rPr>
      </w:pPr>
    </w:p>
    <w:p w:rsidR="00F05211" w:rsidRDefault="00F60F39" w:rsidP="00F60F39">
      <w:pPr>
        <w:pStyle w:val="Default"/>
        <w:spacing w:line="276" w:lineRule="auto"/>
        <w:rPr>
          <w:rFonts w:asciiTheme="majorHAnsi" w:hAnsiTheme="majorHAnsi" w:cstheme="majorHAnsi"/>
          <w:sz w:val="20"/>
          <w:szCs w:val="20"/>
        </w:rPr>
      </w:pPr>
      <w:r w:rsidRPr="002E4431">
        <w:rPr>
          <w:rFonts w:asciiTheme="majorHAnsi" w:hAnsiTheme="majorHAnsi" w:cstheme="majorHAnsi"/>
          <w:sz w:val="20"/>
          <w:szCs w:val="20"/>
        </w:rPr>
        <w:t>Nettoafregnede forbrugere, altså elforbrugere der producerer energi til eget forbrug, er fritaget for en stor del af PSO-tariffen. De er bl.a. fritaget for at betale den del af PSO-tariffen, der vedrører VE i forhold til eget forbrug af egen el. De nettoafregnede forbruger</w:t>
      </w:r>
      <w:r w:rsidR="00F05211">
        <w:rPr>
          <w:rFonts w:asciiTheme="majorHAnsi" w:hAnsiTheme="majorHAnsi" w:cstheme="majorHAnsi"/>
          <w:sz w:val="20"/>
          <w:szCs w:val="20"/>
        </w:rPr>
        <w:t>es PSO-tarif for 1. kvartal 2020</w:t>
      </w:r>
      <w:r w:rsidRPr="002E4431">
        <w:rPr>
          <w:rFonts w:asciiTheme="majorHAnsi" w:hAnsiTheme="majorHAnsi" w:cstheme="majorHAnsi"/>
          <w:sz w:val="20"/>
          <w:szCs w:val="20"/>
        </w:rPr>
        <w:t xml:space="preserve"> er fastsat til 0</w:t>
      </w:r>
      <w:r w:rsidR="00F05211">
        <w:rPr>
          <w:rFonts w:asciiTheme="majorHAnsi" w:hAnsiTheme="majorHAnsi" w:cstheme="majorHAnsi"/>
          <w:sz w:val="20"/>
          <w:szCs w:val="20"/>
        </w:rPr>
        <w:t>,1</w:t>
      </w:r>
      <w:r w:rsidRPr="002E4431">
        <w:rPr>
          <w:rFonts w:asciiTheme="majorHAnsi" w:hAnsiTheme="majorHAnsi" w:cstheme="majorHAnsi"/>
          <w:sz w:val="20"/>
          <w:szCs w:val="20"/>
        </w:rPr>
        <w:t xml:space="preserve"> øre/kWh. </w:t>
      </w:r>
    </w:p>
    <w:p w:rsidR="00F05211" w:rsidRDefault="00F05211" w:rsidP="00F60F39">
      <w:pPr>
        <w:pStyle w:val="Default"/>
        <w:spacing w:line="276" w:lineRule="auto"/>
        <w:rPr>
          <w:rFonts w:asciiTheme="majorHAnsi" w:hAnsiTheme="majorHAnsi" w:cstheme="majorHAnsi"/>
          <w:sz w:val="20"/>
          <w:szCs w:val="20"/>
        </w:rPr>
      </w:pPr>
    </w:p>
    <w:p w:rsidR="00F60F39" w:rsidRPr="00F60F39" w:rsidRDefault="00F60F39" w:rsidP="00F60F39">
      <w:pPr>
        <w:pStyle w:val="Default"/>
        <w:spacing w:line="276" w:lineRule="auto"/>
        <w:rPr>
          <w:rFonts w:asciiTheme="majorHAnsi" w:hAnsiTheme="majorHAnsi" w:cstheme="majorHAnsi"/>
          <w:sz w:val="20"/>
          <w:szCs w:val="20"/>
        </w:rPr>
      </w:pPr>
      <w:r w:rsidRPr="002E4431">
        <w:rPr>
          <w:rFonts w:asciiTheme="majorHAnsi" w:hAnsiTheme="majorHAnsi" w:cstheme="majorHAnsi"/>
          <w:sz w:val="20"/>
          <w:szCs w:val="20"/>
        </w:rPr>
        <w:t>PSO-tariffe</w:t>
      </w:r>
      <w:r w:rsidR="00F05211">
        <w:rPr>
          <w:rFonts w:asciiTheme="majorHAnsi" w:hAnsiTheme="majorHAnsi" w:cstheme="majorHAnsi"/>
          <w:sz w:val="20"/>
          <w:szCs w:val="20"/>
        </w:rPr>
        <w:t>ns VE-andel er i 1. kvartal 2020</w:t>
      </w:r>
      <w:r w:rsidRPr="002E4431">
        <w:rPr>
          <w:rFonts w:asciiTheme="majorHAnsi" w:hAnsiTheme="majorHAnsi" w:cstheme="majorHAnsi"/>
          <w:sz w:val="20"/>
          <w:szCs w:val="20"/>
        </w:rPr>
        <w:t xml:space="preserve"> fastsat til </w:t>
      </w:r>
      <w:r w:rsidR="00F05211">
        <w:rPr>
          <w:rFonts w:asciiTheme="majorHAnsi" w:hAnsiTheme="majorHAnsi" w:cstheme="majorHAnsi"/>
          <w:sz w:val="20"/>
          <w:szCs w:val="20"/>
        </w:rPr>
        <w:t>3,1</w:t>
      </w:r>
      <w:r w:rsidRPr="002E4431">
        <w:rPr>
          <w:rFonts w:asciiTheme="majorHAnsi" w:hAnsiTheme="majorHAnsi" w:cstheme="majorHAnsi"/>
          <w:sz w:val="20"/>
          <w:szCs w:val="20"/>
        </w:rPr>
        <w:t xml:space="preserve"> øre/kWh. Dvs. at der er et </w:t>
      </w:r>
      <w:r w:rsidR="00F05211">
        <w:rPr>
          <w:rFonts w:asciiTheme="majorHAnsi" w:hAnsiTheme="majorHAnsi" w:cstheme="majorHAnsi"/>
          <w:sz w:val="20"/>
          <w:szCs w:val="20"/>
        </w:rPr>
        <w:t xml:space="preserve">samlet </w:t>
      </w:r>
      <w:r w:rsidRPr="002E4431">
        <w:rPr>
          <w:rFonts w:asciiTheme="majorHAnsi" w:hAnsiTheme="majorHAnsi" w:cstheme="majorHAnsi"/>
          <w:sz w:val="20"/>
          <w:szCs w:val="20"/>
        </w:rPr>
        <w:t>negativt bidrag fra de dele af tariffen</w:t>
      </w:r>
      <w:r w:rsidR="00D8649F" w:rsidRPr="002E4431">
        <w:rPr>
          <w:rFonts w:asciiTheme="majorHAnsi" w:hAnsiTheme="majorHAnsi" w:cstheme="majorHAnsi"/>
          <w:sz w:val="20"/>
          <w:szCs w:val="20"/>
        </w:rPr>
        <w:t>,</w:t>
      </w:r>
      <w:r w:rsidRPr="002E4431">
        <w:rPr>
          <w:rFonts w:asciiTheme="majorHAnsi" w:hAnsiTheme="majorHAnsi" w:cstheme="majorHAnsi"/>
          <w:sz w:val="20"/>
          <w:szCs w:val="20"/>
        </w:rPr>
        <w:t xml:space="preserve"> der ikke vedrører VE (primært decentral kraftvarme). Dette skyldes</w:t>
      </w:r>
      <w:r w:rsidR="00D8649F" w:rsidRPr="002E4431">
        <w:rPr>
          <w:rFonts w:asciiTheme="majorHAnsi" w:hAnsiTheme="majorHAnsi" w:cstheme="majorHAnsi"/>
          <w:sz w:val="20"/>
          <w:szCs w:val="20"/>
        </w:rPr>
        <w:t>,</w:t>
      </w:r>
      <w:r w:rsidRPr="002E4431">
        <w:rPr>
          <w:rFonts w:asciiTheme="majorHAnsi" w:hAnsiTheme="majorHAnsi" w:cstheme="majorHAnsi"/>
          <w:sz w:val="20"/>
          <w:szCs w:val="20"/>
        </w:rPr>
        <w:t xml:space="preserve"> at tarifreduktionen på disse poster – pga. overdækning - er større end den beregnede tarif herpå.</w:t>
      </w:r>
      <w:r w:rsidRPr="00F60F39">
        <w:rPr>
          <w:rFonts w:asciiTheme="majorHAnsi" w:hAnsiTheme="majorHAnsi" w:cstheme="majorHAnsi"/>
          <w:sz w:val="20"/>
          <w:szCs w:val="20"/>
        </w:rPr>
        <w:t xml:space="preserve"> </w:t>
      </w:r>
    </w:p>
    <w:p w:rsidR="00F60F39" w:rsidRPr="00F60F39" w:rsidRDefault="00F60F39" w:rsidP="00F60F39">
      <w:pPr>
        <w:pStyle w:val="Default"/>
        <w:rPr>
          <w:rFonts w:asciiTheme="majorHAnsi" w:hAnsiTheme="majorHAnsi" w:cstheme="majorHAnsi"/>
          <w:sz w:val="20"/>
          <w:szCs w:val="20"/>
        </w:rPr>
      </w:pPr>
    </w:p>
    <w:p w:rsidR="00F60F39" w:rsidRPr="00536E48" w:rsidRDefault="00F60F39" w:rsidP="00F60F39">
      <w:pPr>
        <w:pStyle w:val="Overskrift2"/>
        <w:rPr>
          <w:rFonts w:cstheme="majorHAnsi"/>
          <w:sz w:val="24"/>
          <w:szCs w:val="24"/>
        </w:rPr>
      </w:pPr>
      <w:r w:rsidRPr="00536E48">
        <w:rPr>
          <w:rFonts w:cstheme="majorHAnsi"/>
          <w:sz w:val="24"/>
          <w:szCs w:val="24"/>
        </w:rPr>
        <w:t xml:space="preserve">Specifikation af PSO-tariffen </w:t>
      </w:r>
    </w:p>
    <w:p w:rsidR="00F60F39" w:rsidRPr="00F60F39" w:rsidRDefault="00F60F39" w:rsidP="00F60F39">
      <w:pPr>
        <w:pStyle w:val="Default"/>
        <w:spacing w:line="276" w:lineRule="auto"/>
        <w:rPr>
          <w:rFonts w:asciiTheme="majorHAnsi" w:hAnsiTheme="majorHAnsi" w:cstheme="majorHAnsi"/>
          <w:sz w:val="20"/>
          <w:szCs w:val="20"/>
        </w:rPr>
      </w:pPr>
      <w:r w:rsidRPr="002E4431">
        <w:rPr>
          <w:rFonts w:asciiTheme="majorHAnsi" w:hAnsiTheme="majorHAnsi" w:cstheme="majorHAnsi"/>
          <w:sz w:val="20"/>
          <w:szCs w:val="20"/>
        </w:rPr>
        <w:t>PSO-tariffens sammensætning for 1. kvart</w:t>
      </w:r>
      <w:r w:rsidR="00357CD9">
        <w:rPr>
          <w:rFonts w:asciiTheme="majorHAnsi" w:hAnsiTheme="majorHAnsi" w:cstheme="majorHAnsi"/>
          <w:sz w:val="20"/>
          <w:szCs w:val="20"/>
        </w:rPr>
        <w:t>al 2020</w:t>
      </w:r>
      <w:r w:rsidRPr="002E4431">
        <w:rPr>
          <w:rFonts w:asciiTheme="majorHAnsi" w:hAnsiTheme="majorHAnsi" w:cstheme="majorHAnsi"/>
          <w:sz w:val="20"/>
          <w:szCs w:val="20"/>
        </w:rPr>
        <w:t xml:space="preserve"> fremgår af nedenstående tabel. Tilskud til vind (hav</w:t>
      </w:r>
      <w:r w:rsidR="00D8649F" w:rsidRPr="002E4431">
        <w:rPr>
          <w:rFonts w:asciiTheme="majorHAnsi" w:hAnsiTheme="majorHAnsi" w:cstheme="majorHAnsi"/>
          <w:sz w:val="20"/>
          <w:szCs w:val="20"/>
        </w:rPr>
        <w:t>vind</w:t>
      </w:r>
      <w:r w:rsidRPr="002E4431">
        <w:rPr>
          <w:rFonts w:asciiTheme="majorHAnsi" w:hAnsiTheme="majorHAnsi" w:cstheme="majorHAnsi"/>
          <w:sz w:val="20"/>
          <w:szCs w:val="20"/>
        </w:rPr>
        <w:t xml:space="preserve"> og land</w:t>
      </w:r>
      <w:r w:rsidR="00D8649F" w:rsidRPr="002E4431">
        <w:rPr>
          <w:rFonts w:asciiTheme="majorHAnsi" w:hAnsiTheme="majorHAnsi" w:cstheme="majorHAnsi"/>
          <w:sz w:val="20"/>
          <w:szCs w:val="20"/>
        </w:rPr>
        <w:t>vind</w:t>
      </w:r>
      <w:r w:rsidRPr="002E4431">
        <w:rPr>
          <w:rFonts w:asciiTheme="majorHAnsi" w:hAnsiTheme="majorHAnsi" w:cstheme="majorHAnsi"/>
          <w:sz w:val="20"/>
          <w:szCs w:val="20"/>
        </w:rPr>
        <w:t xml:space="preserve">) udgør de største dele af udgifterne. </w:t>
      </w:r>
      <w:r w:rsidR="009B072C">
        <w:rPr>
          <w:rFonts w:asciiTheme="majorHAnsi" w:hAnsiTheme="majorHAnsi" w:cstheme="majorHAnsi"/>
          <w:sz w:val="20"/>
          <w:szCs w:val="20"/>
        </w:rPr>
        <w:t xml:space="preserve">Til forskel </w:t>
      </w:r>
      <w:r w:rsidR="009B072C">
        <w:rPr>
          <w:rFonts w:asciiTheme="majorHAnsi" w:hAnsiTheme="majorHAnsi" w:cstheme="majorHAnsi"/>
          <w:sz w:val="20"/>
          <w:szCs w:val="20"/>
        </w:rPr>
        <w:lastRenderedPageBreak/>
        <w:t>fra tidligere års fastsættelse af PSO-tariffen, er lempelserne ikke fordelt jævnt ud over kvartalerne, men derimod relativt til de forventede udgifter. Således bliver t</w:t>
      </w:r>
      <w:r w:rsidRPr="002E4431">
        <w:rPr>
          <w:rFonts w:asciiTheme="majorHAnsi" w:hAnsiTheme="majorHAnsi" w:cstheme="majorHAnsi"/>
          <w:sz w:val="20"/>
          <w:szCs w:val="20"/>
        </w:rPr>
        <w:t xml:space="preserve">ariffen </w:t>
      </w:r>
      <w:r w:rsidR="009B072C">
        <w:rPr>
          <w:rFonts w:asciiTheme="majorHAnsi" w:hAnsiTheme="majorHAnsi" w:cstheme="majorHAnsi"/>
          <w:sz w:val="20"/>
          <w:szCs w:val="20"/>
        </w:rPr>
        <w:t xml:space="preserve">i 1. kvartal 2020 </w:t>
      </w:r>
      <w:r w:rsidRPr="002E4431">
        <w:rPr>
          <w:rFonts w:asciiTheme="majorHAnsi" w:hAnsiTheme="majorHAnsi" w:cstheme="majorHAnsi"/>
          <w:sz w:val="20"/>
          <w:szCs w:val="20"/>
        </w:rPr>
        <w:t xml:space="preserve">lempet med i alt </w:t>
      </w:r>
      <w:r w:rsidR="009B072C">
        <w:rPr>
          <w:rFonts w:asciiTheme="majorHAnsi" w:hAnsiTheme="majorHAnsi" w:cstheme="majorHAnsi"/>
          <w:sz w:val="20"/>
          <w:szCs w:val="20"/>
        </w:rPr>
        <w:t>1.360</w:t>
      </w:r>
      <w:r w:rsidRPr="002E4431">
        <w:rPr>
          <w:rFonts w:asciiTheme="majorHAnsi" w:hAnsiTheme="majorHAnsi" w:cstheme="majorHAnsi"/>
          <w:sz w:val="20"/>
          <w:szCs w:val="20"/>
        </w:rPr>
        <w:t>, som følge af Vækstpakken 2014 og aftale om afskaffelse af PSO-afgiften i 2016, jf. tabel 2.</w:t>
      </w:r>
      <w:r w:rsidRPr="00F60F39">
        <w:rPr>
          <w:rFonts w:asciiTheme="majorHAnsi" w:hAnsiTheme="majorHAnsi" w:cstheme="majorHAnsi"/>
          <w:sz w:val="20"/>
          <w:szCs w:val="20"/>
        </w:rPr>
        <w:t xml:space="preserve"> </w:t>
      </w:r>
    </w:p>
    <w:p w:rsidR="00F60F39" w:rsidRPr="00F60F39" w:rsidRDefault="00F60F39" w:rsidP="00F60F39">
      <w:pPr>
        <w:pStyle w:val="Default"/>
        <w:spacing w:line="276" w:lineRule="auto"/>
        <w:rPr>
          <w:rFonts w:asciiTheme="majorHAnsi" w:hAnsiTheme="majorHAnsi" w:cstheme="majorHAnsi"/>
          <w:sz w:val="20"/>
          <w:szCs w:val="20"/>
        </w:rPr>
      </w:pPr>
    </w:p>
    <w:p w:rsidR="00F60F39" w:rsidRDefault="00F60F39" w:rsidP="009B072C">
      <w:pPr>
        <w:rPr>
          <w:rFonts w:asciiTheme="majorHAnsi" w:hAnsiTheme="majorHAnsi" w:cstheme="majorHAnsi"/>
          <w:szCs w:val="20"/>
        </w:rPr>
      </w:pPr>
      <w:r w:rsidRPr="00F60F39">
        <w:rPr>
          <w:rFonts w:asciiTheme="majorHAnsi" w:hAnsiTheme="majorHAnsi" w:cstheme="majorHAnsi"/>
          <w:szCs w:val="20"/>
        </w:rPr>
        <w:t>Tilskud til primært havvind er i høj grad afhængig af markedsprisen. Dette skyldes, at hovedparten af elproduktionen afregnes i forhold til markedsprisen.</w:t>
      </w:r>
      <w:r w:rsidR="009B072C">
        <w:rPr>
          <w:rFonts w:asciiTheme="majorHAnsi" w:hAnsiTheme="majorHAnsi" w:cstheme="majorHAnsi"/>
          <w:szCs w:val="20"/>
        </w:rPr>
        <w:t xml:space="preserve"> </w:t>
      </w:r>
      <w:r w:rsidRPr="00F60F39">
        <w:rPr>
          <w:rFonts w:asciiTheme="majorHAnsi" w:hAnsiTheme="majorHAnsi" w:cstheme="majorHAnsi"/>
          <w:szCs w:val="20"/>
        </w:rPr>
        <w:t xml:space="preserve">Højere elpriser betyder lavere tilskud, og lavere elpriser betyder højere tilskud til især havvind </w:t>
      </w:r>
      <w:r w:rsidR="002E4431">
        <w:rPr>
          <w:rFonts w:asciiTheme="majorHAnsi" w:hAnsiTheme="majorHAnsi" w:cstheme="majorHAnsi"/>
          <w:szCs w:val="20"/>
        </w:rPr>
        <w:t>som følge af</w:t>
      </w:r>
      <w:r w:rsidRPr="00F60F39">
        <w:rPr>
          <w:rFonts w:asciiTheme="majorHAnsi" w:hAnsiTheme="majorHAnsi" w:cstheme="majorHAnsi"/>
          <w:szCs w:val="20"/>
        </w:rPr>
        <w:t xml:space="preserve"> tilskudsafhængighed</w:t>
      </w:r>
      <w:r w:rsidR="002E4431">
        <w:rPr>
          <w:rFonts w:asciiTheme="majorHAnsi" w:hAnsiTheme="majorHAnsi" w:cstheme="majorHAnsi"/>
          <w:szCs w:val="20"/>
        </w:rPr>
        <w:t>en</w:t>
      </w:r>
      <w:r w:rsidRPr="00F60F39">
        <w:rPr>
          <w:rFonts w:asciiTheme="majorHAnsi" w:hAnsiTheme="majorHAnsi" w:cstheme="majorHAnsi"/>
          <w:szCs w:val="20"/>
        </w:rPr>
        <w:t xml:space="preserve"> af markedsprisen for el</w:t>
      </w:r>
      <w:r w:rsidR="002E4431">
        <w:rPr>
          <w:rFonts w:asciiTheme="majorHAnsi" w:hAnsiTheme="majorHAnsi" w:cstheme="majorHAnsi"/>
          <w:szCs w:val="20"/>
        </w:rPr>
        <w:t>.</w:t>
      </w:r>
      <w:r w:rsidRPr="00F60F39">
        <w:rPr>
          <w:rFonts w:asciiTheme="majorHAnsi" w:hAnsiTheme="majorHAnsi" w:cstheme="majorHAnsi"/>
          <w:szCs w:val="20"/>
        </w:rPr>
        <w:t xml:space="preserve"> </w:t>
      </w:r>
    </w:p>
    <w:p w:rsidR="002E4431" w:rsidRPr="00F60F39" w:rsidRDefault="002E4431" w:rsidP="00F60F39">
      <w:pPr>
        <w:pStyle w:val="Default"/>
        <w:spacing w:line="276" w:lineRule="auto"/>
        <w:rPr>
          <w:rFonts w:asciiTheme="majorHAnsi" w:hAnsiTheme="majorHAnsi" w:cstheme="majorHAnsi"/>
          <w:sz w:val="20"/>
          <w:szCs w:val="20"/>
        </w:rPr>
      </w:pPr>
    </w:p>
    <w:p w:rsidR="00F60F39" w:rsidRPr="005D2503" w:rsidRDefault="002E4431" w:rsidP="00F60F39">
      <w:pPr>
        <w:pStyle w:val="Default"/>
        <w:spacing w:line="276" w:lineRule="auto"/>
        <w:rPr>
          <w:rFonts w:asciiTheme="majorHAnsi" w:hAnsiTheme="majorHAnsi" w:cstheme="majorHAnsi"/>
          <w:b/>
          <w:sz w:val="20"/>
          <w:szCs w:val="20"/>
        </w:rPr>
      </w:pPr>
      <w:r w:rsidRPr="005D2503">
        <w:rPr>
          <w:rFonts w:asciiTheme="majorHAnsi" w:hAnsiTheme="majorHAnsi" w:cstheme="majorHAnsi"/>
          <w:b/>
          <w:sz w:val="20"/>
          <w:szCs w:val="20"/>
        </w:rPr>
        <w:t>Tabel 2:</w:t>
      </w:r>
      <w:r w:rsidR="00A53E15">
        <w:rPr>
          <w:rFonts w:asciiTheme="majorHAnsi" w:hAnsiTheme="majorHAnsi" w:cstheme="majorHAnsi"/>
          <w:b/>
          <w:sz w:val="20"/>
          <w:szCs w:val="20"/>
        </w:rPr>
        <w:t xml:space="preserve">Specifikation af </w:t>
      </w:r>
      <w:r w:rsidR="00357CD9">
        <w:rPr>
          <w:rFonts w:asciiTheme="majorHAnsi" w:hAnsiTheme="majorHAnsi" w:cstheme="majorHAnsi"/>
          <w:b/>
          <w:sz w:val="20"/>
          <w:szCs w:val="20"/>
        </w:rPr>
        <w:t>PSO-tariffen for 1. kvartal 2020</w:t>
      </w:r>
    </w:p>
    <w:tbl>
      <w:tblP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701"/>
      </w:tblGrid>
      <w:tr w:rsidR="00F60F39" w:rsidRPr="004163B8" w:rsidTr="00536E48">
        <w:trPr>
          <w:trHeight w:val="156"/>
        </w:trPr>
        <w:tc>
          <w:tcPr>
            <w:tcW w:w="5920" w:type="dxa"/>
            <w:tcBorders>
              <w:top w:val="single" w:sz="4" w:space="0" w:color="auto"/>
              <w:left w:val="single" w:sz="4" w:space="0" w:color="auto"/>
              <w:bottom w:val="single" w:sz="4" w:space="0" w:color="auto"/>
              <w:right w:val="nil"/>
            </w:tcBorders>
            <w:shd w:val="clear" w:color="auto" w:fill="0097A7" w:themeFill="accent1"/>
          </w:tcPr>
          <w:p w:rsidR="00F60F39" w:rsidRPr="004163B8" w:rsidRDefault="00F60F39" w:rsidP="006C4348">
            <w:pPr>
              <w:autoSpaceDE w:val="0"/>
              <w:autoSpaceDN w:val="0"/>
              <w:adjustRightInd w:val="0"/>
              <w:spacing w:line="240" w:lineRule="auto"/>
              <w:rPr>
                <w:rFonts w:asciiTheme="majorHAnsi" w:hAnsiTheme="majorHAnsi" w:cstheme="majorHAnsi"/>
                <w:color w:val="FFFFFF" w:themeColor="background1"/>
                <w:sz w:val="18"/>
                <w:szCs w:val="18"/>
              </w:rPr>
            </w:pPr>
            <w:r w:rsidRPr="004163B8">
              <w:rPr>
                <w:rFonts w:asciiTheme="majorHAnsi" w:hAnsiTheme="majorHAnsi" w:cstheme="majorHAnsi"/>
                <w:b/>
                <w:bCs/>
                <w:color w:val="FFFFFF" w:themeColor="background1"/>
                <w:sz w:val="18"/>
                <w:szCs w:val="18"/>
              </w:rPr>
              <w:t xml:space="preserve">Mio kr. </w:t>
            </w:r>
          </w:p>
        </w:tc>
        <w:tc>
          <w:tcPr>
            <w:tcW w:w="1701" w:type="dxa"/>
            <w:tcBorders>
              <w:top w:val="single" w:sz="4" w:space="0" w:color="auto"/>
              <w:left w:val="nil"/>
              <w:bottom w:val="single" w:sz="4" w:space="0" w:color="auto"/>
              <w:right w:val="single" w:sz="4" w:space="0" w:color="auto"/>
            </w:tcBorders>
            <w:shd w:val="clear" w:color="auto" w:fill="0097A7" w:themeFill="accent1"/>
          </w:tcPr>
          <w:p w:rsidR="00F60F39" w:rsidRPr="004163B8" w:rsidRDefault="00357CD9" w:rsidP="006C4348">
            <w:pPr>
              <w:autoSpaceDE w:val="0"/>
              <w:autoSpaceDN w:val="0"/>
              <w:adjustRightInd w:val="0"/>
              <w:spacing w:line="240" w:lineRule="auto"/>
              <w:jc w:val="right"/>
              <w:rPr>
                <w:rFonts w:asciiTheme="majorHAnsi" w:hAnsiTheme="majorHAnsi" w:cstheme="majorHAnsi"/>
                <w:color w:val="FFFFFF" w:themeColor="background1"/>
                <w:sz w:val="18"/>
                <w:szCs w:val="18"/>
              </w:rPr>
            </w:pPr>
            <w:r w:rsidRPr="004163B8">
              <w:rPr>
                <w:rFonts w:asciiTheme="majorHAnsi" w:hAnsiTheme="majorHAnsi" w:cstheme="majorHAnsi"/>
                <w:b/>
                <w:bCs/>
                <w:color w:val="FFFFFF" w:themeColor="background1"/>
                <w:sz w:val="18"/>
                <w:szCs w:val="18"/>
              </w:rPr>
              <w:t>1. kvartal 2020</w:t>
            </w:r>
            <w:r w:rsidR="00F60F39" w:rsidRPr="004163B8">
              <w:rPr>
                <w:rFonts w:asciiTheme="majorHAnsi" w:hAnsiTheme="majorHAnsi" w:cstheme="majorHAnsi"/>
                <w:b/>
                <w:bCs/>
                <w:color w:val="FFFFFF" w:themeColor="background1"/>
                <w:sz w:val="18"/>
                <w:szCs w:val="18"/>
              </w:rPr>
              <w:t xml:space="preserve"> </w:t>
            </w:r>
          </w:p>
        </w:tc>
      </w:tr>
      <w:tr w:rsidR="00D07A9C" w:rsidRPr="004163B8" w:rsidTr="00D07A9C">
        <w:trPr>
          <w:trHeight w:val="281"/>
        </w:trPr>
        <w:tc>
          <w:tcPr>
            <w:tcW w:w="5920" w:type="dxa"/>
            <w:tcBorders>
              <w:top w:val="single" w:sz="4" w:space="0" w:color="auto"/>
              <w:left w:val="single" w:sz="4" w:space="0" w:color="auto"/>
              <w:bottom w:val="single" w:sz="4" w:space="0" w:color="auto"/>
              <w:right w:val="nil"/>
            </w:tcBorders>
            <w:vAlign w:val="center"/>
          </w:tcPr>
          <w:p w:rsidR="00D07A9C" w:rsidRPr="004163B8" w:rsidRDefault="00D07A9C" w:rsidP="00D07A9C">
            <w:pPr>
              <w:autoSpaceDE w:val="0"/>
              <w:autoSpaceDN w:val="0"/>
              <w:adjustRightInd w:val="0"/>
              <w:spacing w:line="240" w:lineRule="auto"/>
              <w:rPr>
                <w:rFonts w:asciiTheme="majorHAnsi" w:hAnsiTheme="majorHAnsi" w:cstheme="majorHAnsi"/>
                <w:color w:val="000000"/>
                <w:sz w:val="18"/>
                <w:szCs w:val="18"/>
              </w:rPr>
            </w:pPr>
            <w:r w:rsidRPr="004163B8">
              <w:rPr>
                <w:rFonts w:asciiTheme="majorHAnsi" w:hAnsiTheme="majorHAnsi" w:cstheme="majorHAnsi"/>
                <w:color w:val="000000"/>
                <w:sz w:val="18"/>
                <w:szCs w:val="18"/>
              </w:rPr>
              <w:t xml:space="preserve">Tilskud til havvind </w:t>
            </w:r>
          </w:p>
        </w:tc>
        <w:tc>
          <w:tcPr>
            <w:tcW w:w="1701" w:type="dxa"/>
            <w:tcBorders>
              <w:top w:val="single" w:sz="4" w:space="0" w:color="auto"/>
              <w:left w:val="nil"/>
              <w:bottom w:val="single" w:sz="4" w:space="0" w:color="auto"/>
              <w:right w:val="single" w:sz="4" w:space="0" w:color="auto"/>
            </w:tcBorders>
            <w:vAlign w:val="center"/>
          </w:tcPr>
          <w:p w:rsidR="00D07A9C" w:rsidRPr="004163B8" w:rsidRDefault="00D07A9C" w:rsidP="00D07A9C">
            <w:pPr>
              <w:jc w:val="right"/>
              <w:rPr>
                <w:sz w:val="18"/>
                <w:szCs w:val="18"/>
              </w:rPr>
            </w:pPr>
            <w:r w:rsidRPr="004163B8">
              <w:rPr>
                <w:sz w:val="18"/>
                <w:szCs w:val="18"/>
              </w:rPr>
              <w:t>842</w:t>
            </w:r>
          </w:p>
        </w:tc>
      </w:tr>
      <w:tr w:rsidR="00D07A9C" w:rsidRPr="004163B8" w:rsidTr="00D07A9C">
        <w:trPr>
          <w:trHeight w:val="147"/>
        </w:trPr>
        <w:tc>
          <w:tcPr>
            <w:tcW w:w="5920" w:type="dxa"/>
            <w:tcBorders>
              <w:top w:val="single" w:sz="4" w:space="0" w:color="auto"/>
              <w:left w:val="single" w:sz="4" w:space="0" w:color="auto"/>
              <w:bottom w:val="single" w:sz="4" w:space="0" w:color="auto"/>
              <w:right w:val="nil"/>
            </w:tcBorders>
            <w:vAlign w:val="center"/>
          </w:tcPr>
          <w:p w:rsidR="00D07A9C" w:rsidRPr="004163B8" w:rsidRDefault="00D07A9C" w:rsidP="00D07A9C">
            <w:pPr>
              <w:autoSpaceDE w:val="0"/>
              <w:autoSpaceDN w:val="0"/>
              <w:adjustRightInd w:val="0"/>
              <w:spacing w:line="240" w:lineRule="auto"/>
              <w:rPr>
                <w:rFonts w:asciiTheme="majorHAnsi" w:hAnsiTheme="majorHAnsi" w:cstheme="majorHAnsi"/>
                <w:color w:val="000000"/>
                <w:sz w:val="18"/>
                <w:szCs w:val="18"/>
              </w:rPr>
            </w:pPr>
            <w:r w:rsidRPr="004163B8">
              <w:rPr>
                <w:rFonts w:asciiTheme="majorHAnsi" w:hAnsiTheme="majorHAnsi" w:cstheme="majorHAnsi"/>
                <w:color w:val="000000"/>
                <w:sz w:val="18"/>
                <w:szCs w:val="18"/>
              </w:rPr>
              <w:t xml:space="preserve">Tilskud til landvind </w:t>
            </w:r>
          </w:p>
        </w:tc>
        <w:tc>
          <w:tcPr>
            <w:tcW w:w="1701" w:type="dxa"/>
            <w:tcBorders>
              <w:top w:val="single" w:sz="4" w:space="0" w:color="auto"/>
              <w:left w:val="nil"/>
              <w:bottom w:val="single" w:sz="4" w:space="0" w:color="auto"/>
              <w:right w:val="single" w:sz="4" w:space="0" w:color="auto"/>
            </w:tcBorders>
            <w:vAlign w:val="center"/>
          </w:tcPr>
          <w:p w:rsidR="00D07A9C" w:rsidRPr="004163B8" w:rsidRDefault="00D07A9C" w:rsidP="00D07A9C">
            <w:pPr>
              <w:jc w:val="right"/>
              <w:rPr>
                <w:sz w:val="18"/>
                <w:szCs w:val="18"/>
              </w:rPr>
            </w:pPr>
            <w:r w:rsidRPr="004163B8">
              <w:rPr>
                <w:sz w:val="18"/>
                <w:szCs w:val="18"/>
              </w:rPr>
              <w:t>305</w:t>
            </w:r>
          </w:p>
        </w:tc>
      </w:tr>
      <w:tr w:rsidR="00D07A9C" w:rsidRPr="004163B8" w:rsidTr="00D07A9C">
        <w:trPr>
          <w:trHeight w:val="147"/>
        </w:trPr>
        <w:tc>
          <w:tcPr>
            <w:tcW w:w="5920" w:type="dxa"/>
            <w:tcBorders>
              <w:top w:val="single" w:sz="4" w:space="0" w:color="auto"/>
              <w:left w:val="single" w:sz="4" w:space="0" w:color="auto"/>
              <w:bottom w:val="single" w:sz="4" w:space="0" w:color="auto"/>
              <w:right w:val="nil"/>
            </w:tcBorders>
            <w:vAlign w:val="center"/>
          </w:tcPr>
          <w:p w:rsidR="00D07A9C" w:rsidRPr="004163B8" w:rsidRDefault="00D07A9C" w:rsidP="00D07A9C">
            <w:pPr>
              <w:autoSpaceDE w:val="0"/>
              <w:autoSpaceDN w:val="0"/>
              <w:adjustRightInd w:val="0"/>
              <w:spacing w:line="240" w:lineRule="auto"/>
              <w:rPr>
                <w:rFonts w:asciiTheme="majorHAnsi" w:hAnsiTheme="majorHAnsi" w:cstheme="majorHAnsi"/>
                <w:color w:val="000000"/>
                <w:sz w:val="18"/>
                <w:szCs w:val="18"/>
              </w:rPr>
            </w:pPr>
            <w:r w:rsidRPr="004163B8">
              <w:rPr>
                <w:rFonts w:asciiTheme="majorHAnsi" w:hAnsiTheme="majorHAnsi" w:cstheme="majorHAnsi"/>
                <w:color w:val="000000"/>
                <w:sz w:val="18"/>
                <w:szCs w:val="18"/>
              </w:rPr>
              <w:t xml:space="preserve">Tilskud til biomasse </w:t>
            </w:r>
          </w:p>
        </w:tc>
        <w:tc>
          <w:tcPr>
            <w:tcW w:w="1701" w:type="dxa"/>
            <w:tcBorders>
              <w:top w:val="single" w:sz="4" w:space="0" w:color="auto"/>
              <w:left w:val="nil"/>
              <w:bottom w:val="single" w:sz="4" w:space="0" w:color="auto"/>
              <w:right w:val="single" w:sz="4" w:space="0" w:color="auto"/>
            </w:tcBorders>
            <w:vAlign w:val="center"/>
          </w:tcPr>
          <w:p w:rsidR="00D07A9C" w:rsidRPr="004163B8" w:rsidRDefault="00D07A9C" w:rsidP="00D07A9C">
            <w:pPr>
              <w:jc w:val="right"/>
              <w:rPr>
                <w:sz w:val="18"/>
                <w:szCs w:val="18"/>
              </w:rPr>
            </w:pPr>
            <w:r w:rsidRPr="004163B8">
              <w:rPr>
                <w:sz w:val="18"/>
                <w:szCs w:val="18"/>
              </w:rPr>
              <w:t>258</w:t>
            </w:r>
          </w:p>
        </w:tc>
      </w:tr>
      <w:tr w:rsidR="00D07A9C" w:rsidRPr="004163B8" w:rsidTr="00D07A9C">
        <w:trPr>
          <w:trHeight w:val="147"/>
        </w:trPr>
        <w:tc>
          <w:tcPr>
            <w:tcW w:w="5920" w:type="dxa"/>
            <w:tcBorders>
              <w:top w:val="single" w:sz="4" w:space="0" w:color="auto"/>
              <w:left w:val="single" w:sz="4" w:space="0" w:color="auto"/>
              <w:bottom w:val="single" w:sz="4" w:space="0" w:color="auto"/>
              <w:right w:val="nil"/>
            </w:tcBorders>
            <w:vAlign w:val="center"/>
          </w:tcPr>
          <w:p w:rsidR="00D07A9C" w:rsidRPr="004163B8" w:rsidRDefault="00D07A9C" w:rsidP="00D07A9C">
            <w:pPr>
              <w:autoSpaceDE w:val="0"/>
              <w:autoSpaceDN w:val="0"/>
              <w:adjustRightInd w:val="0"/>
              <w:spacing w:line="240" w:lineRule="auto"/>
              <w:rPr>
                <w:rFonts w:asciiTheme="majorHAnsi" w:hAnsiTheme="majorHAnsi" w:cstheme="majorHAnsi"/>
                <w:color w:val="000000"/>
                <w:sz w:val="18"/>
                <w:szCs w:val="18"/>
              </w:rPr>
            </w:pPr>
            <w:r w:rsidRPr="004163B8">
              <w:rPr>
                <w:rFonts w:asciiTheme="majorHAnsi" w:hAnsiTheme="majorHAnsi" w:cstheme="majorHAnsi"/>
                <w:color w:val="000000"/>
                <w:sz w:val="18"/>
                <w:szCs w:val="18"/>
              </w:rPr>
              <w:t xml:space="preserve">Tilskud til biogas til el </w:t>
            </w:r>
          </w:p>
        </w:tc>
        <w:tc>
          <w:tcPr>
            <w:tcW w:w="1701" w:type="dxa"/>
            <w:tcBorders>
              <w:top w:val="single" w:sz="4" w:space="0" w:color="auto"/>
              <w:left w:val="nil"/>
              <w:bottom w:val="single" w:sz="4" w:space="0" w:color="auto"/>
              <w:right w:val="single" w:sz="4" w:space="0" w:color="auto"/>
            </w:tcBorders>
            <w:vAlign w:val="center"/>
          </w:tcPr>
          <w:p w:rsidR="00D07A9C" w:rsidRPr="004163B8" w:rsidRDefault="00D07A9C" w:rsidP="00D07A9C">
            <w:pPr>
              <w:jc w:val="right"/>
              <w:rPr>
                <w:sz w:val="18"/>
                <w:szCs w:val="18"/>
              </w:rPr>
            </w:pPr>
            <w:r w:rsidRPr="004163B8">
              <w:rPr>
                <w:sz w:val="18"/>
                <w:szCs w:val="18"/>
              </w:rPr>
              <w:t>251</w:t>
            </w:r>
          </w:p>
        </w:tc>
      </w:tr>
      <w:tr w:rsidR="00D07A9C" w:rsidRPr="004163B8" w:rsidTr="00D07A9C">
        <w:trPr>
          <w:trHeight w:val="147"/>
        </w:trPr>
        <w:tc>
          <w:tcPr>
            <w:tcW w:w="5920" w:type="dxa"/>
            <w:tcBorders>
              <w:top w:val="single" w:sz="4" w:space="0" w:color="auto"/>
              <w:left w:val="single" w:sz="4" w:space="0" w:color="auto"/>
              <w:bottom w:val="single" w:sz="4" w:space="0" w:color="auto"/>
              <w:right w:val="nil"/>
            </w:tcBorders>
            <w:vAlign w:val="center"/>
          </w:tcPr>
          <w:p w:rsidR="00D07A9C" w:rsidRPr="004163B8" w:rsidRDefault="00D07A9C" w:rsidP="00D07A9C">
            <w:pPr>
              <w:autoSpaceDE w:val="0"/>
              <w:autoSpaceDN w:val="0"/>
              <w:adjustRightInd w:val="0"/>
              <w:spacing w:line="240" w:lineRule="auto"/>
              <w:rPr>
                <w:rFonts w:asciiTheme="majorHAnsi" w:hAnsiTheme="majorHAnsi" w:cstheme="majorHAnsi"/>
                <w:color w:val="000000"/>
                <w:sz w:val="18"/>
                <w:szCs w:val="18"/>
              </w:rPr>
            </w:pPr>
            <w:r w:rsidRPr="004163B8">
              <w:rPr>
                <w:rFonts w:asciiTheme="majorHAnsi" w:hAnsiTheme="majorHAnsi" w:cstheme="majorHAnsi"/>
                <w:color w:val="000000"/>
                <w:sz w:val="18"/>
                <w:szCs w:val="18"/>
              </w:rPr>
              <w:t xml:space="preserve">Tilskud til decentrale anlæg </w:t>
            </w:r>
          </w:p>
        </w:tc>
        <w:tc>
          <w:tcPr>
            <w:tcW w:w="1701" w:type="dxa"/>
            <w:tcBorders>
              <w:top w:val="single" w:sz="4" w:space="0" w:color="auto"/>
              <w:left w:val="nil"/>
              <w:bottom w:val="single" w:sz="4" w:space="0" w:color="auto"/>
              <w:right w:val="single" w:sz="4" w:space="0" w:color="auto"/>
            </w:tcBorders>
            <w:vAlign w:val="center"/>
          </w:tcPr>
          <w:p w:rsidR="00D07A9C" w:rsidRPr="004163B8" w:rsidRDefault="00D07A9C" w:rsidP="00D07A9C">
            <w:pPr>
              <w:jc w:val="right"/>
              <w:rPr>
                <w:sz w:val="18"/>
                <w:szCs w:val="18"/>
              </w:rPr>
            </w:pPr>
            <w:r w:rsidRPr="004163B8">
              <w:rPr>
                <w:sz w:val="18"/>
                <w:szCs w:val="18"/>
              </w:rPr>
              <w:t>14</w:t>
            </w:r>
          </w:p>
        </w:tc>
      </w:tr>
      <w:tr w:rsidR="00D07A9C" w:rsidRPr="004163B8" w:rsidTr="00D07A9C">
        <w:trPr>
          <w:trHeight w:val="147"/>
        </w:trPr>
        <w:tc>
          <w:tcPr>
            <w:tcW w:w="5920" w:type="dxa"/>
            <w:tcBorders>
              <w:top w:val="single" w:sz="4" w:space="0" w:color="auto"/>
              <w:left w:val="single" w:sz="4" w:space="0" w:color="auto"/>
              <w:bottom w:val="single" w:sz="4" w:space="0" w:color="auto"/>
              <w:right w:val="nil"/>
            </w:tcBorders>
            <w:vAlign w:val="center"/>
          </w:tcPr>
          <w:p w:rsidR="00D07A9C" w:rsidRPr="004163B8" w:rsidRDefault="00D07A9C" w:rsidP="00D07A9C">
            <w:pPr>
              <w:autoSpaceDE w:val="0"/>
              <w:autoSpaceDN w:val="0"/>
              <w:adjustRightInd w:val="0"/>
              <w:spacing w:line="240" w:lineRule="auto"/>
              <w:rPr>
                <w:rFonts w:asciiTheme="majorHAnsi" w:hAnsiTheme="majorHAnsi" w:cstheme="majorHAnsi"/>
                <w:color w:val="000000"/>
                <w:sz w:val="18"/>
                <w:szCs w:val="18"/>
              </w:rPr>
            </w:pPr>
            <w:r w:rsidRPr="004163B8">
              <w:rPr>
                <w:rFonts w:asciiTheme="majorHAnsi" w:hAnsiTheme="majorHAnsi" w:cstheme="majorHAnsi"/>
                <w:color w:val="000000"/>
                <w:sz w:val="18"/>
                <w:szCs w:val="18"/>
              </w:rPr>
              <w:t xml:space="preserve">Øvrige VE-omkostninger </w:t>
            </w:r>
          </w:p>
        </w:tc>
        <w:tc>
          <w:tcPr>
            <w:tcW w:w="1701" w:type="dxa"/>
            <w:tcBorders>
              <w:top w:val="single" w:sz="4" w:space="0" w:color="auto"/>
              <w:left w:val="nil"/>
              <w:bottom w:val="single" w:sz="4" w:space="0" w:color="auto"/>
              <w:right w:val="single" w:sz="4" w:space="0" w:color="auto"/>
            </w:tcBorders>
            <w:vAlign w:val="center"/>
          </w:tcPr>
          <w:p w:rsidR="00D07A9C" w:rsidRPr="004163B8" w:rsidRDefault="00D07A9C" w:rsidP="00D07A9C">
            <w:pPr>
              <w:jc w:val="right"/>
              <w:rPr>
                <w:sz w:val="18"/>
                <w:szCs w:val="18"/>
              </w:rPr>
            </w:pPr>
            <w:r w:rsidRPr="004163B8">
              <w:rPr>
                <w:sz w:val="18"/>
                <w:szCs w:val="18"/>
              </w:rPr>
              <w:t>50</w:t>
            </w:r>
          </w:p>
        </w:tc>
      </w:tr>
      <w:tr w:rsidR="00D07A9C" w:rsidRPr="004163B8" w:rsidTr="00D07A9C">
        <w:trPr>
          <w:trHeight w:val="147"/>
        </w:trPr>
        <w:tc>
          <w:tcPr>
            <w:tcW w:w="5920" w:type="dxa"/>
            <w:tcBorders>
              <w:top w:val="single" w:sz="4" w:space="0" w:color="auto"/>
              <w:left w:val="single" w:sz="4" w:space="0" w:color="auto"/>
              <w:bottom w:val="single" w:sz="4" w:space="0" w:color="auto"/>
              <w:right w:val="nil"/>
            </w:tcBorders>
            <w:vAlign w:val="center"/>
          </w:tcPr>
          <w:p w:rsidR="00D07A9C" w:rsidRPr="004163B8" w:rsidRDefault="00D07A9C" w:rsidP="00D07A9C">
            <w:pPr>
              <w:autoSpaceDE w:val="0"/>
              <w:autoSpaceDN w:val="0"/>
              <w:adjustRightInd w:val="0"/>
              <w:spacing w:line="240" w:lineRule="auto"/>
              <w:rPr>
                <w:rFonts w:asciiTheme="majorHAnsi" w:hAnsiTheme="majorHAnsi" w:cstheme="majorHAnsi"/>
                <w:color w:val="000000"/>
                <w:sz w:val="18"/>
                <w:szCs w:val="18"/>
              </w:rPr>
            </w:pPr>
            <w:r w:rsidRPr="004163B8">
              <w:rPr>
                <w:rFonts w:asciiTheme="majorHAnsi" w:hAnsiTheme="majorHAnsi" w:cstheme="majorHAnsi"/>
                <w:color w:val="000000"/>
                <w:sz w:val="18"/>
                <w:szCs w:val="18"/>
              </w:rPr>
              <w:t>Lempelser, vækstpakke 2014 og afskaffelse af PSO-afgiften, 2016, knyttet til ovenstående poster*</w:t>
            </w:r>
          </w:p>
        </w:tc>
        <w:tc>
          <w:tcPr>
            <w:tcW w:w="1701" w:type="dxa"/>
            <w:tcBorders>
              <w:top w:val="single" w:sz="4" w:space="0" w:color="auto"/>
              <w:left w:val="nil"/>
              <w:bottom w:val="single" w:sz="4" w:space="0" w:color="auto"/>
              <w:right w:val="single" w:sz="4" w:space="0" w:color="auto"/>
            </w:tcBorders>
            <w:vAlign w:val="center"/>
          </w:tcPr>
          <w:p w:rsidR="00D07A9C" w:rsidRPr="004163B8" w:rsidRDefault="00D07A9C" w:rsidP="00D07A9C">
            <w:pPr>
              <w:jc w:val="right"/>
              <w:rPr>
                <w:sz w:val="18"/>
                <w:szCs w:val="18"/>
              </w:rPr>
            </w:pPr>
            <w:r w:rsidRPr="004163B8">
              <w:rPr>
                <w:sz w:val="18"/>
                <w:szCs w:val="18"/>
              </w:rPr>
              <w:t xml:space="preserve"> -1.360 </w:t>
            </w:r>
          </w:p>
        </w:tc>
      </w:tr>
      <w:tr w:rsidR="00D07A9C" w:rsidRPr="004163B8" w:rsidTr="00D07A9C">
        <w:trPr>
          <w:trHeight w:val="132"/>
        </w:trPr>
        <w:tc>
          <w:tcPr>
            <w:tcW w:w="5920" w:type="dxa"/>
            <w:tcBorders>
              <w:top w:val="single" w:sz="4" w:space="0" w:color="auto"/>
              <w:left w:val="single" w:sz="4" w:space="0" w:color="auto"/>
              <w:bottom w:val="single" w:sz="4" w:space="0" w:color="auto"/>
              <w:right w:val="nil"/>
            </w:tcBorders>
            <w:vAlign w:val="center"/>
          </w:tcPr>
          <w:p w:rsidR="00D07A9C" w:rsidRPr="004163B8" w:rsidRDefault="00D07A9C" w:rsidP="00D07A9C">
            <w:pPr>
              <w:autoSpaceDE w:val="0"/>
              <w:autoSpaceDN w:val="0"/>
              <w:adjustRightInd w:val="0"/>
              <w:spacing w:line="240" w:lineRule="auto"/>
              <w:rPr>
                <w:rFonts w:asciiTheme="majorHAnsi" w:hAnsiTheme="majorHAnsi" w:cstheme="majorHAnsi"/>
                <w:color w:val="000000"/>
                <w:sz w:val="18"/>
                <w:szCs w:val="18"/>
              </w:rPr>
            </w:pPr>
            <w:r w:rsidRPr="004163B8">
              <w:rPr>
                <w:rFonts w:asciiTheme="majorHAnsi" w:hAnsiTheme="majorHAnsi" w:cstheme="majorHAnsi"/>
                <w:color w:val="000000"/>
                <w:sz w:val="18"/>
                <w:szCs w:val="18"/>
              </w:rPr>
              <w:t xml:space="preserve">Indregnet akkumuleret over-/underdækning </w:t>
            </w:r>
          </w:p>
        </w:tc>
        <w:tc>
          <w:tcPr>
            <w:tcW w:w="1701" w:type="dxa"/>
            <w:tcBorders>
              <w:top w:val="single" w:sz="4" w:space="0" w:color="auto"/>
              <w:left w:val="nil"/>
              <w:bottom w:val="single" w:sz="4" w:space="0" w:color="auto"/>
              <w:right w:val="single" w:sz="4" w:space="0" w:color="auto"/>
            </w:tcBorders>
            <w:vAlign w:val="center"/>
          </w:tcPr>
          <w:p w:rsidR="00D07A9C" w:rsidRPr="004163B8" w:rsidRDefault="00D07A9C" w:rsidP="00D07A9C">
            <w:pPr>
              <w:jc w:val="right"/>
              <w:rPr>
                <w:sz w:val="18"/>
                <w:szCs w:val="18"/>
              </w:rPr>
            </w:pPr>
            <w:r w:rsidRPr="004163B8">
              <w:rPr>
                <w:sz w:val="18"/>
                <w:szCs w:val="18"/>
              </w:rPr>
              <w:t>-124</w:t>
            </w:r>
          </w:p>
        </w:tc>
      </w:tr>
      <w:tr w:rsidR="00D07A9C" w:rsidRPr="004163B8" w:rsidTr="00D07A9C">
        <w:trPr>
          <w:trHeight w:val="138"/>
        </w:trPr>
        <w:tc>
          <w:tcPr>
            <w:tcW w:w="5920" w:type="dxa"/>
            <w:tcBorders>
              <w:top w:val="single" w:sz="4" w:space="0" w:color="auto"/>
              <w:left w:val="single" w:sz="4" w:space="0" w:color="auto"/>
              <w:bottom w:val="single" w:sz="4" w:space="0" w:color="auto"/>
              <w:right w:val="nil"/>
            </w:tcBorders>
            <w:vAlign w:val="center"/>
          </w:tcPr>
          <w:p w:rsidR="00D07A9C" w:rsidRPr="004163B8" w:rsidRDefault="00D07A9C" w:rsidP="00D07A9C">
            <w:pPr>
              <w:autoSpaceDE w:val="0"/>
              <w:autoSpaceDN w:val="0"/>
              <w:adjustRightInd w:val="0"/>
              <w:spacing w:line="240" w:lineRule="auto"/>
              <w:rPr>
                <w:rFonts w:asciiTheme="majorHAnsi" w:hAnsiTheme="majorHAnsi" w:cstheme="majorHAnsi"/>
                <w:color w:val="000000"/>
                <w:sz w:val="18"/>
                <w:szCs w:val="18"/>
              </w:rPr>
            </w:pPr>
            <w:r w:rsidRPr="004163B8">
              <w:rPr>
                <w:rFonts w:asciiTheme="majorHAnsi" w:hAnsiTheme="majorHAnsi" w:cstheme="majorHAnsi"/>
                <w:b/>
                <w:bCs/>
                <w:color w:val="000000"/>
                <w:sz w:val="18"/>
                <w:szCs w:val="18"/>
              </w:rPr>
              <w:t>PSO-udgifter i alt til beregning af tarif</w:t>
            </w:r>
          </w:p>
        </w:tc>
        <w:tc>
          <w:tcPr>
            <w:tcW w:w="1701" w:type="dxa"/>
            <w:tcBorders>
              <w:top w:val="single" w:sz="4" w:space="0" w:color="auto"/>
              <w:left w:val="nil"/>
              <w:bottom w:val="single" w:sz="4" w:space="0" w:color="auto"/>
              <w:right w:val="single" w:sz="4" w:space="0" w:color="auto"/>
            </w:tcBorders>
            <w:vAlign w:val="center"/>
          </w:tcPr>
          <w:p w:rsidR="00D07A9C" w:rsidRPr="004163B8" w:rsidRDefault="00D07A9C" w:rsidP="00D07A9C">
            <w:pPr>
              <w:jc w:val="right"/>
              <w:rPr>
                <w:b/>
                <w:sz w:val="18"/>
                <w:szCs w:val="18"/>
              </w:rPr>
            </w:pPr>
            <w:r w:rsidRPr="004163B8">
              <w:rPr>
                <w:b/>
                <w:sz w:val="18"/>
                <w:szCs w:val="18"/>
              </w:rPr>
              <w:t xml:space="preserve"> 234 </w:t>
            </w:r>
          </w:p>
        </w:tc>
      </w:tr>
    </w:tbl>
    <w:p w:rsidR="00F60F39" w:rsidRPr="002E4431" w:rsidRDefault="00F60F39" w:rsidP="00536E48">
      <w:pPr>
        <w:pStyle w:val="Default"/>
        <w:rPr>
          <w:rFonts w:asciiTheme="majorHAnsi" w:hAnsiTheme="majorHAnsi" w:cstheme="majorHAnsi"/>
          <w:i/>
          <w:sz w:val="18"/>
          <w:szCs w:val="18"/>
        </w:rPr>
      </w:pPr>
      <w:r w:rsidRPr="002E4431">
        <w:rPr>
          <w:rFonts w:asciiTheme="majorHAnsi" w:hAnsiTheme="majorHAnsi" w:cstheme="majorHAnsi"/>
          <w:i/>
          <w:sz w:val="18"/>
          <w:szCs w:val="18"/>
        </w:rPr>
        <w:t xml:space="preserve">*De </w:t>
      </w:r>
      <w:r w:rsidR="00D07A9C">
        <w:rPr>
          <w:rFonts w:asciiTheme="majorHAnsi" w:hAnsiTheme="majorHAnsi" w:cstheme="majorHAnsi"/>
          <w:i/>
          <w:sz w:val="18"/>
          <w:szCs w:val="18"/>
        </w:rPr>
        <w:t>1.360</w:t>
      </w:r>
      <w:r w:rsidRPr="002E4431">
        <w:rPr>
          <w:rFonts w:asciiTheme="majorHAnsi" w:hAnsiTheme="majorHAnsi" w:cstheme="majorHAnsi"/>
          <w:i/>
          <w:sz w:val="18"/>
          <w:szCs w:val="18"/>
        </w:rPr>
        <w:t xml:space="preserve"> mio. kr. inkluderer ikke ordninger, som tidligere blev finansieret via PSO-tariffen, </w:t>
      </w:r>
      <w:r w:rsidR="00536E48" w:rsidRPr="002E4431">
        <w:rPr>
          <w:rFonts w:asciiTheme="majorHAnsi" w:hAnsiTheme="majorHAnsi" w:cstheme="majorHAnsi"/>
          <w:i/>
          <w:sz w:val="18"/>
          <w:szCs w:val="18"/>
        </w:rPr>
        <w:t>m</w:t>
      </w:r>
      <w:r w:rsidRPr="002E4431">
        <w:rPr>
          <w:rFonts w:asciiTheme="majorHAnsi" w:hAnsiTheme="majorHAnsi" w:cstheme="majorHAnsi"/>
          <w:i/>
          <w:sz w:val="18"/>
          <w:szCs w:val="18"/>
        </w:rPr>
        <w:t>en som nu fuldt ud finansieres over finansloven. Herunder solceller, husstandsmøller, elsikkerhed og ForskEl</w:t>
      </w:r>
      <w:r w:rsidR="00082709" w:rsidRPr="002E4431">
        <w:rPr>
          <w:rFonts w:asciiTheme="majorHAnsi" w:hAnsiTheme="majorHAnsi" w:cstheme="majorHAnsi"/>
          <w:i/>
          <w:sz w:val="18"/>
          <w:szCs w:val="18"/>
        </w:rPr>
        <w:t xml:space="preserve"> som</w:t>
      </w:r>
      <w:r w:rsidRPr="002E4431">
        <w:rPr>
          <w:rFonts w:asciiTheme="majorHAnsi" w:hAnsiTheme="majorHAnsi" w:cstheme="majorHAnsi"/>
          <w:i/>
          <w:sz w:val="18"/>
          <w:szCs w:val="18"/>
        </w:rPr>
        <w:t xml:space="preserve"> forventes at være</w:t>
      </w:r>
      <w:r w:rsidR="00D07A9C">
        <w:rPr>
          <w:rFonts w:asciiTheme="majorHAnsi" w:hAnsiTheme="majorHAnsi" w:cstheme="majorHAnsi"/>
          <w:i/>
          <w:sz w:val="18"/>
          <w:szCs w:val="18"/>
        </w:rPr>
        <w:t xml:space="preserve"> </w:t>
      </w:r>
      <w:r w:rsidR="001D7419">
        <w:rPr>
          <w:rFonts w:asciiTheme="majorHAnsi" w:hAnsiTheme="majorHAnsi" w:cstheme="majorHAnsi"/>
          <w:i/>
          <w:sz w:val="18"/>
          <w:szCs w:val="18"/>
        </w:rPr>
        <w:t>omkring 100</w:t>
      </w:r>
      <w:r w:rsidR="00D07A9C">
        <w:rPr>
          <w:rFonts w:asciiTheme="majorHAnsi" w:hAnsiTheme="majorHAnsi" w:cstheme="majorHAnsi"/>
          <w:i/>
          <w:sz w:val="18"/>
          <w:szCs w:val="18"/>
        </w:rPr>
        <w:t xml:space="preserve"> mio. kr. for 1. kvartal 2020</w:t>
      </w:r>
      <w:r w:rsidRPr="002E4431">
        <w:rPr>
          <w:rFonts w:asciiTheme="majorHAnsi" w:hAnsiTheme="majorHAnsi" w:cstheme="majorHAnsi"/>
          <w:i/>
          <w:sz w:val="18"/>
          <w:szCs w:val="18"/>
        </w:rPr>
        <w:t xml:space="preserve">. Disse udgifter udgør sammen med de </w:t>
      </w:r>
      <w:r w:rsidR="001D7419">
        <w:rPr>
          <w:rFonts w:asciiTheme="majorHAnsi" w:hAnsiTheme="majorHAnsi" w:cstheme="majorHAnsi"/>
          <w:i/>
          <w:sz w:val="18"/>
          <w:szCs w:val="18"/>
        </w:rPr>
        <w:t>1.360</w:t>
      </w:r>
      <w:r w:rsidRPr="002E4431">
        <w:rPr>
          <w:rFonts w:asciiTheme="majorHAnsi" w:hAnsiTheme="majorHAnsi" w:cstheme="majorHAnsi"/>
          <w:i/>
          <w:sz w:val="18"/>
          <w:szCs w:val="18"/>
        </w:rPr>
        <w:t xml:space="preserve"> mio. kr.de samlede lempelser fra </w:t>
      </w:r>
      <w:r w:rsidR="00D07A9C">
        <w:rPr>
          <w:rFonts w:asciiTheme="majorHAnsi" w:hAnsiTheme="majorHAnsi" w:cstheme="majorHAnsi"/>
          <w:i/>
          <w:sz w:val="18"/>
          <w:szCs w:val="18"/>
        </w:rPr>
        <w:t xml:space="preserve">Vækstpakken 2014 og </w:t>
      </w:r>
      <w:r w:rsidRPr="002E4431">
        <w:rPr>
          <w:rFonts w:asciiTheme="majorHAnsi" w:hAnsiTheme="majorHAnsi" w:cstheme="majorHAnsi"/>
          <w:i/>
          <w:iCs/>
          <w:sz w:val="18"/>
          <w:szCs w:val="18"/>
        </w:rPr>
        <w:t xml:space="preserve">Aftale om afskaffelse af PSO-afgiften </w:t>
      </w:r>
      <w:r w:rsidR="00082709" w:rsidRPr="002E4431">
        <w:rPr>
          <w:rFonts w:asciiTheme="majorHAnsi" w:hAnsiTheme="majorHAnsi" w:cstheme="majorHAnsi"/>
          <w:i/>
          <w:sz w:val="18"/>
          <w:szCs w:val="18"/>
        </w:rPr>
        <w:t>fra november 2016</w:t>
      </w:r>
      <w:r w:rsidR="00D07A9C">
        <w:rPr>
          <w:rFonts w:asciiTheme="majorHAnsi" w:hAnsiTheme="majorHAnsi" w:cstheme="majorHAnsi"/>
          <w:i/>
          <w:sz w:val="18"/>
          <w:szCs w:val="18"/>
        </w:rPr>
        <w:t xml:space="preserve">. </w:t>
      </w:r>
    </w:p>
    <w:p w:rsidR="00536E48" w:rsidRDefault="00536E48" w:rsidP="00F60F39">
      <w:pPr>
        <w:rPr>
          <w:rFonts w:asciiTheme="majorHAnsi" w:hAnsiTheme="majorHAnsi" w:cstheme="majorHAnsi"/>
          <w:szCs w:val="20"/>
        </w:rPr>
      </w:pPr>
    </w:p>
    <w:p w:rsidR="00F60F39" w:rsidRPr="00F60F39" w:rsidRDefault="00F60F39" w:rsidP="00F60F39">
      <w:pPr>
        <w:rPr>
          <w:rFonts w:asciiTheme="majorHAnsi" w:hAnsiTheme="majorHAnsi" w:cstheme="majorHAnsi"/>
          <w:szCs w:val="20"/>
        </w:rPr>
      </w:pPr>
      <w:r w:rsidRPr="00F60F39">
        <w:rPr>
          <w:rFonts w:asciiTheme="majorHAnsi" w:hAnsiTheme="majorHAnsi" w:cstheme="majorHAnsi"/>
          <w:szCs w:val="20"/>
        </w:rPr>
        <w:t>Den i tabellen nævnte over-/underdækning opstår som resultat af, at PSO-tarifferne fastsættes forud for hvert kvartal på baggrund af forventet elforbrug, elproduktion og elmarkedspris. Det resulterer i en over- eller underdækning i forhold til kvartalets realiserede forbrug og produktion. Realiseres markedsprisen under den forventede markedspris, eller realiseres produktionen større end forventet, skabes en underdækning og omvendt. Over-/underdækningen indgår som et element i fastsættelsen af kommende kvartalers PSO-tarif med henblik på enten at tilbagebetale forbrugerne det, der historisk er opkrævet for meget, eller opkræve det fra forbrugerne, der historisk er opkrævet for lidt.</w:t>
      </w:r>
    </w:p>
    <w:p w:rsidR="00F60F39" w:rsidRPr="00F60F39" w:rsidRDefault="00F60F39" w:rsidP="00F60F39">
      <w:pPr>
        <w:pStyle w:val="Overskrift2"/>
        <w:rPr>
          <w:rFonts w:cstheme="majorHAnsi"/>
          <w:sz w:val="20"/>
          <w:szCs w:val="20"/>
        </w:rPr>
      </w:pPr>
      <w:r w:rsidRPr="00F60F39">
        <w:rPr>
          <w:rFonts w:cstheme="majorHAnsi"/>
          <w:sz w:val="20"/>
          <w:szCs w:val="20"/>
        </w:rPr>
        <w:t xml:space="preserve">Forventede PSO-tariffer </w:t>
      </w:r>
    </w:p>
    <w:p w:rsidR="00F60F39" w:rsidRDefault="00F60F39" w:rsidP="00F60F39">
      <w:pPr>
        <w:rPr>
          <w:rFonts w:asciiTheme="majorHAnsi" w:hAnsiTheme="majorHAnsi" w:cstheme="majorHAnsi"/>
          <w:szCs w:val="20"/>
        </w:rPr>
      </w:pPr>
      <w:r w:rsidRPr="00F60F39">
        <w:rPr>
          <w:rFonts w:asciiTheme="majorHAnsi" w:hAnsiTheme="majorHAnsi" w:cstheme="majorHAnsi"/>
          <w:szCs w:val="20"/>
        </w:rPr>
        <w:t>I tabellen nedenfor fremgår den udmeldte PSO-tarif for 1. kvartal samt den forventede udvikling i tarif</w:t>
      </w:r>
      <w:r w:rsidR="00D07A9C">
        <w:rPr>
          <w:rFonts w:asciiTheme="majorHAnsi" w:hAnsiTheme="majorHAnsi" w:cstheme="majorHAnsi"/>
          <w:szCs w:val="20"/>
        </w:rPr>
        <w:t>fen for 2., 3 og 4. kvartal 2020</w:t>
      </w:r>
      <w:r w:rsidRPr="00F60F39">
        <w:rPr>
          <w:rFonts w:asciiTheme="majorHAnsi" w:hAnsiTheme="majorHAnsi" w:cstheme="majorHAnsi"/>
          <w:szCs w:val="20"/>
        </w:rPr>
        <w:t>, der vil ændre sig i takt med udviklingen i bl.a. elpriserne.</w:t>
      </w:r>
    </w:p>
    <w:p w:rsidR="002E4431" w:rsidRDefault="002E4431" w:rsidP="00F60F39">
      <w:pPr>
        <w:rPr>
          <w:rFonts w:asciiTheme="majorHAnsi" w:hAnsiTheme="majorHAnsi" w:cstheme="majorHAnsi"/>
          <w:szCs w:val="20"/>
        </w:rPr>
      </w:pPr>
    </w:p>
    <w:p w:rsidR="002E4431" w:rsidRDefault="002E4431" w:rsidP="00F60F39">
      <w:pPr>
        <w:rPr>
          <w:rFonts w:asciiTheme="majorHAnsi" w:hAnsiTheme="majorHAnsi" w:cstheme="majorHAnsi"/>
          <w:szCs w:val="20"/>
        </w:rPr>
      </w:pPr>
    </w:p>
    <w:p w:rsidR="002E4431" w:rsidRDefault="002E4431" w:rsidP="00F60F39">
      <w:pPr>
        <w:rPr>
          <w:rFonts w:asciiTheme="majorHAnsi" w:hAnsiTheme="majorHAnsi" w:cstheme="majorHAnsi"/>
          <w:szCs w:val="20"/>
        </w:rPr>
      </w:pPr>
    </w:p>
    <w:p w:rsidR="002E4431" w:rsidRDefault="002E4431" w:rsidP="00F60F39">
      <w:pPr>
        <w:rPr>
          <w:rFonts w:asciiTheme="majorHAnsi" w:hAnsiTheme="majorHAnsi" w:cstheme="majorHAnsi"/>
          <w:szCs w:val="20"/>
        </w:rPr>
      </w:pPr>
    </w:p>
    <w:p w:rsidR="002E4431" w:rsidRPr="00F60F39" w:rsidRDefault="002E4431" w:rsidP="00F60F39">
      <w:pPr>
        <w:rPr>
          <w:rFonts w:asciiTheme="majorHAnsi" w:hAnsiTheme="majorHAnsi" w:cstheme="majorHAnsi"/>
          <w:szCs w:val="20"/>
        </w:rPr>
      </w:pPr>
    </w:p>
    <w:p w:rsidR="00536E48" w:rsidRPr="00F60F39" w:rsidRDefault="00536E48" w:rsidP="00F60F39">
      <w:pPr>
        <w:rPr>
          <w:rFonts w:asciiTheme="majorHAnsi" w:hAnsiTheme="majorHAnsi" w:cstheme="majorHAnsi"/>
          <w:b/>
          <w:szCs w:val="20"/>
        </w:rPr>
      </w:pPr>
    </w:p>
    <w:p w:rsidR="00F60F39" w:rsidRPr="00F60F39" w:rsidRDefault="00D07A9C" w:rsidP="00F60F39">
      <w:pPr>
        <w:rPr>
          <w:rFonts w:asciiTheme="majorHAnsi" w:hAnsiTheme="majorHAnsi" w:cstheme="majorHAnsi"/>
          <w:b/>
          <w:szCs w:val="20"/>
        </w:rPr>
      </w:pPr>
      <w:r>
        <w:rPr>
          <w:rFonts w:asciiTheme="majorHAnsi" w:hAnsiTheme="majorHAnsi" w:cstheme="majorHAnsi"/>
          <w:b/>
          <w:szCs w:val="20"/>
        </w:rPr>
        <w:t>Tabel 3 PSO-tarif for 2020</w:t>
      </w:r>
    </w:p>
    <w:tbl>
      <w:tblPr>
        <w:tblStyle w:val="Lysliste-farve1"/>
        <w:tblW w:w="7596" w:type="dxa"/>
        <w:tblLook w:val="04A0" w:firstRow="1" w:lastRow="0" w:firstColumn="1" w:lastColumn="0" w:noHBand="0" w:noVBand="1"/>
      </w:tblPr>
      <w:tblGrid>
        <w:gridCol w:w="2551"/>
        <w:gridCol w:w="1020"/>
        <w:gridCol w:w="1077"/>
        <w:gridCol w:w="1077"/>
        <w:gridCol w:w="1077"/>
        <w:gridCol w:w="794"/>
      </w:tblGrid>
      <w:tr w:rsidR="00D07A9C" w:rsidRPr="00D07A9C" w:rsidTr="004163B8">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551" w:type="dxa"/>
            <w:vAlign w:val="center"/>
          </w:tcPr>
          <w:p w:rsidR="00F60F39" w:rsidRPr="00D07A9C" w:rsidRDefault="00F60F39" w:rsidP="004163B8">
            <w:pPr>
              <w:rPr>
                <w:rFonts w:asciiTheme="majorHAnsi" w:hAnsiTheme="majorHAnsi" w:cstheme="majorHAnsi"/>
                <w:sz w:val="18"/>
                <w:szCs w:val="18"/>
              </w:rPr>
            </w:pPr>
            <w:r w:rsidRPr="00D07A9C">
              <w:rPr>
                <w:rFonts w:asciiTheme="majorHAnsi" w:hAnsiTheme="majorHAnsi" w:cstheme="majorHAnsi"/>
                <w:sz w:val="18"/>
                <w:szCs w:val="18"/>
              </w:rPr>
              <w:t>Øre/kWh</w:t>
            </w:r>
          </w:p>
        </w:tc>
        <w:tc>
          <w:tcPr>
            <w:tcW w:w="1020" w:type="dxa"/>
            <w:vAlign w:val="center"/>
          </w:tcPr>
          <w:p w:rsidR="00F60F39" w:rsidRPr="00D07A9C" w:rsidRDefault="00F60F39" w:rsidP="004163B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07A9C">
              <w:rPr>
                <w:rFonts w:asciiTheme="majorHAnsi" w:hAnsiTheme="majorHAnsi" w:cstheme="majorHAnsi"/>
                <w:sz w:val="18"/>
                <w:szCs w:val="18"/>
              </w:rPr>
              <w:t>1. kvartal</w:t>
            </w:r>
          </w:p>
        </w:tc>
        <w:tc>
          <w:tcPr>
            <w:tcW w:w="1077" w:type="dxa"/>
            <w:vAlign w:val="center"/>
          </w:tcPr>
          <w:p w:rsidR="00F60F39" w:rsidRPr="00D07A9C" w:rsidRDefault="00F60F39" w:rsidP="004163B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07A9C">
              <w:rPr>
                <w:rFonts w:asciiTheme="majorHAnsi" w:hAnsiTheme="majorHAnsi" w:cstheme="majorHAnsi"/>
                <w:sz w:val="18"/>
                <w:szCs w:val="18"/>
              </w:rPr>
              <w:t>2. kvartal*</w:t>
            </w:r>
          </w:p>
        </w:tc>
        <w:tc>
          <w:tcPr>
            <w:tcW w:w="1077" w:type="dxa"/>
            <w:vAlign w:val="center"/>
          </w:tcPr>
          <w:p w:rsidR="00F60F39" w:rsidRPr="00D07A9C" w:rsidRDefault="00F60F39" w:rsidP="004163B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D07A9C">
              <w:rPr>
                <w:rFonts w:asciiTheme="majorHAnsi" w:hAnsiTheme="majorHAnsi" w:cstheme="majorHAnsi"/>
                <w:sz w:val="18"/>
                <w:szCs w:val="18"/>
              </w:rPr>
              <w:t>3. kvartal*</w:t>
            </w:r>
          </w:p>
        </w:tc>
        <w:tc>
          <w:tcPr>
            <w:tcW w:w="1077" w:type="dxa"/>
            <w:tcBorders>
              <w:right w:val="single" w:sz="4" w:space="0" w:color="auto"/>
            </w:tcBorders>
            <w:vAlign w:val="center"/>
          </w:tcPr>
          <w:p w:rsidR="00F60F39" w:rsidRPr="00D07A9C" w:rsidRDefault="00F60F39" w:rsidP="004163B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sz w:val="18"/>
                <w:szCs w:val="18"/>
              </w:rPr>
            </w:pPr>
            <w:r w:rsidRPr="00D07A9C">
              <w:rPr>
                <w:rFonts w:asciiTheme="majorHAnsi" w:hAnsiTheme="majorHAnsi" w:cstheme="majorHAnsi"/>
                <w:i/>
                <w:sz w:val="18"/>
                <w:szCs w:val="18"/>
              </w:rPr>
              <w:t>4. kvartal*</w:t>
            </w:r>
          </w:p>
        </w:tc>
        <w:tc>
          <w:tcPr>
            <w:tcW w:w="794" w:type="dxa"/>
            <w:tcBorders>
              <w:top w:val="single" w:sz="8" w:space="0" w:color="0097A7" w:themeColor="accent1"/>
              <w:left w:val="single" w:sz="4" w:space="0" w:color="auto"/>
              <w:bottom w:val="single" w:sz="8" w:space="0" w:color="0097A7" w:themeColor="accent1"/>
            </w:tcBorders>
            <w:vAlign w:val="center"/>
          </w:tcPr>
          <w:p w:rsidR="00F60F39" w:rsidRPr="00D07A9C" w:rsidRDefault="00D07A9C" w:rsidP="004163B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sz w:val="18"/>
                <w:szCs w:val="18"/>
              </w:rPr>
            </w:pPr>
            <w:r w:rsidRPr="00D07A9C">
              <w:rPr>
                <w:rFonts w:asciiTheme="majorHAnsi" w:hAnsiTheme="majorHAnsi" w:cstheme="majorHAnsi"/>
                <w:i/>
                <w:sz w:val="18"/>
                <w:szCs w:val="18"/>
              </w:rPr>
              <w:t>2020</w:t>
            </w:r>
            <w:r w:rsidR="00F60F39" w:rsidRPr="00D07A9C">
              <w:rPr>
                <w:rFonts w:asciiTheme="majorHAnsi" w:hAnsiTheme="majorHAnsi" w:cstheme="majorHAnsi"/>
                <w:i/>
                <w:sz w:val="18"/>
                <w:szCs w:val="18"/>
              </w:rPr>
              <w:t>*</w:t>
            </w:r>
          </w:p>
        </w:tc>
      </w:tr>
      <w:tr w:rsidR="00D07A9C" w:rsidRPr="00D07A9C" w:rsidTr="004163B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551" w:type="dxa"/>
            <w:vAlign w:val="center"/>
          </w:tcPr>
          <w:p w:rsidR="00D07A9C" w:rsidRPr="00D07A9C" w:rsidRDefault="00D07A9C" w:rsidP="004163B8">
            <w:pPr>
              <w:rPr>
                <w:rFonts w:asciiTheme="majorHAnsi" w:hAnsiTheme="majorHAnsi" w:cstheme="majorHAnsi"/>
                <w:sz w:val="18"/>
                <w:szCs w:val="18"/>
              </w:rPr>
            </w:pPr>
            <w:r w:rsidRPr="00D07A9C">
              <w:rPr>
                <w:rFonts w:asciiTheme="majorHAnsi" w:hAnsiTheme="majorHAnsi" w:cstheme="majorHAnsi"/>
                <w:sz w:val="18"/>
                <w:szCs w:val="18"/>
              </w:rPr>
              <w:t>PSO-tarif</w:t>
            </w:r>
          </w:p>
        </w:tc>
        <w:tc>
          <w:tcPr>
            <w:tcW w:w="1020" w:type="dxa"/>
            <w:vAlign w:val="center"/>
          </w:tcPr>
          <w:p w:rsidR="00D07A9C" w:rsidRPr="00D07A9C" w:rsidRDefault="00D07A9C" w:rsidP="00D07A9C">
            <w:pPr>
              <w:jc w:val="center"/>
              <w:cnfStyle w:val="000000100000" w:firstRow="0" w:lastRow="0" w:firstColumn="0" w:lastColumn="0" w:oddVBand="0" w:evenVBand="0" w:oddHBand="1" w:evenHBand="0" w:firstRowFirstColumn="0" w:firstRowLastColumn="0" w:lastRowFirstColumn="0" w:lastRowLastColumn="0"/>
              <w:rPr>
                <w:sz w:val="18"/>
                <w:szCs w:val="18"/>
              </w:rPr>
            </w:pPr>
            <w:r w:rsidRPr="00D07A9C">
              <w:rPr>
                <w:sz w:val="18"/>
                <w:szCs w:val="18"/>
              </w:rPr>
              <w:t>2,6</w:t>
            </w:r>
          </w:p>
        </w:tc>
        <w:tc>
          <w:tcPr>
            <w:tcW w:w="1077" w:type="dxa"/>
            <w:shd w:val="clear" w:color="auto" w:fill="D9D9D9" w:themeFill="background1" w:themeFillShade="D9"/>
            <w:vAlign w:val="center"/>
          </w:tcPr>
          <w:p w:rsidR="00D07A9C" w:rsidRPr="00D07A9C" w:rsidRDefault="00D07A9C" w:rsidP="00D07A9C">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07A9C">
              <w:rPr>
                <w:i/>
                <w:sz w:val="18"/>
                <w:szCs w:val="18"/>
              </w:rPr>
              <w:t>2,1</w:t>
            </w:r>
          </w:p>
        </w:tc>
        <w:tc>
          <w:tcPr>
            <w:tcW w:w="1077" w:type="dxa"/>
            <w:shd w:val="clear" w:color="auto" w:fill="D9D9D9" w:themeFill="background1" w:themeFillShade="D9"/>
            <w:vAlign w:val="center"/>
          </w:tcPr>
          <w:p w:rsidR="00D07A9C" w:rsidRPr="00D07A9C" w:rsidRDefault="00D07A9C" w:rsidP="00D07A9C">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07A9C">
              <w:rPr>
                <w:i/>
                <w:sz w:val="18"/>
                <w:szCs w:val="18"/>
              </w:rPr>
              <w:t>1,8</w:t>
            </w:r>
          </w:p>
        </w:tc>
        <w:tc>
          <w:tcPr>
            <w:tcW w:w="1077" w:type="dxa"/>
            <w:tcBorders>
              <w:right w:val="single" w:sz="4" w:space="0" w:color="auto"/>
            </w:tcBorders>
            <w:shd w:val="clear" w:color="auto" w:fill="D9D9D9" w:themeFill="background1" w:themeFillShade="D9"/>
            <w:vAlign w:val="center"/>
          </w:tcPr>
          <w:p w:rsidR="00D07A9C" w:rsidRPr="00D07A9C" w:rsidRDefault="00D07A9C" w:rsidP="00D07A9C">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07A9C">
              <w:rPr>
                <w:i/>
                <w:sz w:val="18"/>
                <w:szCs w:val="18"/>
              </w:rPr>
              <w:t>3,5</w:t>
            </w:r>
          </w:p>
        </w:tc>
        <w:tc>
          <w:tcPr>
            <w:tcW w:w="794" w:type="dxa"/>
            <w:tcBorders>
              <w:left w:val="single" w:sz="4" w:space="0" w:color="auto"/>
            </w:tcBorders>
            <w:shd w:val="clear" w:color="auto" w:fill="D9D9D9" w:themeFill="background1" w:themeFillShade="D9"/>
            <w:vAlign w:val="center"/>
          </w:tcPr>
          <w:p w:rsidR="00D07A9C" w:rsidRPr="00D07A9C" w:rsidRDefault="00D07A9C" w:rsidP="00D07A9C">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07A9C">
              <w:rPr>
                <w:i/>
                <w:sz w:val="18"/>
                <w:szCs w:val="18"/>
              </w:rPr>
              <w:t>2,5</w:t>
            </w:r>
          </w:p>
        </w:tc>
      </w:tr>
      <w:tr w:rsidR="00D07A9C" w:rsidRPr="00D07A9C" w:rsidTr="004163B8">
        <w:trPr>
          <w:trHeight w:val="170"/>
        </w:trPr>
        <w:tc>
          <w:tcPr>
            <w:cnfStyle w:val="001000000000" w:firstRow="0" w:lastRow="0" w:firstColumn="1" w:lastColumn="0" w:oddVBand="0" w:evenVBand="0" w:oddHBand="0" w:evenHBand="0" w:firstRowFirstColumn="0" w:firstRowLastColumn="0" w:lastRowFirstColumn="0" w:lastRowLastColumn="0"/>
            <w:tcW w:w="2551" w:type="dxa"/>
            <w:vAlign w:val="center"/>
          </w:tcPr>
          <w:p w:rsidR="00D07A9C" w:rsidRPr="00D07A9C" w:rsidRDefault="00D07A9C" w:rsidP="004163B8">
            <w:pPr>
              <w:rPr>
                <w:rFonts w:asciiTheme="majorHAnsi" w:hAnsiTheme="majorHAnsi" w:cstheme="majorHAnsi"/>
                <w:sz w:val="18"/>
                <w:szCs w:val="18"/>
              </w:rPr>
            </w:pPr>
            <w:r w:rsidRPr="00D07A9C">
              <w:rPr>
                <w:rFonts w:asciiTheme="majorHAnsi" w:hAnsiTheme="majorHAnsi" w:cstheme="majorHAnsi"/>
                <w:sz w:val="18"/>
                <w:szCs w:val="18"/>
              </w:rPr>
              <w:t xml:space="preserve">- </w:t>
            </w:r>
            <w:r w:rsidRPr="00D07A9C">
              <w:rPr>
                <w:rFonts w:asciiTheme="majorHAnsi" w:hAnsiTheme="majorHAnsi" w:cstheme="majorHAnsi"/>
                <w:b w:val="0"/>
                <w:sz w:val="18"/>
                <w:szCs w:val="18"/>
              </w:rPr>
              <w:t>heraf VE-andel</w:t>
            </w:r>
          </w:p>
        </w:tc>
        <w:tc>
          <w:tcPr>
            <w:tcW w:w="1020" w:type="dxa"/>
            <w:vAlign w:val="center"/>
          </w:tcPr>
          <w:p w:rsidR="00D07A9C" w:rsidRPr="00D07A9C" w:rsidRDefault="00D07A9C" w:rsidP="00D07A9C">
            <w:pPr>
              <w:jc w:val="center"/>
              <w:cnfStyle w:val="000000000000" w:firstRow="0" w:lastRow="0" w:firstColumn="0" w:lastColumn="0" w:oddVBand="0" w:evenVBand="0" w:oddHBand="0" w:evenHBand="0" w:firstRowFirstColumn="0" w:firstRowLastColumn="0" w:lastRowFirstColumn="0" w:lastRowLastColumn="0"/>
              <w:rPr>
                <w:sz w:val="18"/>
                <w:szCs w:val="18"/>
              </w:rPr>
            </w:pPr>
            <w:r w:rsidRPr="00D07A9C">
              <w:rPr>
                <w:sz w:val="18"/>
                <w:szCs w:val="18"/>
              </w:rPr>
              <w:t>3,1</w:t>
            </w:r>
          </w:p>
        </w:tc>
        <w:tc>
          <w:tcPr>
            <w:tcW w:w="1077" w:type="dxa"/>
            <w:shd w:val="clear" w:color="auto" w:fill="D9D9D9" w:themeFill="background1" w:themeFillShade="D9"/>
            <w:vAlign w:val="center"/>
          </w:tcPr>
          <w:p w:rsidR="00D07A9C" w:rsidRPr="00D07A9C" w:rsidRDefault="00D07A9C" w:rsidP="00D07A9C">
            <w:pPr>
              <w:jc w:val="center"/>
              <w:cnfStyle w:val="000000000000" w:firstRow="0" w:lastRow="0" w:firstColumn="0" w:lastColumn="0" w:oddVBand="0" w:evenVBand="0" w:oddHBand="0" w:evenHBand="0" w:firstRowFirstColumn="0" w:firstRowLastColumn="0" w:lastRowFirstColumn="0" w:lastRowLastColumn="0"/>
              <w:rPr>
                <w:i/>
                <w:sz w:val="18"/>
                <w:szCs w:val="18"/>
              </w:rPr>
            </w:pPr>
            <w:r w:rsidRPr="00D07A9C">
              <w:rPr>
                <w:i/>
                <w:sz w:val="18"/>
                <w:szCs w:val="18"/>
              </w:rPr>
              <w:t>2,5</w:t>
            </w:r>
          </w:p>
        </w:tc>
        <w:tc>
          <w:tcPr>
            <w:tcW w:w="1077" w:type="dxa"/>
            <w:shd w:val="clear" w:color="auto" w:fill="D9D9D9" w:themeFill="background1" w:themeFillShade="D9"/>
            <w:vAlign w:val="center"/>
          </w:tcPr>
          <w:p w:rsidR="00D07A9C" w:rsidRPr="00D07A9C" w:rsidRDefault="00D07A9C" w:rsidP="00D07A9C">
            <w:pPr>
              <w:jc w:val="center"/>
              <w:cnfStyle w:val="000000000000" w:firstRow="0" w:lastRow="0" w:firstColumn="0" w:lastColumn="0" w:oddVBand="0" w:evenVBand="0" w:oddHBand="0" w:evenHBand="0" w:firstRowFirstColumn="0" w:firstRowLastColumn="0" w:lastRowFirstColumn="0" w:lastRowLastColumn="0"/>
              <w:rPr>
                <w:i/>
                <w:sz w:val="18"/>
                <w:szCs w:val="18"/>
              </w:rPr>
            </w:pPr>
            <w:r w:rsidRPr="00D07A9C">
              <w:rPr>
                <w:i/>
                <w:sz w:val="18"/>
                <w:szCs w:val="18"/>
              </w:rPr>
              <w:t>2,0</w:t>
            </w:r>
          </w:p>
        </w:tc>
        <w:tc>
          <w:tcPr>
            <w:tcW w:w="1077" w:type="dxa"/>
            <w:tcBorders>
              <w:right w:val="single" w:sz="4" w:space="0" w:color="auto"/>
            </w:tcBorders>
            <w:shd w:val="clear" w:color="auto" w:fill="D9D9D9" w:themeFill="background1" w:themeFillShade="D9"/>
            <w:vAlign w:val="center"/>
          </w:tcPr>
          <w:p w:rsidR="00D07A9C" w:rsidRPr="00D07A9C" w:rsidRDefault="00D07A9C" w:rsidP="00D07A9C">
            <w:pPr>
              <w:jc w:val="center"/>
              <w:cnfStyle w:val="000000000000" w:firstRow="0" w:lastRow="0" w:firstColumn="0" w:lastColumn="0" w:oddVBand="0" w:evenVBand="0" w:oddHBand="0" w:evenHBand="0" w:firstRowFirstColumn="0" w:firstRowLastColumn="0" w:lastRowFirstColumn="0" w:lastRowLastColumn="0"/>
              <w:rPr>
                <w:i/>
                <w:sz w:val="18"/>
                <w:szCs w:val="18"/>
              </w:rPr>
            </w:pPr>
            <w:r w:rsidRPr="00D07A9C">
              <w:rPr>
                <w:i/>
                <w:sz w:val="18"/>
                <w:szCs w:val="18"/>
              </w:rPr>
              <w:t>3,7</w:t>
            </w:r>
          </w:p>
        </w:tc>
        <w:tc>
          <w:tcPr>
            <w:tcW w:w="794" w:type="dxa"/>
            <w:tcBorders>
              <w:top w:val="single" w:sz="8" w:space="0" w:color="0097A7" w:themeColor="accent1"/>
              <w:left w:val="single" w:sz="4" w:space="0" w:color="auto"/>
              <w:bottom w:val="single" w:sz="8" w:space="0" w:color="0097A7" w:themeColor="accent1"/>
            </w:tcBorders>
            <w:shd w:val="clear" w:color="auto" w:fill="D9D9D9" w:themeFill="background1" w:themeFillShade="D9"/>
            <w:vAlign w:val="center"/>
          </w:tcPr>
          <w:p w:rsidR="00D07A9C" w:rsidRPr="00D07A9C" w:rsidRDefault="00D07A9C" w:rsidP="00D07A9C">
            <w:pPr>
              <w:jc w:val="center"/>
              <w:cnfStyle w:val="000000000000" w:firstRow="0" w:lastRow="0" w:firstColumn="0" w:lastColumn="0" w:oddVBand="0" w:evenVBand="0" w:oddHBand="0" w:evenHBand="0" w:firstRowFirstColumn="0" w:firstRowLastColumn="0" w:lastRowFirstColumn="0" w:lastRowLastColumn="0"/>
              <w:rPr>
                <w:i/>
                <w:sz w:val="18"/>
                <w:szCs w:val="18"/>
              </w:rPr>
            </w:pPr>
            <w:r w:rsidRPr="00D07A9C">
              <w:rPr>
                <w:i/>
                <w:sz w:val="18"/>
                <w:szCs w:val="18"/>
              </w:rPr>
              <w:t>2,9</w:t>
            </w:r>
          </w:p>
        </w:tc>
      </w:tr>
      <w:tr w:rsidR="00D07A9C" w:rsidRPr="00D07A9C" w:rsidTr="004163B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551" w:type="dxa"/>
            <w:vAlign w:val="center"/>
          </w:tcPr>
          <w:p w:rsidR="00D07A9C" w:rsidRPr="00D07A9C" w:rsidRDefault="00D07A9C" w:rsidP="004163B8">
            <w:pPr>
              <w:rPr>
                <w:rFonts w:asciiTheme="majorHAnsi" w:hAnsiTheme="majorHAnsi" w:cstheme="majorHAnsi"/>
                <w:sz w:val="18"/>
                <w:szCs w:val="18"/>
              </w:rPr>
            </w:pPr>
            <w:r w:rsidRPr="00D07A9C">
              <w:rPr>
                <w:rFonts w:asciiTheme="majorHAnsi" w:hAnsiTheme="majorHAnsi" w:cstheme="majorHAnsi"/>
                <w:sz w:val="18"/>
                <w:szCs w:val="18"/>
              </w:rPr>
              <w:t>Nettoafregnede forbrugere</w:t>
            </w:r>
          </w:p>
        </w:tc>
        <w:tc>
          <w:tcPr>
            <w:tcW w:w="1020" w:type="dxa"/>
            <w:vAlign w:val="center"/>
          </w:tcPr>
          <w:p w:rsidR="00D07A9C" w:rsidRPr="00D07A9C" w:rsidRDefault="00D07A9C" w:rsidP="00D07A9C">
            <w:pPr>
              <w:jc w:val="center"/>
              <w:cnfStyle w:val="000000100000" w:firstRow="0" w:lastRow="0" w:firstColumn="0" w:lastColumn="0" w:oddVBand="0" w:evenVBand="0" w:oddHBand="1" w:evenHBand="0" w:firstRowFirstColumn="0" w:firstRowLastColumn="0" w:lastRowFirstColumn="0" w:lastRowLastColumn="0"/>
              <w:rPr>
                <w:sz w:val="18"/>
                <w:szCs w:val="18"/>
              </w:rPr>
            </w:pPr>
            <w:r w:rsidRPr="00D07A9C">
              <w:rPr>
                <w:sz w:val="18"/>
                <w:szCs w:val="18"/>
              </w:rPr>
              <w:t>0,1</w:t>
            </w:r>
          </w:p>
        </w:tc>
        <w:tc>
          <w:tcPr>
            <w:tcW w:w="1077" w:type="dxa"/>
            <w:shd w:val="clear" w:color="auto" w:fill="D9D9D9" w:themeFill="background1" w:themeFillShade="D9"/>
            <w:vAlign w:val="center"/>
          </w:tcPr>
          <w:p w:rsidR="00D07A9C" w:rsidRPr="00D07A9C" w:rsidRDefault="00D07A9C" w:rsidP="00D07A9C">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07A9C">
              <w:rPr>
                <w:i/>
                <w:sz w:val="18"/>
                <w:szCs w:val="18"/>
              </w:rPr>
              <w:t>0,1</w:t>
            </w:r>
          </w:p>
        </w:tc>
        <w:tc>
          <w:tcPr>
            <w:tcW w:w="1077" w:type="dxa"/>
            <w:shd w:val="clear" w:color="auto" w:fill="D9D9D9" w:themeFill="background1" w:themeFillShade="D9"/>
            <w:vAlign w:val="center"/>
          </w:tcPr>
          <w:p w:rsidR="00D07A9C" w:rsidRPr="00D07A9C" w:rsidRDefault="00D07A9C" w:rsidP="00D07A9C">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07A9C">
              <w:rPr>
                <w:i/>
                <w:sz w:val="18"/>
                <w:szCs w:val="18"/>
              </w:rPr>
              <w:t>0,1</w:t>
            </w:r>
          </w:p>
        </w:tc>
        <w:tc>
          <w:tcPr>
            <w:tcW w:w="1077" w:type="dxa"/>
            <w:tcBorders>
              <w:right w:val="single" w:sz="4" w:space="0" w:color="auto"/>
            </w:tcBorders>
            <w:shd w:val="clear" w:color="auto" w:fill="D9D9D9" w:themeFill="background1" w:themeFillShade="D9"/>
            <w:vAlign w:val="center"/>
          </w:tcPr>
          <w:p w:rsidR="00D07A9C" w:rsidRPr="00D07A9C" w:rsidRDefault="00D07A9C" w:rsidP="00D07A9C">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07A9C">
              <w:rPr>
                <w:i/>
                <w:sz w:val="18"/>
                <w:szCs w:val="18"/>
              </w:rPr>
              <w:t>0,1</w:t>
            </w:r>
          </w:p>
        </w:tc>
        <w:tc>
          <w:tcPr>
            <w:tcW w:w="794" w:type="dxa"/>
            <w:tcBorders>
              <w:left w:val="single" w:sz="4" w:space="0" w:color="auto"/>
            </w:tcBorders>
            <w:shd w:val="clear" w:color="auto" w:fill="D9D9D9" w:themeFill="background1" w:themeFillShade="D9"/>
            <w:vAlign w:val="center"/>
          </w:tcPr>
          <w:p w:rsidR="00D07A9C" w:rsidRPr="00D07A9C" w:rsidRDefault="00D07A9C" w:rsidP="00D07A9C">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07A9C">
              <w:rPr>
                <w:i/>
                <w:sz w:val="18"/>
                <w:szCs w:val="18"/>
              </w:rPr>
              <w:t>0,1</w:t>
            </w:r>
          </w:p>
        </w:tc>
      </w:tr>
      <w:tr w:rsidR="00D07A9C" w:rsidRPr="00D07A9C" w:rsidTr="004163B8">
        <w:trPr>
          <w:trHeight w:val="170"/>
        </w:trPr>
        <w:tc>
          <w:tcPr>
            <w:cnfStyle w:val="001000000000" w:firstRow="0" w:lastRow="0" w:firstColumn="1" w:lastColumn="0" w:oddVBand="0" w:evenVBand="0" w:oddHBand="0" w:evenHBand="0" w:firstRowFirstColumn="0" w:firstRowLastColumn="0" w:lastRowFirstColumn="0" w:lastRowLastColumn="0"/>
            <w:tcW w:w="2551" w:type="dxa"/>
            <w:vAlign w:val="center"/>
          </w:tcPr>
          <w:p w:rsidR="00D07A9C" w:rsidRPr="00D07A9C" w:rsidRDefault="00D07A9C" w:rsidP="004163B8">
            <w:pPr>
              <w:rPr>
                <w:rFonts w:asciiTheme="majorHAnsi" w:hAnsiTheme="majorHAnsi" w:cstheme="majorHAnsi"/>
                <w:sz w:val="18"/>
                <w:szCs w:val="18"/>
              </w:rPr>
            </w:pPr>
            <w:r w:rsidRPr="00D07A9C">
              <w:rPr>
                <w:rFonts w:asciiTheme="majorHAnsi" w:hAnsiTheme="majorHAnsi" w:cstheme="majorHAnsi"/>
                <w:sz w:val="18"/>
                <w:szCs w:val="18"/>
              </w:rPr>
              <w:t>Vestdanmark</w:t>
            </w:r>
          </w:p>
        </w:tc>
        <w:tc>
          <w:tcPr>
            <w:tcW w:w="1020" w:type="dxa"/>
            <w:vAlign w:val="center"/>
          </w:tcPr>
          <w:p w:rsidR="00D07A9C" w:rsidRPr="00D07A9C" w:rsidRDefault="00D07A9C" w:rsidP="00D07A9C">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077" w:type="dxa"/>
            <w:shd w:val="clear" w:color="auto" w:fill="D9D9D9" w:themeFill="background1" w:themeFillShade="D9"/>
            <w:vAlign w:val="center"/>
          </w:tcPr>
          <w:p w:rsidR="00D07A9C" w:rsidRPr="00D07A9C" w:rsidRDefault="00D07A9C" w:rsidP="00D07A9C">
            <w:pPr>
              <w:jc w:val="center"/>
              <w:cnfStyle w:val="000000000000" w:firstRow="0" w:lastRow="0" w:firstColumn="0" w:lastColumn="0" w:oddVBand="0" w:evenVBand="0" w:oddHBand="0" w:evenHBand="0" w:firstRowFirstColumn="0" w:firstRowLastColumn="0" w:lastRowFirstColumn="0" w:lastRowLastColumn="0"/>
              <w:rPr>
                <w:i/>
                <w:sz w:val="18"/>
                <w:szCs w:val="18"/>
              </w:rPr>
            </w:pPr>
          </w:p>
        </w:tc>
        <w:tc>
          <w:tcPr>
            <w:tcW w:w="1077" w:type="dxa"/>
            <w:shd w:val="clear" w:color="auto" w:fill="D9D9D9" w:themeFill="background1" w:themeFillShade="D9"/>
            <w:vAlign w:val="center"/>
          </w:tcPr>
          <w:p w:rsidR="00D07A9C" w:rsidRPr="00D07A9C" w:rsidRDefault="00D07A9C" w:rsidP="00D07A9C">
            <w:pPr>
              <w:jc w:val="center"/>
              <w:cnfStyle w:val="000000000000" w:firstRow="0" w:lastRow="0" w:firstColumn="0" w:lastColumn="0" w:oddVBand="0" w:evenVBand="0" w:oddHBand="0" w:evenHBand="0" w:firstRowFirstColumn="0" w:firstRowLastColumn="0" w:lastRowFirstColumn="0" w:lastRowLastColumn="0"/>
              <w:rPr>
                <w:i/>
                <w:sz w:val="18"/>
                <w:szCs w:val="18"/>
              </w:rPr>
            </w:pPr>
          </w:p>
        </w:tc>
        <w:tc>
          <w:tcPr>
            <w:tcW w:w="1077" w:type="dxa"/>
            <w:tcBorders>
              <w:right w:val="single" w:sz="4" w:space="0" w:color="auto"/>
            </w:tcBorders>
            <w:shd w:val="clear" w:color="auto" w:fill="D9D9D9" w:themeFill="background1" w:themeFillShade="D9"/>
            <w:vAlign w:val="center"/>
          </w:tcPr>
          <w:p w:rsidR="00D07A9C" w:rsidRPr="00D07A9C" w:rsidRDefault="00D07A9C" w:rsidP="00D07A9C">
            <w:pPr>
              <w:jc w:val="center"/>
              <w:cnfStyle w:val="000000000000" w:firstRow="0" w:lastRow="0" w:firstColumn="0" w:lastColumn="0" w:oddVBand="0" w:evenVBand="0" w:oddHBand="0" w:evenHBand="0" w:firstRowFirstColumn="0" w:firstRowLastColumn="0" w:lastRowFirstColumn="0" w:lastRowLastColumn="0"/>
              <w:rPr>
                <w:i/>
                <w:sz w:val="18"/>
                <w:szCs w:val="18"/>
              </w:rPr>
            </w:pPr>
          </w:p>
        </w:tc>
        <w:tc>
          <w:tcPr>
            <w:tcW w:w="794" w:type="dxa"/>
            <w:tcBorders>
              <w:top w:val="single" w:sz="8" w:space="0" w:color="0097A7" w:themeColor="accent1"/>
              <w:left w:val="single" w:sz="4" w:space="0" w:color="auto"/>
              <w:bottom w:val="single" w:sz="8" w:space="0" w:color="0097A7" w:themeColor="accent1"/>
            </w:tcBorders>
            <w:shd w:val="clear" w:color="auto" w:fill="D9D9D9" w:themeFill="background1" w:themeFillShade="D9"/>
            <w:vAlign w:val="center"/>
          </w:tcPr>
          <w:p w:rsidR="00D07A9C" w:rsidRPr="00D07A9C" w:rsidRDefault="00D07A9C" w:rsidP="00D07A9C">
            <w:pPr>
              <w:jc w:val="center"/>
              <w:cnfStyle w:val="000000000000" w:firstRow="0" w:lastRow="0" w:firstColumn="0" w:lastColumn="0" w:oddVBand="0" w:evenVBand="0" w:oddHBand="0" w:evenHBand="0" w:firstRowFirstColumn="0" w:firstRowLastColumn="0" w:lastRowFirstColumn="0" w:lastRowLastColumn="0"/>
              <w:rPr>
                <w:i/>
                <w:sz w:val="18"/>
                <w:szCs w:val="18"/>
              </w:rPr>
            </w:pPr>
          </w:p>
        </w:tc>
      </w:tr>
      <w:tr w:rsidR="00D07A9C" w:rsidRPr="00D07A9C" w:rsidTr="004163B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551" w:type="dxa"/>
            <w:vAlign w:val="center"/>
          </w:tcPr>
          <w:p w:rsidR="00D07A9C" w:rsidRPr="00D07A9C" w:rsidRDefault="00D07A9C" w:rsidP="004163B8">
            <w:pPr>
              <w:rPr>
                <w:rFonts w:asciiTheme="majorHAnsi" w:hAnsiTheme="majorHAnsi" w:cstheme="majorHAnsi"/>
                <w:b w:val="0"/>
                <w:sz w:val="18"/>
                <w:szCs w:val="18"/>
              </w:rPr>
            </w:pPr>
            <w:r w:rsidRPr="00D07A9C">
              <w:rPr>
                <w:rFonts w:asciiTheme="majorHAnsi" w:hAnsiTheme="majorHAnsi" w:cstheme="majorHAnsi"/>
                <w:b w:val="0"/>
                <w:sz w:val="18"/>
                <w:szCs w:val="18"/>
              </w:rPr>
              <w:t xml:space="preserve">Forwardpris </w:t>
            </w:r>
          </w:p>
        </w:tc>
        <w:tc>
          <w:tcPr>
            <w:tcW w:w="1020" w:type="dxa"/>
            <w:vAlign w:val="center"/>
          </w:tcPr>
          <w:p w:rsidR="00D07A9C" w:rsidRPr="00D07A9C" w:rsidRDefault="00D07A9C" w:rsidP="00D07A9C">
            <w:pPr>
              <w:jc w:val="center"/>
              <w:cnfStyle w:val="000000100000" w:firstRow="0" w:lastRow="0" w:firstColumn="0" w:lastColumn="0" w:oddVBand="0" w:evenVBand="0" w:oddHBand="1" w:evenHBand="0" w:firstRowFirstColumn="0" w:firstRowLastColumn="0" w:lastRowFirstColumn="0" w:lastRowLastColumn="0"/>
              <w:rPr>
                <w:sz w:val="18"/>
                <w:szCs w:val="18"/>
              </w:rPr>
            </w:pPr>
            <w:r w:rsidRPr="00D07A9C">
              <w:rPr>
                <w:sz w:val="18"/>
                <w:szCs w:val="18"/>
              </w:rPr>
              <w:t>32,4</w:t>
            </w:r>
          </w:p>
        </w:tc>
        <w:tc>
          <w:tcPr>
            <w:tcW w:w="1077" w:type="dxa"/>
            <w:shd w:val="clear" w:color="auto" w:fill="D9D9D9" w:themeFill="background1" w:themeFillShade="D9"/>
            <w:vAlign w:val="center"/>
          </w:tcPr>
          <w:p w:rsidR="00D07A9C" w:rsidRPr="00D07A9C" w:rsidRDefault="00D07A9C" w:rsidP="00D07A9C">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07A9C">
              <w:rPr>
                <w:i/>
                <w:sz w:val="18"/>
                <w:szCs w:val="18"/>
              </w:rPr>
              <w:t>30,9</w:t>
            </w:r>
          </w:p>
        </w:tc>
        <w:tc>
          <w:tcPr>
            <w:tcW w:w="1077" w:type="dxa"/>
            <w:shd w:val="clear" w:color="auto" w:fill="D9D9D9" w:themeFill="background1" w:themeFillShade="D9"/>
            <w:vAlign w:val="center"/>
          </w:tcPr>
          <w:p w:rsidR="00D07A9C" w:rsidRPr="00D07A9C" w:rsidRDefault="00D07A9C" w:rsidP="00D07A9C">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07A9C">
              <w:rPr>
                <w:i/>
                <w:sz w:val="18"/>
                <w:szCs w:val="18"/>
              </w:rPr>
              <w:t>28,9</w:t>
            </w:r>
          </w:p>
        </w:tc>
        <w:tc>
          <w:tcPr>
            <w:tcW w:w="1077" w:type="dxa"/>
            <w:tcBorders>
              <w:right w:val="single" w:sz="4" w:space="0" w:color="auto"/>
            </w:tcBorders>
            <w:shd w:val="clear" w:color="auto" w:fill="D9D9D9" w:themeFill="background1" w:themeFillShade="D9"/>
            <w:vAlign w:val="center"/>
          </w:tcPr>
          <w:p w:rsidR="00D07A9C" w:rsidRPr="00D07A9C" w:rsidRDefault="00D07A9C" w:rsidP="00D07A9C">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07A9C">
              <w:rPr>
                <w:i/>
                <w:sz w:val="18"/>
                <w:szCs w:val="18"/>
              </w:rPr>
              <w:t>32,9</w:t>
            </w:r>
          </w:p>
        </w:tc>
        <w:tc>
          <w:tcPr>
            <w:tcW w:w="794" w:type="dxa"/>
            <w:tcBorders>
              <w:left w:val="single" w:sz="4" w:space="0" w:color="auto"/>
            </w:tcBorders>
            <w:shd w:val="clear" w:color="auto" w:fill="D9D9D9" w:themeFill="background1" w:themeFillShade="D9"/>
            <w:vAlign w:val="center"/>
          </w:tcPr>
          <w:p w:rsidR="00D07A9C" w:rsidRPr="00D07A9C" w:rsidRDefault="00D07A9C" w:rsidP="00D07A9C">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07A9C">
              <w:rPr>
                <w:i/>
                <w:sz w:val="18"/>
                <w:szCs w:val="18"/>
              </w:rPr>
              <w:t>31,3</w:t>
            </w:r>
          </w:p>
        </w:tc>
      </w:tr>
      <w:tr w:rsidR="00D07A9C" w:rsidRPr="00D07A9C" w:rsidTr="004163B8">
        <w:trPr>
          <w:trHeight w:val="170"/>
        </w:trPr>
        <w:tc>
          <w:tcPr>
            <w:cnfStyle w:val="001000000000" w:firstRow="0" w:lastRow="0" w:firstColumn="1" w:lastColumn="0" w:oddVBand="0" w:evenVBand="0" w:oddHBand="0" w:evenHBand="0" w:firstRowFirstColumn="0" w:firstRowLastColumn="0" w:lastRowFirstColumn="0" w:lastRowLastColumn="0"/>
            <w:tcW w:w="2551" w:type="dxa"/>
            <w:vAlign w:val="center"/>
          </w:tcPr>
          <w:p w:rsidR="00D07A9C" w:rsidRPr="00D07A9C" w:rsidRDefault="00D07A9C" w:rsidP="004163B8">
            <w:pPr>
              <w:rPr>
                <w:rFonts w:asciiTheme="majorHAnsi" w:hAnsiTheme="majorHAnsi" w:cstheme="majorHAnsi"/>
                <w:b w:val="0"/>
                <w:sz w:val="18"/>
                <w:szCs w:val="18"/>
              </w:rPr>
            </w:pPr>
            <w:r w:rsidRPr="00D07A9C">
              <w:rPr>
                <w:rFonts w:asciiTheme="majorHAnsi" w:hAnsiTheme="majorHAnsi" w:cstheme="majorHAnsi"/>
                <w:b w:val="0"/>
                <w:sz w:val="18"/>
                <w:szCs w:val="18"/>
              </w:rPr>
              <w:t>Anvendt elpris</w:t>
            </w:r>
          </w:p>
        </w:tc>
        <w:tc>
          <w:tcPr>
            <w:tcW w:w="1020" w:type="dxa"/>
            <w:vAlign w:val="center"/>
          </w:tcPr>
          <w:p w:rsidR="00D07A9C" w:rsidRPr="00D07A9C" w:rsidRDefault="00D07A9C" w:rsidP="00D07A9C">
            <w:pPr>
              <w:jc w:val="center"/>
              <w:cnfStyle w:val="000000000000" w:firstRow="0" w:lastRow="0" w:firstColumn="0" w:lastColumn="0" w:oddVBand="0" w:evenVBand="0" w:oddHBand="0" w:evenHBand="0" w:firstRowFirstColumn="0" w:firstRowLastColumn="0" w:lastRowFirstColumn="0" w:lastRowLastColumn="0"/>
              <w:rPr>
                <w:sz w:val="18"/>
                <w:szCs w:val="18"/>
              </w:rPr>
            </w:pPr>
            <w:r w:rsidRPr="00D07A9C">
              <w:rPr>
                <w:sz w:val="18"/>
                <w:szCs w:val="18"/>
              </w:rPr>
              <w:t>29,2</w:t>
            </w:r>
          </w:p>
        </w:tc>
        <w:tc>
          <w:tcPr>
            <w:tcW w:w="1077" w:type="dxa"/>
            <w:shd w:val="clear" w:color="auto" w:fill="D9D9D9" w:themeFill="background1" w:themeFillShade="D9"/>
            <w:vAlign w:val="center"/>
          </w:tcPr>
          <w:p w:rsidR="00D07A9C" w:rsidRPr="00D07A9C" w:rsidRDefault="00D07A9C" w:rsidP="00D07A9C">
            <w:pPr>
              <w:jc w:val="center"/>
              <w:cnfStyle w:val="000000000000" w:firstRow="0" w:lastRow="0" w:firstColumn="0" w:lastColumn="0" w:oddVBand="0" w:evenVBand="0" w:oddHBand="0" w:evenHBand="0" w:firstRowFirstColumn="0" w:firstRowLastColumn="0" w:lastRowFirstColumn="0" w:lastRowLastColumn="0"/>
              <w:rPr>
                <w:i/>
                <w:sz w:val="18"/>
                <w:szCs w:val="18"/>
              </w:rPr>
            </w:pPr>
            <w:r w:rsidRPr="00D07A9C">
              <w:rPr>
                <w:i/>
                <w:sz w:val="18"/>
                <w:szCs w:val="18"/>
              </w:rPr>
              <w:t>27,8</w:t>
            </w:r>
          </w:p>
        </w:tc>
        <w:tc>
          <w:tcPr>
            <w:tcW w:w="1077" w:type="dxa"/>
            <w:shd w:val="clear" w:color="auto" w:fill="D9D9D9" w:themeFill="background1" w:themeFillShade="D9"/>
            <w:vAlign w:val="center"/>
          </w:tcPr>
          <w:p w:rsidR="00D07A9C" w:rsidRPr="00D07A9C" w:rsidRDefault="00D07A9C" w:rsidP="00D07A9C">
            <w:pPr>
              <w:jc w:val="center"/>
              <w:cnfStyle w:val="000000000000" w:firstRow="0" w:lastRow="0" w:firstColumn="0" w:lastColumn="0" w:oddVBand="0" w:evenVBand="0" w:oddHBand="0" w:evenHBand="0" w:firstRowFirstColumn="0" w:firstRowLastColumn="0" w:lastRowFirstColumn="0" w:lastRowLastColumn="0"/>
              <w:rPr>
                <w:i/>
                <w:sz w:val="18"/>
                <w:szCs w:val="18"/>
              </w:rPr>
            </w:pPr>
            <w:r w:rsidRPr="00D07A9C">
              <w:rPr>
                <w:i/>
                <w:sz w:val="18"/>
                <w:szCs w:val="18"/>
              </w:rPr>
              <w:t>26,1</w:t>
            </w:r>
          </w:p>
        </w:tc>
        <w:tc>
          <w:tcPr>
            <w:tcW w:w="1077" w:type="dxa"/>
            <w:tcBorders>
              <w:right w:val="single" w:sz="4" w:space="0" w:color="auto"/>
            </w:tcBorders>
            <w:shd w:val="clear" w:color="auto" w:fill="D9D9D9" w:themeFill="background1" w:themeFillShade="D9"/>
            <w:vAlign w:val="center"/>
          </w:tcPr>
          <w:p w:rsidR="00D07A9C" w:rsidRPr="00D07A9C" w:rsidRDefault="00D07A9C" w:rsidP="00D07A9C">
            <w:pPr>
              <w:jc w:val="center"/>
              <w:cnfStyle w:val="000000000000" w:firstRow="0" w:lastRow="0" w:firstColumn="0" w:lastColumn="0" w:oddVBand="0" w:evenVBand="0" w:oddHBand="0" w:evenHBand="0" w:firstRowFirstColumn="0" w:firstRowLastColumn="0" w:lastRowFirstColumn="0" w:lastRowLastColumn="0"/>
              <w:rPr>
                <w:i/>
                <w:sz w:val="18"/>
                <w:szCs w:val="18"/>
              </w:rPr>
            </w:pPr>
            <w:r w:rsidRPr="00D07A9C">
              <w:rPr>
                <w:i/>
                <w:sz w:val="18"/>
                <w:szCs w:val="18"/>
              </w:rPr>
              <w:t>29,6</w:t>
            </w:r>
          </w:p>
        </w:tc>
        <w:tc>
          <w:tcPr>
            <w:tcW w:w="794" w:type="dxa"/>
            <w:tcBorders>
              <w:top w:val="single" w:sz="8" w:space="0" w:color="0097A7" w:themeColor="accent1"/>
              <w:left w:val="single" w:sz="4" w:space="0" w:color="auto"/>
              <w:bottom w:val="single" w:sz="8" w:space="0" w:color="0097A7" w:themeColor="accent1"/>
            </w:tcBorders>
            <w:shd w:val="clear" w:color="auto" w:fill="D9D9D9" w:themeFill="background1" w:themeFillShade="D9"/>
            <w:vAlign w:val="center"/>
          </w:tcPr>
          <w:p w:rsidR="00D07A9C" w:rsidRPr="00D07A9C" w:rsidRDefault="00D07A9C" w:rsidP="00D07A9C">
            <w:pPr>
              <w:jc w:val="center"/>
              <w:cnfStyle w:val="000000000000" w:firstRow="0" w:lastRow="0" w:firstColumn="0" w:lastColumn="0" w:oddVBand="0" w:evenVBand="0" w:oddHBand="0" w:evenHBand="0" w:firstRowFirstColumn="0" w:firstRowLastColumn="0" w:lastRowFirstColumn="0" w:lastRowLastColumn="0"/>
              <w:rPr>
                <w:i/>
                <w:sz w:val="18"/>
                <w:szCs w:val="18"/>
              </w:rPr>
            </w:pPr>
            <w:r w:rsidRPr="00D07A9C">
              <w:rPr>
                <w:i/>
                <w:sz w:val="18"/>
                <w:szCs w:val="18"/>
              </w:rPr>
              <w:t>28,1</w:t>
            </w:r>
          </w:p>
        </w:tc>
      </w:tr>
      <w:tr w:rsidR="00D07A9C" w:rsidRPr="00D07A9C" w:rsidTr="004163B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551" w:type="dxa"/>
            <w:vAlign w:val="center"/>
          </w:tcPr>
          <w:p w:rsidR="00D07A9C" w:rsidRPr="00D07A9C" w:rsidRDefault="00D07A9C" w:rsidP="004163B8">
            <w:pPr>
              <w:rPr>
                <w:rFonts w:asciiTheme="majorHAnsi" w:hAnsiTheme="majorHAnsi" w:cstheme="majorHAnsi"/>
                <w:sz w:val="18"/>
                <w:szCs w:val="18"/>
              </w:rPr>
            </w:pPr>
            <w:r w:rsidRPr="00D07A9C">
              <w:rPr>
                <w:rFonts w:asciiTheme="majorHAnsi" w:hAnsiTheme="majorHAnsi" w:cstheme="majorHAnsi"/>
                <w:sz w:val="18"/>
                <w:szCs w:val="18"/>
              </w:rPr>
              <w:t>Østdanmark</w:t>
            </w:r>
          </w:p>
        </w:tc>
        <w:tc>
          <w:tcPr>
            <w:tcW w:w="1020" w:type="dxa"/>
            <w:vAlign w:val="center"/>
          </w:tcPr>
          <w:p w:rsidR="00D07A9C" w:rsidRPr="00D07A9C" w:rsidRDefault="00D07A9C" w:rsidP="00D07A9C">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077" w:type="dxa"/>
            <w:shd w:val="clear" w:color="auto" w:fill="D9D9D9" w:themeFill="background1" w:themeFillShade="D9"/>
            <w:vAlign w:val="center"/>
          </w:tcPr>
          <w:p w:rsidR="00D07A9C" w:rsidRPr="00D07A9C" w:rsidRDefault="00D07A9C" w:rsidP="00D07A9C">
            <w:pPr>
              <w:jc w:val="center"/>
              <w:cnfStyle w:val="000000100000" w:firstRow="0" w:lastRow="0" w:firstColumn="0" w:lastColumn="0" w:oddVBand="0" w:evenVBand="0" w:oddHBand="1" w:evenHBand="0" w:firstRowFirstColumn="0" w:firstRowLastColumn="0" w:lastRowFirstColumn="0" w:lastRowLastColumn="0"/>
              <w:rPr>
                <w:i/>
                <w:sz w:val="18"/>
                <w:szCs w:val="18"/>
              </w:rPr>
            </w:pPr>
          </w:p>
        </w:tc>
        <w:tc>
          <w:tcPr>
            <w:tcW w:w="1077" w:type="dxa"/>
            <w:shd w:val="clear" w:color="auto" w:fill="D9D9D9" w:themeFill="background1" w:themeFillShade="D9"/>
            <w:vAlign w:val="center"/>
          </w:tcPr>
          <w:p w:rsidR="00D07A9C" w:rsidRPr="00D07A9C" w:rsidRDefault="00D07A9C" w:rsidP="00D07A9C">
            <w:pPr>
              <w:jc w:val="center"/>
              <w:cnfStyle w:val="000000100000" w:firstRow="0" w:lastRow="0" w:firstColumn="0" w:lastColumn="0" w:oddVBand="0" w:evenVBand="0" w:oddHBand="1" w:evenHBand="0" w:firstRowFirstColumn="0" w:firstRowLastColumn="0" w:lastRowFirstColumn="0" w:lastRowLastColumn="0"/>
              <w:rPr>
                <w:i/>
                <w:sz w:val="18"/>
                <w:szCs w:val="18"/>
              </w:rPr>
            </w:pPr>
          </w:p>
        </w:tc>
        <w:tc>
          <w:tcPr>
            <w:tcW w:w="1077" w:type="dxa"/>
            <w:tcBorders>
              <w:right w:val="single" w:sz="4" w:space="0" w:color="auto"/>
            </w:tcBorders>
            <w:shd w:val="clear" w:color="auto" w:fill="D9D9D9" w:themeFill="background1" w:themeFillShade="D9"/>
            <w:vAlign w:val="center"/>
          </w:tcPr>
          <w:p w:rsidR="00D07A9C" w:rsidRPr="00D07A9C" w:rsidRDefault="00D07A9C" w:rsidP="00D07A9C">
            <w:pPr>
              <w:jc w:val="center"/>
              <w:cnfStyle w:val="000000100000" w:firstRow="0" w:lastRow="0" w:firstColumn="0" w:lastColumn="0" w:oddVBand="0" w:evenVBand="0" w:oddHBand="1" w:evenHBand="0" w:firstRowFirstColumn="0" w:firstRowLastColumn="0" w:lastRowFirstColumn="0" w:lastRowLastColumn="0"/>
              <w:rPr>
                <w:i/>
                <w:sz w:val="18"/>
                <w:szCs w:val="18"/>
              </w:rPr>
            </w:pPr>
          </w:p>
        </w:tc>
        <w:tc>
          <w:tcPr>
            <w:tcW w:w="794" w:type="dxa"/>
            <w:tcBorders>
              <w:left w:val="single" w:sz="4" w:space="0" w:color="auto"/>
            </w:tcBorders>
            <w:shd w:val="clear" w:color="auto" w:fill="D9D9D9" w:themeFill="background1" w:themeFillShade="D9"/>
            <w:vAlign w:val="center"/>
          </w:tcPr>
          <w:p w:rsidR="00D07A9C" w:rsidRPr="00D07A9C" w:rsidRDefault="00D07A9C" w:rsidP="00D07A9C">
            <w:pPr>
              <w:jc w:val="center"/>
              <w:cnfStyle w:val="000000100000" w:firstRow="0" w:lastRow="0" w:firstColumn="0" w:lastColumn="0" w:oddVBand="0" w:evenVBand="0" w:oddHBand="1" w:evenHBand="0" w:firstRowFirstColumn="0" w:firstRowLastColumn="0" w:lastRowFirstColumn="0" w:lastRowLastColumn="0"/>
              <w:rPr>
                <w:i/>
                <w:sz w:val="18"/>
                <w:szCs w:val="18"/>
              </w:rPr>
            </w:pPr>
          </w:p>
        </w:tc>
      </w:tr>
      <w:tr w:rsidR="00D07A9C" w:rsidRPr="00D07A9C" w:rsidTr="004163B8">
        <w:trPr>
          <w:trHeight w:val="170"/>
        </w:trPr>
        <w:tc>
          <w:tcPr>
            <w:cnfStyle w:val="001000000000" w:firstRow="0" w:lastRow="0" w:firstColumn="1" w:lastColumn="0" w:oddVBand="0" w:evenVBand="0" w:oddHBand="0" w:evenHBand="0" w:firstRowFirstColumn="0" w:firstRowLastColumn="0" w:lastRowFirstColumn="0" w:lastRowLastColumn="0"/>
            <w:tcW w:w="2551" w:type="dxa"/>
            <w:vAlign w:val="center"/>
          </w:tcPr>
          <w:p w:rsidR="00D07A9C" w:rsidRPr="00D07A9C" w:rsidRDefault="00D07A9C" w:rsidP="004163B8">
            <w:pPr>
              <w:rPr>
                <w:rFonts w:asciiTheme="majorHAnsi" w:hAnsiTheme="majorHAnsi" w:cstheme="majorHAnsi"/>
                <w:b w:val="0"/>
                <w:sz w:val="18"/>
                <w:szCs w:val="18"/>
              </w:rPr>
            </w:pPr>
            <w:r w:rsidRPr="00D07A9C">
              <w:rPr>
                <w:rFonts w:asciiTheme="majorHAnsi" w:hAnsiTheme="majorHAnsi" w:cstheme="majorHAnsi"/>
                <w:b w:val="0"/>
                <w:sz w:val="18"/>
                <w:szCs w:val="18"/>
              </w:rPr>
              <w:t>Forwardpris</w:t>
            </w:r>
          </w:p>
        </w:tc>
        <w:tc>
          <w:tcPr>
            <w:tcW w:w="1020" w:type="dxa"/>
            <w:vAlign w:val="center"/>
          </w:tcPr>
          <w:p w:rsidR="00D07A9C" w:rsidRPr="00D07A9C" w:rsidRDefault="00D07A9C" w:rsidP="00D07A9C">
            <w:pPr>
              <w:jc w:val="center"/>
              <w:cnfStyle w:val="000000000000" w:firstRow="0" w:lastRow="0" w:firstColumn="0" w:lastColumn="0" w:oddVBand="0" w:evenVBand="0" w:oddHBand="0" w:evenHBand="0" w:firstRowFirstColumn="0" w:firstRowLastColumn="0" w:lastRowFirstColumn="0" w:lastRowLastColumn="0"/>
              <w:rPr>
                <w:sz w:val="18"/>
                <w:szCs w:val="18"/>
              </w:rPr>
            </w:pPr>
            <w:r w:rsidRPr="00D07A9C">
              <w:rPr>
                <w:sz w:val="18"/>
                <w:szCs w:val="18"/>
              </w:rPr>
              <w:t>33,1</w:t>
            </w:r>
          </w:p>
        </w:tc>
        <w:tc>
          <w:tcPr>
            <w:tcW w:w="1077" w:type="dxa"/>
            <w:shd w:val="clear" w:color="auto" w:fill="D9D9D9" w:themeFill="background1" w:themeFillShade="D9"/>
            <w:vAlign w:val="center"/>
          </w:tcPr>
          <w:p w:rsidR="00D07A9C" w:rsidRPr="00D07A9C" w:rsidRDefault="00D07A9C" w:rsidP="00D07A9C">
            <w:pPr>
              <w:jc w:val="center"/>
              <w:cnfStyle w:val="000000000000" w:firstRow="0" w:lastRow="0" w:firstColumn="0" w:lastColumn="0" w:oddVBand="0" w:evenVBand="0" w:oddHBand="0" w:evenHBand="0" w:firstRowFirstColumn="0" w:firstRowLastColumn="0" w:lastRowFirstColumn="0" w:lastRowLastColumn="0"/>
              <w:rPr>
                <w:i/>
                <w:sz w:val="18"/>
                <w:szCs w:val="18"/>
              </w:rPr>
            </w:pPr>
            <w:r w:rsidRPr="00D07A9C">
              <w:rPr>
                <w:i/>
                <w:sz w:val="18"/>
                <w:szCs w:val="18"/>
              </w:rPr>
              <w:t>27,5</w:t>
            </w:r>
          </w:p>
        </w:tc>
        <w:tc>
          <w:tcPr>
            <w:tcW w:w="1077" w:type="dxa"/>
            <w:shd w:val="clear" w:color="auto" w:fill="D9D9D9" w:themeFill="background1" w:themeFillShade="D9"/>
            <w:vAlign w:val="center"/>
          </w:tcPr>
          <w:p w:rsidR="00D07A9C" w:rsidRPr="00D07A9C" w:rsidRDefault="00D07A9C" w:rsidP="00D07A9C">
            <w:pPr>
              <w:jc w:val="center"/>
              <w:cnfStyle w:val="000000000000" w:firstRow="0" w:lastRow="0" w:firstColumn="0" w:lastColumn="0" w:oddVBand="0" w:evenVBand="0" w:oddHBand="0" w:evenHBand="0" w:firstRowFirstColumn="0" w:firstRowLastColumn="0" w:lastRowFirstColumn="0" w:lastRowLastColumn="0"/>
              <w:rPr>
                <w:i/>
                <w:sz w:val="18"/>
                <w:szCs w:val="18"/>
              </w:rPr>
            </w:pPr>
            <w:r w:rsidRPr="00D07A9C">
              <w:rPr>
                <w:i/>
                <w:sz w:val="18"/>
                <w:szCs w:val="18"/>
              </w:rPr>
              <w:t>31,9</w:t>
            </w:r>
          </w:p>
        </w:tc>
        <w:tc>
          <w:tcPr>
            <w:tcW w:w="1077" w:type="dxa"/>
            <w:tcBorders>
              <w:right w:val="single" w:sz="4" w:space="0" w:color="auto"/>
            </w:tcBorders>
            <w:shd w:val="clear" w:color="auto" w:fill="D9D9D9" w:themeFill="background1" w:themeFillShade="D9"/>
            <w:vAlign w:val="center"/>
          </w:tcPr>
          <w:p w:rsidR="00D07A9C" w:rsidRPr="00D07A9C" w:rsidRDefault="00D07A9C" w:rsidP="00D07A9C">
            <w:pPr>
              <w:jc w:val="center"/>
              <w:cnfStyle w:val="000000000000" w:firstRow="0" w:lastRow="0" w:firstColumn="0" w:lastColumn="0" w:oddVBand="0" w:evenVBand="0" w:oddHBand="0" w:evenHBand="0" w:firstRowFirstColumn="0" w:firstRowLastColumn="0" w:lastRowFirstColumn="0" w:lastRowLastColumn="0"/>
              <w:rPr>
                <w:i/>
                <w:sz w:val="18"/>
                <w:szCs w:val="18"/>
              </w:rPr>
            </w:pPr>
            <w:r w:rsidRPr="00D07A9C">
              <w:rPr>
                <w:i/>
                <w:sz w:val="18"/>
                <w:szCs w:val="18"/>
              </w:rPr>
              <w:t>34,7</w:t>
            </w:r>
          </w:p>
        </w:tc>
        <w:tc>
          <w:tcPr>
            <w:tcW w:w="794" w:type="dxa"/>
            <w:tcBorders>
              <w:top w:val="single" w:sz="8" w:space="0" w:color="0097A7" w:themeColor="accent1"/>
              <w:left w:val="single" w:sz="4" w:space="0" w:color="auto"/>
              <w:bottom w:val="single" w:sz="8" w:space="0" w:color="0097A7" w:themeColor="accent1"/>
            </w:tcBorders>
            <w:shd w:val="clear" w:color="auto" w:fill="D9D9D9" w:themeFill="background1" w:themeFillShade="D9"/>
            <w:vAlign w:val="center"/>
          </w:tcPr>
          <w:p w:rsidR="00D07A9C" w:rsidRPr="00D07A9C" w:rsidRDefault="00D07A9C" w:rsidP="00D07A9C">
            <w:pPr>
              <w:jc w:val="center"/>
              <w:cnfStyle w:val="000000000000" w:firstRow="0" w:lastRow="0" w:firstColumn="0" w:lastColumn="0" w:oddVBand="0" w:evenVBand="0" w:oddHBand="0" w:evenHBand="0" w:firstRowFirstColumn="0" w:firstRowLastColumn="0" w:lastRowFirstColumn="0" w:lastRowLastColumn="0"/>
              <w:rPr>
                <w:i/>
                <w:sz w:val="18"/>
                <w:szCs w:val="18"/>
              </w:rPr>
            </w:pPr>
            <w:r w:rsidRPr="00D07A9C">
              <w:rPr>
                <w:i/>
                <w:sz w:val="18"/>
                <w:szCs w:val="18"/>
              </w:rPr>
              <w:t>31,8</w:t>
            </w:r>
          </w:p>
        </w:tc>
      </w:tr>
      <w:tr w:rsidR="00D07A9C" w:rsidRPr="00D07A9C" w:rsidTr="004163B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551" w:type="dxa"/>
            <w:vAlign w:val="center"/>
          </w:tcPr>
          <w:p w:rsidR="00D07A9C" w:rsidRPr="00D07A9C" w:rsidRDefault="00D07A9C" w:rsidP="004163B8">
            <w:pPr>
              <w:rPr>
                <w:rFonts w:asciiTheme="majorHAnsi" w:hAnsiTheme="majorHAnsi" w:cstheme="majorHAnsi"/>
                <w:b w:val="0"/>
                <w:sz w:val="18"/>
                <w:szCs w:val="18"/>
              </w:rPr>
            </w:pPr>
            <w:r w:rsidRPr="00D07A9C">
              <w:rPr>
                <w:rFonts w:asciiTheme="majorHAnsi" w:hAnsiTheme="majorHAnsi" w:cstheme="majorHAnsi"/>
                <w:b w:val="0"/>
                <w:sz w:val="18"/>
                <w:szCs w:val="18"/>
              </w:rPr>
              <w:t>Anvendt elpris</w:t>
            </w:r>
          </w:p>
        </w:tc>
        <w:tc>
          <w:tcPr>
            <w:tcW w:w="1020" w:type="dxa"/>
            <w:vAlign w:val="center"/>
          </w:tcPr>
          <w:p w:rsidR="00D07A9C" w:rsidRPr="00D07A9C" w:rsidRDefault="00D07A9C" w:rsidP="00D07A9C">
            <w:pPr>
              <w:jc w:val="center"/>
              <w:cnfStyle w:val="000000100000" w:firstRow="0" w:lastRow="0" w:firstColumn="0" w:lastColumn="0" w:oddVBand="0" w:evenVBand="0" w:oddHBand="1" w:evenHBand="0" w:firstRowFirstColumn="0" w:firstRowLastColumn="0" w:lastRowFirstColumn="0" w:lastRowLastColumn="0"/>
              <w:rPr>
                <w:sz w:val="18"/>
                <w:szCs w:val="18"/>
              </w:rPr>
            </w:pPr>
            <w:r w:rsidRPr="00D07A9C">
              <w:rPr>
                <w:sz w:val="18"/>
                <w:szCs w:val="18"/>
              </w:rPr>
              <w:t>35,2</w:t>
            </w:r>
          </w:p>
        </w:tc>
        <w:tc>
          <w:tcPr>
            <w:tcW w:w="1077" w:type="dxa"/>
            <w:shd w:val="clear" w:color="auto" w:fill="D9D9D9" w:themeFill="background1" w:themeFillShade="D9"/>
            <w:vAlign w:val="center"/>
          </w:tcPr>
          <w:p w:rsidR="00D07A9C" w:rsidRPr="00D07A9C" w:rsidRDefault="00D07A9C" w:rsidP="00D07A9C">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07A9C">
              <w:rPr>
                <w:i/>
                <w:sz w:val="18"/>
                <w:szCs w:val="18"/>
              </w:rPr>
              <w:t>29,5</w:t>
            </w:r>
          </w:p>
        </w:tc>
        <w:tc>
          <w:tcPr>
            <w:tcW w:w="1077" w:type="dxa"/>
            <w:shd w:val="clear" w:color="auto" w:fill="D9D9D9" w:themeFill="background1" w:themeFillShade="D9"/>
            <w:vAlign w:val="center"/>
          </w:tcPr>
          <w:p w:rsidR="00D07A9C" w:rsidRPr="00D07A9C" w:rsidRDefault="00D07A9C" w:rsidP="00D07A9C">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07A9C">
              <w:rPr>
                <w:i/>
                <w:sz w:val="18"/>
                <w:szCs w:val="18"/>
              </w:rPr>
              <w:t>30,5</w:t>
            </w:r>
          </w:p>
        </w:tc>
        <w:tc>
          <w:tcPr>
            <w:tcW w:w="1077" w:type="dxa"/>
            <w:tcBorders>
              <w:right w:val="single" w:sz="4" w:space="0" w:color="auto"/>
            </w:tcBorders>
            <w:shd w:val="clear" w:color="auto" w:fill="D9D9D9" w:themeFill="background1" w:themeFillShade="D9"/>
            <w:vAlign w:val="center"/>
          </w:tcPr>
          <w:p w:rsidR="00D07A9C" w:rsidRPr="00D07A9C" w:rsidRDefault="00D07A9C" w:rsidP="00D07A9C">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07A9C">
              <w:rPr>
                <w:i/>
                <w:sz w:val="18"/>
                <w:szCs w:val="18"/>
              </w:rPr>
              <w:t>30,6</w:t>
            </w:r>
          </w:p>
        </w:tc>
        <w:tc>
          <w:tcPr>
            <w:tcW w:w="794" w:type="dxa"/>
            <w:tcBorders>
              <w:left w:val="single" w:sz="4" w:space="0" w:color="auto"/>
            </w:tcBorders>
            <w:shd w:val="clear" w:color="auto" w:fill="D9D9D9" w:themeFill="background1" w:themeFillShade="D9"/>
            <w:vAlign w:val="center"/>
          </w:tcPr>
          <w:p w:rsidR="00D07A9C" w:rsidRPr="00D07A9C" w:rsidRDefault="00D07A9C" w:rsidP="00D07A9C">
            <w:pPr>
              <w:jc w:val="center"/>
              <w:cnfStyle w:val="000000100000" w:firstRow="0" w:lastRow="0" w:firstColumn="0" w:lastColumn="0" w:oddVBand="0" w:evenVBand="0" w:oddHBand="1" w:evenHBand="0" w:firstRowFirstColumn="0" w:firstRowLastColumn="0" w:lastRowFirstColumn="0" w:lastRowLastColumn="0"/>
              <w:rPr>
                <w:i/>
                <w:sz w:val="18"/>
                <w:szCs w:val="18"/>
              </w:rPr>
            </w:pPr>
            <w:r w:rsidRPr="00D07A9C">
              <w:rPr>
                <w:i/>
                <w:sz w:val="18"/>
                <w:szCs w:val="18"/>
              </w:rPr>
              <w:t>31,4</w:t>
            </w:r>
          </w:p>
        </w:tc>
      </w:tr>
    </w:tbl>
    <w:p w:rsidR="00F60F39" w:rsidRPr="00536E48" w:rsidRDefault="00F60F39" w:rsidP="00F60F39">
      <w:pPr>
        <w:spacing w:line="240" w:lineRule="auto"/>
        <w:rPr>
          <w:rFonts w:asciiTheme="majorHAnsi" w:hAnsiTheme="majorHAnsi" w:cstheme="majorHAnsi"/>
          <w:i/>
          <w:sz w:val="18"/>
          <w:szCs w:val="18"/>
        </w:rPr>
      </w:pPr>
      <w:r w:rsidRPr="00536E48">
        <w:rPr>
          <w:rFonts w:asciiTheme="majorHAnsi" w:hAnsiTheme="majorHAnsi" w:cstheme="majorHAnsi"/>
          <w:i/>
          <w:sz w:val="18"/>
          <w:szCs w:val="18"/>
        </w:rPr>
        <w:t>Note: Anvendt elpris er den elpris, som indgår i fas</w:t>
      </w:r>
      <w:r w:rsidR="00D07A9C">
        <w:rPr>
          <w:rFonts w:asciiTheme="majorHAnsi" w:hAnsiTheme="majorHAnsi" w:cstheme="majorHAnsi"/>
          <w:i/>
          <w:sz w:val="18"/>
          <w:szCs w:val="18"/>
        </w:rPr>
        <w:t>tsættelsen af PSO-tariffen. 2020</w:t>
      </w:r>
      <w:r w:rsidRPr="00536E48">
        <w:rPr>
          <w:rFonts w:asciiTheme="majorHAnsi" w:hAnsiTheme="majorHAnsi" w:cstheme="majorHAnsi"/>
          <w:i/>
          <w:sz w:val="18"/>
          <w:szCs w:val="18"/>
        </w:rPr>
        <w:t xml:space="preserve"> er et forbrugsvægtet gennemsnit.</w:t>
      </w:r>
    </w:p>
    <w:p w:rsidR="00F60F39" w:rsidRPr="00536E48" w:rsidRDefault="00F60F39" w:rsidP="00F60F39">
      <w:pPr>
        <w:spacing w:line="240" w:lineRule="auto"/>
        <w:rPr>
          <w:rFonts w:asciiTheme="majorHAnsi" w:hAnsiTheme="majorHAnsi" w:cstheme="majorHAnsi"/>
          <w:i/>
          <w:sz w:val="18"/>
          <w:szCs w:val="18"/>
        </w:rPr>
      </w:pPr>
      <w:r w:rsidRPr="00536E48">
        <w:rPr>
          <w:rFonts w:asciiTheme="majorHAnsi" w:hAnsiTheme="majorHAnsi" w:cstheme="majorHAnsi"/>
          <w:i/>
          <w:sz w:val="18"/>
          <w:szCs w:val="18"/>
        </w:rPr>
        <w:t xml:space="preserve">* Tarifferne for 2-4. kvartal </w:t>
      </w:r>
      <w:r w:rsidR="00D07A9C">
        <w:rPr>
          <w:rFonts w:asciiTheme="majorHAnsi" w:hAnsiTheme="majorHAnsi" w:cstheme="majorHAnsi"/>
          <w:i/>
          <w:sz w:val="18"/>
          <w:szCs w:val="18"/>
        </w:rPr>
        <w:t xml:space="preserve">samt årlige gennemsnit </w:t>
      </w:r>
      <w:r w:rsidRPr="00536E48">
        <w:rPr>
          <w:rFonts w:asciiTheme="majorHAnsi" w:hAnsiTheme="majorHAnsi" w:cstheme="majorHAnsi"/>
          <w:i/>
          <w:sz w:val="18"/>
          <w:szCs w:val="18"/>
        </w:rPr>
        <w:t>er alene prognoser, der forventeligt vil ændre sig, og dermed afvige fra den endelige tarif.</w:t>
      </w:r>
    </w:p>
    <w:p w:rsidR="00F60F39" w:rsidRPr="00F60F39" w:rsidRDefault="00F60F39" w:rsidP="00F60F39">
      <w:pPr>
        <w:rPr>
          <w:rFonts w:asciiTheme="majorHAnsi" w:hAnsiTheme="majorHAnsi" w:cstheme="majorHAnsi"/>
          <w:szCs w:val="20"/>
        </w:rPr>
      </w:pPr>
    </w:p>
    <w:p w:rsidR="00F60F39" w:rsidRDefault="00F60F39" w:rsidP="00F60F39">
      <w:pPr>
        <w:rPr>
          <w:rFonts w:asciiTheme="majorHAnsi" w:hAnsiTheme="majorHAnsi" w:cstheme="majorHAnsi"/>
          <w:szCs w:val="20"/>
        </w:rPr>
      </w:pPr>
      <w:r w:rsidRPr="002E4431">
        <w:rPr>
          <w:rFonts w:asciiTheme="majorHAnsi" w:hAnsiTheme="majorHAnsi" w:cstheme="majorHAnsi"/>
          <w:szCs w:val="20"/>
        </w:rPr>
        <w:t>PSO-tariffen f</w:t>
      </w:r>
      <w:r w:rsidR="004163B8">
        <w:rPr>
          <w:rFonts w:asciiTheme="majorHAnsi" w:hAnsiTheme="majorHAnsi" w:cstheme="majorHAnsi"/>
          <w:szCs w:val="20"/>
        </w:rPr>
        <w:t>or 1. kvartal 2020</w:t>
      </w:r>
      <w:r w:rsidRPr="002E4431">
        <w:rPr>
          <w:rFonts w:asciiTheme="majorHAnsi" w:hAnsiTheme="majorHAnsi" w:cstheme="majorHAnsi"/>
          <w:szCs w:val="20"/>
        </w:rPr>
        <w:t xml:space="preserve"> er fastsat til </w:t>
      </w:r>
      <w:r w:rsidR="004163B8">
        <w:rPr>
          <w:rFonts w:asciiTheme="majorHAnsi" w:hAnsiTheme="majorHAnsi" w:cstheme="majorHAnsi"/>
          <w:szCs w:val="20"/>
        </w:rPr>
        <w:t>2,6</w:t>
      </w:r>
      <w:r w:rsidRPr="002E4431">
        <w:rPr>
          <w:rFonts w:asciiTheme="majorHAnsi" w:hAnsiTheme="majorHAnsi" w:cstheme="majorHAnsi"/>
          <w:szCs w:val="20"/>
        </w:rPr>
        <w:t xml:space="preserve"> øre/kWh. Pga. lavere forventet elproduktion fra vindmøller og kraftvarme </w:t>
      </w:r>
      <w:r w:rsidR="00F7404A">
        <w:rPr>
          <w:rFonts w:asciiTheme="majorHAnsi" w:hAnsiTheme="majorHAnsi" w:cstheme="majorHAnsi"/>
          <w:szCs w:val="20"/>
        </w:rPr>
        <w:t xml:space="preserve">i sommerhalvåret </w:t>
      </w:r>
      <w:r w:rsidRPr="002E4431">
        <w:rPr>
          <w:rFonts w:asciiTheme="majorHAnsi" w:hAnsiTheme="majorHAnsi" w:cstheme="majorHAnsi"/>
          <w:szCs w:val="20"/>
        </w:rPr>
        <w:t>forventes tariffen at falde i 2. og 3. kvartal</w:t>
      </w:r>
      <w:r w:rsidR="004163B8">
        <w:rPr>
          <w:rFonts w:asciiTheme="majorHAnsi" w:hAnsiTheme="majorHAnsi" w:cstheme="majorHAnsi"/>
          <w:szCs w:val="20"/>
        </w:rPr>
        <w:t xml:space="preserve">, </w:t>
      </w:r>
      <w:r w:rsidR="00B177D8">
        <w:rPr>
          <w:rFonts w:asciiTheme="majorHAnsi" w:hAnsiTheme="majorHAnsi" w:cstheme="majorHAnsi"/>
          <w:szCs w:val="20"/>
        </w:rPr>
        <w:t>hvorefter den</w:t>
      </w:r>
      <w:r w:rsidR="004163B8">
        <w:rPr>
          <w:rFonts w:asciiTheme="majorHAnsi" w:hAnsiTheme="majorHAnsi" w:cstheme="majorHAnsi"/>
          <w:szCs w:val="20"/>
        </w:rPr>
        <w:t xml:space="preserve"> forventes at stige </w:t>
      </w:r>
      <w:r w:rsidR="00B177D8">
        <w:rPr>
          <w:rFonts w:asciiTheme="majorHAnsi" w:hAnsiTheme="majorHAnsi" w:cstheme="majorHAnsi"/>
          <w:szCs w:val="20"/>
        </w:rPr>
        <w:t>i</w:t>
      </w:r>
      <w:r w:rsidR="004163B8">
        <w:rPr>
          <w:rFonts w:asciiTheme="majorHAnsi" w:hAnsiTheme="majorHAnsi" w:cstheme="majorHAnsi"/>
          <w:szCs w:val="20"/>
        </w:rPr>
        <w:t xml:space="preserve"> 4. kvartal hvor elproduktion fra vindmøller og kraftvarme igen stiger</w:t>
      </w:r>
      <w:r w:rsidRPr="002E4431">
        <w:rPr>
          <w:rFonts w:asciiTheme="majorHAnsi" w:hAnsiTheme="majorHAnsi" w:cstheme="majorHAnsi"/>
          <w:szCs w:val="20"/>
        </w:rPr>
        <w:t xml:space="preserve">. </w:t>
      </w:r>
      <w:r w:rsidR="00B177D8">
        <w:rPr>
          <w:rFonts w:asciiTheme="majorHAnsi" w:hAnsiTheme="majorHAnsi" w:cstheme="majorHAnsi"/>
          <w:szCs w:val="20"/>
        </w:rPr>
        <w:t xml:space="preserve">Således forventes </w:t>
      </w:r>
      <w:r w:rsidR="004163B8">
        <w:rPr>
          <w:rFonts w:asciiTheme="majorHAnsi" w:hAnsiTheme="majorHAnsi" w:cstheme="majorHAnsi"/>
          <w:szCs w:val="20"/>
        </w:rPr>
        <w:t>tariffen for 1. kvartal 2020</w:t>
      </w:r>
      <w:r w:rsidRPr="002E4431">
        <w:rPr>
          <w:rFonts w:asciiTheme="majorHAnsi" w:hAnsiTheme="majorHAnsi" w:cstheme="majorHAnsi"/>
          <w:szCs w:val="20"/>
        </w:rPr>
        <w:t xml:space="preserve"> </w:t>
      </w:r>
      <w:r w:rsidR="001D7419">
        <w:rPr>
          <w:rFonts w:asciiTheme="majorHAnsi" w:hAnsiTheme="majorHAnsi" w:cstheme="majorHAnsi"/>
          <w:szCs w:val="20"/>
        </w:rPr>
        <w:t xml:space="preserve">også </w:t>
      </w:r>
      <w:r w:rsidR="00B177D8">
        <w:rPr>
          <w:rFonts w:asciiTheme="majorHAnsi" w:hAnsiTheme="majorHAnsi" w:cstheme="majorHAnsi"/>
          <w:szCs w:val="20"/>
        </w:rPr>
        <w:t>at ligge</w:t>
      </w:r>
      <w:r w:rsidRPr="002E4431">
        <w:rPr>
          <w:rFonts w:asciiTheme="majorHAnsi" w:hAnsiTheme="majorHAnsi" w:cstheme="majorHAnsi"/>
          <w:szCs w:val="20"/>
        </w:rPr>
        <w:t xml:space="preserve"> over den forventede</w:t>
      </w:r>
      <w:r w:rsidR="00B177D8">
        <w:rPr>
          <w:rFonts w:asciiTheme="majorHAnsi" w:hAnsiTheme="majorHAnsi" w:cstheme="majorHAnsi"/>
          <w:szCs w:val="20"/>
        </w:rPr>
        <w:t>,</w:t>
      </w:r>
      <w:r w:rsidRPr="002E4431">
        <w:rPr>
          <w:rFonts w:asciiTheme="majorHAnsi" w:hAnsiTheme="majorHAnsi" w:cstheme="majorHAnsi"/>
          <w:szCs w:val="20"/>
        </w:rPr>
        <w:t xml:space="preserve"> gennemsni</w:t>
      </w:r>
      <w:r w:rsidR="004163B8">
        <w:rPr>
          <w:rFonts w:asciiTheme="majorHAnsi" w:hAnsiTheme="majorHAnsi" w:cstheme="majorHAnsi"/>
          <w:szCs w:val="20"/>
        </w:rPr>
        <w:t xml:space="preserve">tlige tarif for </w:t>
      </w:r>
      <w:r w:rsidR="001D7419">
        <w:rPr>
          <w:rFonts w:asciiTheme="majorHAnsi" w:hAnsiTheme="majorHAnsi" w:cstheme="majorHAnsi"/>
          <w:szCs w:val="20"/>
        </w:rPr>
        <w:t xml:space="preserve">hele </w:t>
      </w:r>
      <w:r w:rsidR="004163B8">
        <w:rPr>
          <w:rFonts w:asciiTheme="majorHAnsi" w:hAnsiTheme="majorHAnsi" w:cstheme="majorHAnsi"/>
          <w:szCs w:val="20"/>
        </w:rPr>
        <w:t>2020</w:t>
      </w:r>
      <w:r w:rsidRPr="002E4431">
        <w:rPr>
          <w:rFonts w:asciiTheme="majorHAnsi" w:hAnsiTheme="majorHAnsi" w:cstheme="majorHAnsi"/>
          <w:szCs w:val="20"/>
        </w:rPr>
        <w:t xml:space="preserve"> på </w:t>
      </w:r>
      <w:r w:rsidR="004163B8">
        <w:rPr>
          <w:rFonts w:asciiTheme="majorHAnsi" w:hAnsiTheme="majorHAnsi" w:cstheme="majorHAnsi"/>
          <w:szCs w:val="20"/>
        </w:rPr>
        <w:t>2,5</w:t>
      </w:r>
      <w:r w:rsidRPr="002E4431">
        <w:rPr>
          <w:rFonts w:asciiTheme="majorHAnsi" w:hAnsiTheme="majorHAnsi" w:cstheme="majorHAnsi"/>
          <w:szCs w:val="20"/>
        </w:rPr>
        <w:t xml:space="preserve"> øre/kWh.</w:t>
      </w:r>
    </w:p>
    <w:p w:rsidR="009B072C" w:rsidRDefault="009B072C" w:rsidP="00F60F39">
      <w:pPr>
        <w:rPr>
          <w:rFonts w:asciiTheme="majorHAnsi" w:hAnsiTheme="majorHAnsi" w:cstheme="majorHAnsi"/>
          <w:szCs w:val="20"/>
        </w:rPr>
      </w:pPr>
    </w:p>
    <w:p w:rsidR="009B072C" w:rsidRPr="002E4431" w:rsidRDefault="009B072C" w:rsidP="00F60F39">
      <w:pPr>
        <w:rPr>
          <w:rFonts w:asciiTheme="majorHAnsi" w:hAnsiTheme="majorHAnsi" w:cstheme="majorHAnsi"/>
          <w:szCs w:val="20"/>
        </w:rPr>
      </w:pPr>
      <w:r>
        <w:rPr>
          <w:rFonts w:asciiTheme="majorHAnsi" w:hAnsiTheme="majorHAnsi" w:cstheme="majorHAnsi"/>
          <w:szCs w:val="20"/>
        </w:rPr>
        <w:t xml:space="preserve">I forhold </w:t>
      </w:r>
      <w:r w:rsidR="00F7404A">
        <w:rPr>
          <w:rFonts w:asciiTheme="majorHAnsi" w:hAnsiTheme="majorHAnsi" w:cstheme="majorHAnsi"/>
          <w:szCs w:val="20"/>
        </w:rPr>
        <w:t xml:space="preserve">til </w:t>
      </w:r>
      <w:r>
        <w:rPr>
          <w:rFonts w:asciiTheme="majorHAnsi" w:hAnsiTheme="majorHAnsi" w:cstheme="majorHAnsi"/>
          <w:szCs w:val="20"/>
        </w:rPr>
        <w:t xml:space="preserve">tidligere års </w:t>
      </w:r>
      <w:r w:rsidR="00F7404A">
        <w:rPr>
          <w:rFonts w:asciiTheme="majorHAnsi" w:hAnsiTheme="majorHAnsi" w:cstheme="majorHAnsi"/>
          <w:szCs w:val="20"/>
        </w:rPr>
        <w:t>tariffer</w:t>
      </w:r>
      <w:r w:rsidR="00B177D8">
        <w:rPr>
          <w:rFonts w:asciiTheme="majorHAnsi" w:hAnsiTheme="majorHAnsi" w:cstheme="majorHAnsi"/>
          <w:szCs w:val="20"/>
        </w:rPr>
        <w:t>, er der relativ lille sæsonvariation i de</w:t>
      </w:r>
      <w:r w:rsidR="001519CB">
        <w:rPr>
          <w:rFonts w:asciiTheme="majorHAnsi" w:hAnsiTheme="majorHAnsi" w:cstheme="majorHAnsi"/>
          <w:szCs w:val="20"/>
        </w:rPr>
        <w:t xml:space="preserve"> forventede,</w:t>
      </w:r>
      <w:r w:rsidR="00B177D8">
        <w:rPr>
          <w:rFonts w:asciiTheme="majorHAnsi" w:hAnsiTheme="majorHAnsi" w:cstheme="majorHAnsi"/>
          <w:szCs w:val="20"/>
        </w:rPr>
        <w:t xml:space="preserve"> kvartalsvise tariffer for 2020. Dette skyldes</w:t>
      </w:r>
      <w:r w:rsidR="001519CB">
        <w:rPr>
          <w:rFonts w:asciiTheme="majorHAnsi" w:hAnsiTheme="majorHAnsi" w:cstheme="majorHAnsi"/>
          <w:szCs w:val="20"/>
        </w:rPr>
        <w:t>, som forklaret ovenfor, at lempelserne er fordelt ud over kvartalerne relativt til de forventede udgifter. Således bliver de fire tariffer for året lempet relativt lige meget og variere således ikke så meget henover året, som det ellers har være</w:t>
      </w:r>
      <w:r w:rsidR="001D7419">
        <w:rPr>
          <w:rFonts w:asciiTheme="majorHAnsi" w:hAnsiTheme="majorHAnsi" w:cstheme="majorHAnsi"/>
          <w:szCs w:val="20"/>
        </w:rPr>
        <w:t>t</w:t>
      </w:r>
      <w:r w:rsidR="001519CB">
        <w:rPr>
          <w:rFonts w:asciiTheme="majorHAnsi" w:hAnsiTheme="majorHAnsi" w:cstheme="majorHAnsi"/>
          <w:szCs w:val="20"/>
        </w:rPr>
        <w:t xml:space="preserve"> tilfældet. </w:t>
      </w:r>
      <w:r w:rsidR="00B177D8">
        <w:rPr>
          <w:rFonts w:asciiTheme="majorHAnsi" w:hAnsiTheme="majorHAnsi" w:cstheme="majorHAnsi"/>
          <w:szCs w:val="20"/>
        </w:rPr>
        <w:t xml:space="preserve"> </w:t>
      </w:r>
    </w:p>
    <w:p w:rsidR="00536E48" w:rsidRPr="002E4431" w:rsidRDefault="00536E48" w:rsidP="00F60F39">
      <w:pPr>
        <w:rPr>
          <w:rFonts w:asciiTheme="majorHAnsi" w:hAnsiTheme="majorHAnsi" w:cstheme="majorHAnsi"/>
          <w:szCs w:val="20"/>
        </w:rPr>
      </w:pPr>
    </w:p>
    <w:p w:rsidR="00F60F39" w:rsidRDefault="00F60F39" w:rsidP="00F60F39">
      <w:pPr>
        <w:jc w:val="both"/>
        <w:rPr>
          <w:rFonts w:asciiTheme="majorHAnsi" w:hAnsiTheme="majorHAnsi" w:cstheme="majorHAnsi"/>
          <w:szCs w:val="20"/>
        </w:rPr>
      </w:pPr>
      <w:r w:rsidRPr="002E4431">
        <w:rPr>
          <w:rFonts w:asciiTheme="majorHAnsi" w:hAnsiTheme="majorHAnsi" w:cstheme="majorHAnsi"/>
          <w:szCs w:val="20"/>
        </w:rPr>
        <w:t xml:space="preserve">Faldet i </w:t>
      </w:r>
      <w:r w:rsidR="004163B8">
        <w:rPr>
          <w:rFonts w:asciiTheme="majorHAnsi" w:hAnsiTheme="majorHAnsi" w:cstheme="majorHAnsi"/>
          <w:szCs w:val="20"/>
        </w:rPr>
        <w:t xml:space="preserve">PSO-tariffen fra </w:t>
      </w:r>
      <w:r w:rsidR="00746656">
        <w:rPr>
          <w:rFonts w:asciiTheme="majorHAnsi" w:hAnsiTheme="majorHAnsi" w:cstheme="majorHAnsi"/>
          <w:szCs w:val="20"/>
        </w:rPr>
        <w:t xml:space="preserve">7,6 øre/kWh i </w:t>
      </w:r>
      <w:r w:rsidR="004163B8">
        <w:rPr>
          <w:rFonts w:asciiTheme="majorHAnsi" w:hAnsiTheme="majorHAnsi" w:cstheme="majorHAnsi"/>
          <w:szCs w:val="20"/>
        </w:rPr>
        <w:t xml:space="preserve">4. kvartal 2019 til </w:t>
      </w:r>
      <w:r w:rsidR="00746656">
        <w:rPr>
          <w:rFonts w:asciiTheme="majorHAnsi" w:hAnsiTheme="majorHAnsi" w:cstheme="majorHAnsi"/>
          <w:szCs w:val="20"/>
        </w:rPr>
        <w:t xml:space="preserve">2,6 øre/kWh i </w:t>
      </w:r>
      <w:r w:rsidR="004163B8">
        <w:rPr>
          <w:rFonts w:asciiTheme="majorHAnsi" w:hAnsiTheme="majorHAnsi" w:cstheme="majorHAnsi"/>
          <w:szCs w:val="20"/>
        </w:rPr>
        <w:t>1. kvartal 2020</w:t>
      </w:r>
      <w:r w:rsidRPr="002E4431">
        <w:rPr>
          <w:rFonts w:asciiTheme="majorHAnsi" w:hAnsiTheme="majorHAnsi" w:cstheme="majorHAnsi"/>
          <w:szCs w:val="20"/>
        </w:rPr>
        <w:t xml:space="preserve"> skyldes primært følgende forhold:</w:t>
      </w:r>
    </w:p>
    <w:p w:rsidR="00746656" w:rsidRPr="002E4431" w:rsidRDefault="00746656" w:rsidP="00F60F39">
      <w:pPr>
        <w:jc w:val="both"/>
        <w:rPr>
          <w:rFonts w:asciiTheme="majorHAnsi" w:hAnsiTheme="majorHAnsi" w:cstheme="majorHAnsi"/>
          <w:szCs w:val="20"/>
        </w:rPr>
      </w:pPr>
    </w:p>
    <w:p w:rsidR="0078024B" w:rsidRDefault="006332F8" w:rsidP="0078024B">
      <w:pPr>
        <w:pStyle w:val="Listeafsnit"/>
        <w:numPr>
          <w:ilvl w:val="0"/>
          <w:numId w:val="9"/>
        </w:numPr>
        <w:rPr>
          <w:rFonts w:asciiTheme="majorHAnsi" w:hAnsiTheme="majorHAnsi" w:cstheme="majorHAnsi"/>
          <w:szCs w:val="20"/>
        </w:rPr>
      </w:pPr>
      <w:r>
        <w:rPr>
          <w:rFonts w:asciiTheme="majorHAnsi" w:hAnsiTheme="majorHAnsi" w:cstheme="majorHAnsi"/>
          <w:b/>
          <w:szCs w:val="20"/>
        </w:rPr>
        <w:t>Øget lempelse i 2020</w:t>
      </w:r>
      <w:r w:rsidR="0078024B" w:rsidRPr="007836DC">
        <w:rPr>
          <w:rFonts w:asciiTheme="majorHAnsi" w:hAnsiTheme="majorHAnsi" w:cstheme="majorHAnsi"/>
          <w:b/>
          <w:szCs w:val="20"/>
        </w:rPr>
        <w:t>:</w:t>
      </w:r>
      <w:r w:rsidR="0078024B" w:rsidRPr="007836DC">
        <w:rPr>
          <w:rFonts w:asciiTheme="majorHAnsi" w:hAnsiTheme="majorHAnsi" w:cstheme="majorHAnsi"/>
          <w:szCs w:val="20"/>
        </w:rPr>
        <w:t xml:space="preserve"> PSO-lempelsen øges i 2020 med ca. 1,2</w:t>
      </w:r>
      <w:r>
        <w:rPr>
          <w:rFonts w:asciiTheme="majorHAnsi" w:hAnsiTheme="majorHAnsi" w:cstheme="majorHAnsi"/>
          <w:szCs w:val="20"/>
        </w:rPr>
        <w:t xml:space="preserve"> mia. kr. i </w:t>
      </w:r>
      <w:r w:rsidR="0078024B" w:rsidRPr="007836DC">
        <w:rPr>
          <w:rFonts w:asciiTheme="majorHAnsi" w:hAnsiTheme="majorHAnsi" w:cstheme="majorHAnsi"/>
          <w:szCs w:val="20"/>
        </w:rPr>
        <w:t>forhold til 2019</w:t>
      </w:r>
      <w:r w:rsidR="001519CB">
        <w:rPr>
          <w:rFonts w:asciiTheme="majorHAnsi" w:hAnsiTheme="majorHAnsi" w:cstheme="majorHAnsi"/>
          <w:szCs w:val="20"/>
        </w:rPr>
        <w:t>, hvilket mere end halvere</w:t>
      </w:r>
      <w:r w:rsidR="004109C6">
        <w:rPr>
          <w:rFonts w:asciiTheme="majorHAnsi" w:hAnsiTheme="majorHAnsi" w:cstheme="majorHAnsi"/>
          <w:szCs w:val="20"/>
        </w:rPr>
        <w:t>r</w:t>
      </w:r>
      <w:r w:rsidR="001519CB">
        <w:rPr>
          <w:rFonts w:asciiTheme="majorHAnsi" w:hAnsiTheme="majorHAnsi" w:cstheme="majorHAnsi"/>
          <w:szCs w:val="20"/>
        </w:rPr>
        <w:t xml:space="preserve"> de nødvendige opkrævninger over PSO-tariffen i forhold til 2019</w:t>
      </w:r>
      <w:r w:rsidR="0078024B" w:rsidRPr="007836DC">
        <w:rPr>
          <w:rFonts w:asciiTheme="majorHAnsi" w:hAnsiTheme="majorHAnsi" w:cstheme="majorHAnsi"/>
          <w:szCs w:val="20"/>
        </w:rPr>
        <w:t xml:space="preserve">. </w:t>
      </w:r>
    </w:p>
    <w:p w:rsidR="0078024B" w:rsidRPr="007836DC" w:rsidRDefault="0078024B" w:rsidP="0078024B">
      <w:pPr>
        <w:pStyle w:val="Listeafsnit"/>
        <w:ind w:left="360"/>
        <w:rPr>
          <w:rFonts w:asciiTheme="majorHAnsi" w:hAnsiTheme="majorHAnsi" w:cstheme="majorHAnsi"/>
          <w:szCs w:val="20"/>
        </w:rPr>
      </w:pPr>
    </w:p>
    <w:p w:rsidR="0078024B" w:rsidRPr="0078024B" w:rsidRDefault="0078024B" w:rsidP="0078024B">
      <w:pPr>
        <w:pStyle w:val="Listeafsnit"/>
        <w:numPr>
          <w:ilvl w:val="0"/>
          <w:numId w:val="9"/>
        </w:numPr>
      </w:pPr>
      <w:r w:rsidRPr="005D2503">
        <w:rPr>
          <w:rFonts w:asciiTheme="majorHAnsi" w:hAnsiTheme="majorHAnsi" w:cstheme="majorHAnsi"/>
          <w:b/>
          <w:szCs w:val="20"/>
        </w:rPr>
        <w:t>Overdækning:</w:t>
      </w:r>
      <w:r>
        <w:rPr>
          <w:rFonts w:asciiTheme="majorHAnsi" w:hAnsiTheme="majorHAnsi" w:cstheme="majorHAnsi"/>
          <w:szCs w:val="20"/>
        </w:rPr>
        <w:t xml:space="preserve"> </w:t>
      </w:r>
      <w:r w:rsidRPr="005D2503">
        <w:rPr>
          <w:rFonts w:asciiTheme="majorHAnsi" w:hAnsiTheme="majorHAnsi" w:cstheme="majorHAnsi"/>
          <w:szCs w:val="20"/>
        </w:rPr>
        <w:t>De</w:t>
      </w:r>
      <w:r w:rsidR="006332F8">
        <w:rPr>
          <w:rFonts w:asciiTheme="majorHAnsi" w:hAnsiTheme="majorHAnsi" w:cstheme="majorHAnsi"/>
          <w:szCs w:val="20"/>
        </w:rPr>
        <w:t>r er blevet opbygget en stor overdækning over længere tid, som reducerer tariffen med 124 mio. kr. i 1. kvartal 2020</w:t>
      </w:r>
      <w:r w:rsidRPr="005D2503">
        <w:rPr>
          <w:rFonts w:asciiTheme="majorHAnsi" w:hAnsiTheme="majorHAnsi" w:cstheme="majorHAnsi"/>
          <w:szCs w:val="20"/>
        </w:rPr>
        <w:t>.</w:t>
      </w:r>
    </w:p>
    <w:p w:rsidR="0078024B" w:rsidRPr="007836DC" w:rsidRDefault="0078024B" w:rsidP="0078024B"/>
    <w:p w:rsidR="00F60F39" w:rsidRDefault="00F60F39" w:rsidP="00291D5E">
      <w:pPr>
        <w:pStyle w:val="Listeafsnit"/>
        <w:numPr>
          <w:ilvl w:val="0"/>
          <w:numId w:val="9"/>
        </w:numPr>
      </w:pPr>
      <w:r w:rsidRPr="00746656">
        <w:rPr>
          <w:rFonts w:asciiTheme="majorHAnsi" w:hAnsiTheme="majorHAnsi" w:cstheme="majorHAnsi"/>
          <w:b/>
          <w:szCs w:val="20"/>
        </w:rPr>
        <w:t>Udfasning af grundbeløbet:</w:t>
      </w:r>
      <w:r w:rsidR="007836DC" w:rsidRPr="00746656">
        <w:rPr>
          <w:rFonts w:asciiTheme="majorHAnsi" w:hAnsiTheme="majorHAnsi" w:cstheme="majorHAnsi"/>
          <w:szCs w:val="20"/>
        </w:rPr>
        <w:t xml:space="preserve"> I 2020</w:t>
      </w:r>
      <w:r w:rsidR="001519CB" w:rsidRPr="00746656">
        <w:rPr>
          <w:rFonts w:asciiTheme="majorHAnsi" w:hAnsiTheme="majorHAnsi" w:cstheme="majorHAnsi"/>
          <w:szCs w:val="20"/>
        </w:rPr>
        <w:t xml:space="preserve"> forventes udbetalingerne</w:t>
      </w:r>
      <w:r w:rsidRPr="00746656">
        <w:rPr>
          <w:rFonts w:asciiTheme="majorHAnsi" w:hAnsiTheme="majorHAnsi" w:cstheme="majorHAnsi"/>
          <w:szCs w:val="20"/>
        </w:rPr>
        <w:t xml:space="preserve"> til værker</w:t>
      </w:r>
      <w:r w:rsidR="007836DC" w:rsidRPr="00746656">
        <w:rPr>
          <w:rFonts w:asciiTheme="majorHAnsi" w:hAnsiTheme="majorHAnsi" w:cstheme="majorHAnsi"/>
          <w:szCs w:val="20"/>
        </w:rPr>
        <w:t>,</w:t>
      </w:r>
      <w:r w:rsidRPr="00746656">
        <w:rPr>
          <w:rFonts w:asciiTheme="majorHAnsi" w:hAnsiTheme="majorHAnsi" w:cstheme="majorHAnsi"/>
          <w:szCs w:val="20"/>
        </w:rPr>
        <w:t xml:space="preserve"> der modtager grundbeløb at falde til ca. </w:t>
      </w:r>
      <w:r w:rsidR="007836DC" w:rsidRPr="00746656">
        <w:rPr>
          <w:rFonts w:asciiTheme="majorHAnsi" w:hAnsiTheme="majorHAnsi" w:cstheme="majorHAnsi"/>
          <w:szCs w:val="20"/>
        </w:rPr>
        <w:t>25</w:t>
      </w:r>
      <w:r w:rsidRPr="00746656">
        <w:rPr>
          <w:rFonts w:asciiTheme="majorHAnsi" w:hAnsiTheme="majorHAnsi" w:cstheme="majorHAnsi"/>
          <w:szCs w:val="20"/>
        </w:rPr>
        <w:t xml:space="preserve"> mio. kr. mod en forventning om </w:t>
      </w:r>
      <w:r w:rsidR="007836DC" w:rsidRPr="00746656">
        <w:rPr>
          <w:rFonts w:asciiTheme="majorHAnsi" w:hAnsiTheme="majorHAnsi" w:cstheme="majorHAnsi"/>
          <w:szCs w:val="20"/>
        </w:rPr>
        <w:t>170 mio. kr. i 2019</w:t>
      </w:r>
      <w:r w:rsidRPr="00746656">
        <w:rPr>
          <w:rFonts w:asciiTheme="majorHAnsi" w:hAnsiTheme="majorHAnsi" w:cstheme="majorHAnsi"/>
          <w:szCs w:val="20"/>
        </w:rPr>
        <w:t xml:space="preserve"> ved sidste kvartalsfastsættelse.</w:t>
      </w:r>
    </w:p>
    <w:sectPr w:rsidR="00F60F39" w:rsidSect="000A08E2">
      <w:headerReference w:type="default" r:id="rId8"/>
      <w:footerReference w:type="default" r:id="rId9"/>
      <w:headerReference w:type="first" r:id="rId10"/>
      <w:footerReference w:type="first" r:id="rId11"/>
      <w:pgSz w:w="11906" w:h="16838" w:code="9"/>
      <w:pgMar w:top="2767" w:right="3260" w:bottom="170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C2B" w:rsidRDefault="00E25C2B" w:rsidP="008969C1">
      <w:pPr>
        <w:spacing w:line="240" w:lineRule="auto"/>
      </w:pPr>
      <w:r>
        <w:separator/>
      </w:r>
    </w:p>
  </w:endnote>
  <w:endnote w:type="continuationSeparator" w:id="0">
    <w:p w:rsidR="00E25C2B" w:rsidRDefault="00E25C2B" w:rsidP="0089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9C1" w:rsidRPr="002A4EDA" w:rsidRDefault="008969C1">
    <w:pPr>
      <w:pStyle w:val="Sidefod"/>
    </w:pPr>
    <w:r w:rsidRPr="002A4EDA">
      <w:t xml:space="preserve">Side </w:t>
    </w:r>
    <w:r w:rsidRPr="002A4EDA">
      <w:fldChar w:fldCharType="begin"/>
    </w:r>
    <w:r w:rsidRPr="002A4EDA">
      <w:instrText xml:space="preserve"> PAGE </w:instrText>
    </w:r>
    <w:r w:rsidRPr="002A4EDA">
      <w:fldChar w:fldCharType="separate"/>
    </w:r>
    <w:r w:rsidR="00B32509">
      <w:rPr>
        <w:noProof/>
      </w:rPr>
      <w:t>2</w:t>
    </w:r>
    <w:r w:rsidRPr="002A4EDA">
      <w:fldChar w:fldCharType="end"/>
    </w:r>
    <w:r w:rsidRPr="002A4EDA">
      <w:t>/</w:t>
    </w:r>
    <w:fldSimple w:instr=" NUMPAGES ">
      <w:r w:rsidR="00B32509">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9C1" w:rsidRPr="002A4EDA" w:rsidRDefault="00BA0FCB">
    <w:pPr>
      <w:pStyle w:val="Sidefod"/>
    </w:pPr>
    <w:r w:rsidRPr="002A4EDA">
      <w:rPr>
        <w:noProof/>
        <w:lang w:eastAsia="da-DK"/>
      </w:rPr>
      <mc:AlternateContent>
        <mc:Choice Requires="wps">
          <w:drawing>
            <wp:anchor distT="0" distB="0" distL="114300" distR="114300" simplePos="0" relativeHeight="251659264" behindDoc="0" locked="0" layoutInCell="1" allowOverlap="1" wp14:anchorId="6840FC08" wp14:editId="20119F7E">
              <wp:simplePos x="0" y="0"/>
              <wp:positionH relativeFrom="page">
                <wp:posOffset>5614988</wp:posOffset>
              </wp:positionH>
              <wp:positionV relativeFrom="page">
                <wp:posOffset>8943975</wp:posOffset>
              </wp:positionV>
              <wp:extent cx="1747520" cy="1433513"/>
              <wp:effectExtent l="0" t="0" r="0" b="0"/>
              <wp:wrapNone/>
              <wp:docPr id="2" name="Tekstboks 2"/>
              <wp:cNvGraphicFramePr/>
              <a:graphic xmlns:a="http://schemas.openxmlformats.org/drawingml/2006/main">
                <a:graphicData uri="http://schemas.microsoft.com/office/word/2010/wordprocessingShape">
                  <wps:wsp>
                    <wps:cNvSpPr txBox="1"/>
                    <wps:spPr>
                      <a:xfrm>
                        <a:off x="0" y="0"/>
                        <a:ext cx="1747520" cy="14335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7419" w:rsidRDefault="00110084" w:rsidP="003B7D18">
                          <w:pPr>
                            <w:spacing w:line="192" w:lineRule="atLeast"/>
                            <w:rPr>
                              <w:b/>
                              <w:sz w:val="16"/>
                              <w:szCs w:val="16"/>
                            </w:rPr>
                          </w:pPr>
                          <w:r w:rsidRPr="00110084">
                            <w:rPr>
                              <w:b/>
                              <w:sz w:val="16"/>
                              <w:szCs w:val="16"/>
                            </w:rPr>
                            <w:t>Energistyrelsen</w:t>
                          </w:r>
                        </w:p>
                        <w:p w:rsidR="00AB4885" w:rsidRPr="00AB4885" w:rsidRDefault="00AB4885" w:rsidP="00F714AB">
                          <w:pPr>
                            <w:spacing w:line="192" w:lineRule="atLeast"/>
                            <w:rPr>
                              <w:sz w:val="16"/>
                              <w:szCs w:val="16"/>
                            </w:rPr>
                          </w:pPr>
                        </w:p>
                        <w:p w:rsidR="004B739C" w:rsidRDefault="004B739C" w:rsidP="004B739C">
                          <w:pPr>
                            <w:spacing w:line="192" w:lineRule="atLeast"/>
                            <w:rPr>
                              <w:sz w:val="16"/>
                              <w:szCs w:val="16"/>
                            </w:rPr>
                          </w:pPr>
                          <w:r>
                            <w:rPr>
                              <w:sz w:val="16"/>
                              <w:szCs w:val="16"/>
                            </w:rPr>
                            <w:t>Carsten Niebuhrs Gade 43</w:t>
                          </w:r>
                        </w:p>
                        <w:p w:rsidR="004B739C" w:rsidRDefault="004B739C" w:rsidP="004B739C">
                          <w:pPr>
                            <w:spacing w:line="192" w:lineRule="atLeast"/>
                            <w:rPr>
                              <w:sz w:val="16"/>
                              <w:szCs w:val="16"/>
                            </w:rPr>
                          </w:pPr>
                          <w:r>
                            <w:rPr>
                              <w:sz w:val="16"/>
                              <w:szCs w:val="16"/>
                            </w:rPr>
                            <w:t>1577 København V</w:t>
                          </w:r>
                        </w:p>
                        <w:p w:rsidR="00AB4885" w:rsidRPr="00F714AB" w:rsidRDefault="00AB4885" w:rsidP="00F714AB">
                          <w:pPr>
                            <w:spacing w:line="192" w:lineRule="atLeast"/>
                            <w:rPr>
                              <w:sz w:val="16"/>
                              <w:szCs w:val="16"/>
                            </w:rPr>
                          </w:pPr>
                        </w:p>
                        <w:p w:rsidR="00110084" w:rsidRPr="00110084" w:rsidRDefault="00110084" w:rsidP="00110084">
                          <w:pPr>
                            <w:spacing w:line="192" w:lineRule="atLeast"/>
                            <w:rPr>
                              <w:sz w:val="16"/>
                              <w:szCs w:val="16"/>
                            </w:rPr>
                          </w:pPr>
                          <w:r w:rsidRPr="00110084">
                            <w:rPr>
                              <w:sz w:val="16"/>
                              <w:szCs w:val="16"/>
                            </w:rPr>
                            <w:t>T: +45 3392 6700</w:t>
                          </w:r>
                        </w:p>
                        <w:p w:rsidR="00DA7419" w:rsidRPr="00D12AD0" w:rsidRDefault="00110084" w:rsidP="00110084">
                          <w:pPr>
                            <w:spacing w:line="192" w:lineRule="atLeast"/>
                            <w:rPr>
                              <w:sz w:val="16"/>
                              <w:szCs w:val="16"/>
                              <w:lang w:val="de-AT"/>
                            </w:rPr>
                          </w:pPr>
                          <w:r w:rsidRPr="00D12AD0">
                            <w:rPr>
                              <w:sz w:val="16"/>
                              <w:szCs w:val="16"/>
                              <w:lang w:val="de-AT"/>
                            </w:rPr>
                            <w:t>E: ens@ens.dk</w:t>
                          </w:r>
                        </w:p>
                        <w:p w:rsidR="00AB4885" w:rsidRPr="00D12AD0" w:rsidRDefault="00AB4885" w:rsidP="00F714AB">
                          <w:pPr>
                            <w:spacing w:line="192" w:lineRule="atLeast"/>
                            <w:rPr>
                              <w:sz w:val="16"/>
                              <w:szCs w:val="16"/>
                              <w:lang w:val="de-AT"/>
                            </w:rPr>
                          </w:pPr>
                        </w:p>
                        <w:p w:rsidR="00DA7419" w:rsidRPr="00D12AD0" w:rsidRDefault="005340A7" w:rsidP="00F714AB">
                          <w:pPr>
                            <w:spacing w:line="192" w:lineRule="atLeast"/>
                            <w:rPr>
                              <w:sz w:val="16"/>
                              <w:szCs w:val="16"/>
                              <w:lang w:val="de-AT"/>
                            </w:rPr>
                          </w:pPr>
                          <w:r w:rsidRPr="00D12AD0">
                            <w:rPr>
                              <w:sz w:val="16"/>
                              <w:szCs w:val="16"/>
                              <w:lang w:val="de-AT"/>
                            </w:rPr>
                            <w:t>www.</w:t>
                          </w:r>
                          <w:r w:rsidR="00110084" w:rsidRPr="00D12AD0">
                            <w:rPr>
                              <w:sz w:val="16"/>
                              <w:szCs w:val="16"/>
                              <w:lang w:val="de-AT"/>
                            </w:rPr>
                            <w:t>ens</w:t>
                          </w:r>
                          <w:r w:rsidR="00DA7419" w:rsidRPr="00D12AD0">
                            <w:rPr>
                              <w:sz w:val="16"/>
                              <w:szCs w:val="16"/>
                              <w:lang w:val="de-AT"/>
                            </w:rPr>
                            <w:t>.dk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0FC08" id="_x0000_t202" coordsize="21600,21600" o:spt="202" path="m,l,21600r21600,l21600,xe">
              <v:stroke joinstyle="miter"/>
              <v:path gradientshapeok="t" o:connecttype="rect"/>
            </v:shapetype>
            <v:shape id="Tekstboks 2" o:spid="_x0000_s1026" type="#_x0000_t202" style="position:absolute;margin-left:442.15pt;margin-top:704.25pt;width:137.6pt;height:112.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" filled="f" stroked="f" strokeweight=".5pt">
              <v:textbox>
                <w:txbxContent>
                  <w:p w:rsidR="00DA7419" w:rsidRDefault="00110084" w:rsidP="003B7D18">
                    <w:pPr>
                      <w:spacing w:line="192" w:lineRule="atLeast"/>
                      <w:rPr>
                        <w:b/>
                        <w:sz w:val="16"/>
                        <w:szCs w:val="16"/>
                      </w:rPr>
                    </w:pPr>
                    <w:r w:rsidRPr="00110084">
                      <w:rPr>
                        <w:b/>
                        <w:sz w:val="16"/>
                        <w:szCs w:val="16"/>
                      </w:rPr>
                      <w:t>Energistyrelsen</w:t>
                    </w:r>
                  </w:p>
                  <w:p w:rsidR="00AB4885" w:rsidRPr="00AB4885" w:rsidRDefault="00AB4885" w:rsidP="00F714AB">
                    <w:pPr>
                      <w:spacing w:line="192" w:lineRule="atLeast"/>
                      <w:rPr>
                        <w:sz w:val="16"/>
                        <w:szCs w:val="16"/>
                      </w:rPr>
                    </w:pPr>
                  </w:p>
                  <w:p w:rsidR="004B739C" w:rsidRDefault="004B739C" w:rsidP="004B739C">
                    <w:pPr>
                      <w:spacing w:line="192" w:lineRule="atLeast"/>
                      <w:rPr>
                        <w:sz w:val="16"/>
                        <w:szCs w:val="16"/>
                      </w:rPr>
                    </w:pPr>
                    <w:r>
                      <w:rPr>
                        <w:sz w:val="16"/>
                        <w:szCs w:val="16"/>
                      </w:rPr>
                      <w:t>Carsten Niebuhrs Gade 43</w:t>
                    </w:r>
                  </w:p>
                  <w:p w:rsidR="004B739C" w:rsidRDefault="004B739C" w:rsidP="004B739C">
                    <w:pPr>
                      <w:spacing w:line="192" w:lineRule="atLeast"/>
                      <w:rPr>
                        <w:sz w:val="16"/>
                        <w:szCs w:val="16"/>
                      </w:rPr>
                    </w:pPr>
                    <w:r>
                      <w:rPr>
                        <w:sz w:val="16"/>
                        <w:szCs w:val="16"/>
                      </w:rPr>
                      <w:t>1577 København V</w:t>
                    </w:r>
                  </w:p>
                  <w:p w:rsidR="00AB4885" w:rsidRPr="00F714AB" w:rsidRDefault="00AB4885" w:rsidP="00F714AB">
                    <w:pPr>
                      <w:spacing w:line="192" w:lineRule="atLeast"/>
                      <w:rPr>
                        <w:sz w:val="16"/>
                        <w:szCs w:val="16"/>
                      </w:rPr>
                    </w:pPr>
                  </w:p>
                  <w:p w:rsidR="00110084" w:rsidRPr="00110084" w:rsidRDefault="00110084" w:rsidP="00110084">
                    <w:pPr>
                      <w:spacing w:line="192" w:lineRule="atLeast"/>
                      <w:rPr>
                        <w:sz w:val="16"/>
                        <w:szCs w:val="16"/>
                      </w:rPr>
                    </w:pPr>
                    <w:r w:rsidRPr="00110084">
                      <w:rPr>
                        <w:sz w:val="16"/>
                        <w:szCs w:val="16"/>
                      </w:rPr>
                      <w:t>T: +45 3392 6700</w:t>
                    </w:r>
                  </w:p>
                  <w:p w:rsidR="00DA7419" w:rsidRPr="00D12AD0" w:rsidRDefault="00110084" w:rsidP="00110084">
                    <w:pPr>
                      <w:spacing w:line="192" w:lineRule="atLeast"/>
                      <w:rPr>
                        <w:sz w:val="16"/>
                        <w:szCs w:val="16"/>
                        <w:lang w:val="de-AT"/>
                      </w:rPr>
                    </w:pPr>
                    <w:r w:rsidRPr="00D12AD0">
                      <w:rPr>
                        <w:sz w:val="16"/>
                        <w:szCs w:val="16"/>
                        <w:lang w:val="de-AT"/>
                      </w:rPr>
                      <w:t>E: ens@ens.dk</w:t>
                    </w:r>
                  </w:p>
                  <w:p w:rsidR="00AB4885" w:rsidRPr="00D12AD0" w:rsidRDefault="00AB4885" w:rsidP="00F714AB">
                    <w:pPr>
                      <w:spacing w:line="192" w:lineRule="atLeast"/>
                      <w:rPr>
                        <w:sz w:val="16"/>
                        <w:szCs w:val="16"/>
                        <w:lang w:val="de-AT"/>
                      </w:rPr>
                    </w:pPr>
                  </w:p>
                  <w:p w:rsidR="00DA7419" w:rsidRPr="00D12AD0" w:rsidRDefault="005340A7" w:rsidP="00F714AB">
                    <w:pPr>
                      <w:spacing w:line="192" w:lineRule="atLeast"/>
                      <w:rPr>
                        <w:sz w:val="16"/>
                        <w:szCs w:val="16"/>
                        <w:lang w:val="de-AT"/>
                      </w:rPr>
                    </w:pPr>
                    <w:r w:rsidRPr="00D12AD0">
                      <w:rPr>
                        <w:sz w:val="16"/>
                        <w:szCs w:val="16"/>
                        <w:lang w:val="de-AT"/>
                      </w:rPr>
                      <w:t>www.</w:t>
                    </w:r>
                    <w:r w:rsidR="00110084" w:rsidRPr="00D12AD0">
                      <w:rPr>
                        <w:sz w:val="16"/>
                        <w:szCs w:val="16"/>
                        <w:lang w:val="de-AT"/>
                      </w:rPr>
                      <w:t>ens</w:t>
                    </w:r>
                    <w:r w:rsidR="00DA7419" w:rsidRPr="00D12AD0">
                      <w:rPr>
                        <w:sz w:val="16"/>
                        <w:szCs w:val="16"/>
                        <w:lang w:val="de-AT"/>
                      </w:rPr>
                      <w:t>.dk</w:t>
                    </w:r>
                  </w:p>
                </w:txbxContent>
              </v:textbox>
              <w10:wrap anchorx="page" anchory="page"/>
            </v:shape>
          </w:pict>
        </mc:Fallback>
      </mc:AlternateContent>
    </w:r>
    <w:r w:rsidR="008969C1" w:rsidRPr="002A4EDA">
      <w:t xml:space="preserve">Side </w:t>
    </w:r>
    <w:r w:rsidR="008969C1" w:rsidRPr="002A4EDA">
      <w:fldChar w:fldCharType="begin"/>
    </w:r>
    <w:r w:rsidR="008969C1" w:rsidRPr="002A4EDA">
      <w:instrText xml:space="preserve"> PAGE </w:instrText>
    </w:r>
    <w:r w:rsidR="008969C1" w:rsidRPr="002A4EDA">
      <w:fldChar w:fldCharType="separate"/>
    </w:r>
    <w:r w:rsidR="00B32509">
      <w:rPr>
        <w:noProof/>
      </w:rPr>
      <w:t>1</w:t>
    </w:r>
    <w:r w:rsidR="008969C1" w:rsidRPr="002A4EDA">
      <w:fldChar w:fldCharType="end"/>
    </w:r>
    <w:r w:rsidR="008969C1" w:rsidRPr="002A4EDA">
      <w:t>/</w:t>
    </w:r>
    <w:fldSimple w:instr=" NUMPAGES ">
      <w:r w:rsidR="00B32509">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C2B" w:rsidRDefault="00E25C2B" w:rsidP="008969C1">
      <w:pPr>
        <w:spacing w:line="240" w:lineRule="auto"/>
      </w:pPr>
      <w:r>
        <w:separator/>
      </w:r>
    </w:p>
  </w:footnote>
  <w:footnote w:type="continuationSeparator" w:id="0">
    <w:p w:rsidR="00E25C2B" w:rsidRDefault="00E25C2B" w:rsidP="008969C1">
      <w:pPr>
        <w:spacing w:line="240" w:lineRule="auto"/>
      </w:pPr>
      <w:r>
        <w:continuationSeparator/>
      </w:r>
    </w:p>
  </w:footnote>
  <w:footnote w:id="1">
    <w:p w:rsidR="004C0592" w:rsidRDefault="004C0592" w:rsidP="004C0592">
      <w:pPr>
        <w:autoSpaceDE w:val="0"/>
        <w:autoSpaceDN w:val="0"/>
        <w:adjustRightInd w:val="0"/>
        <w:spacing w:line="240" w:lineRule="auto"/>
      </w:pPr>
      <w:r>
        <w:rPr>
          <w:rStyle w:val="Fodnotehenvisning"/>
        </w:rPr>
        <w:footnoteRef/>
      </w:r>
      <w:r>
        <w:t xml:space="preserve"> </w:t>
      </w:r>
      <w:r w:rsidRPr="00404ABF">
        <w:rPr>
          <w:sz w:val="14"/>
        </w:rPr>
        <w:t xml:space="preserve">De realiserede markedspriser for el er historisk realiseret gennemsnitligt 10 pct. under forwardpriserne. Som følge heraf </w:t>
      </w:r>
      <w:r w:rsidR="00F05211">
        <w:rPr>
          <w:sz w:val="14"/>
        </w:rPr>
        <w:t>reduceres</w:t>
      </w:r>
      <w:r w:rsidRPr="00404ABF">
        <w:rPr>
          <w:sz w:val="14"/>
        </w:rPr>
        <w:t xml:space="preserve"> forwardpriserne med 10 pct. ved </w:t>
      </w:r>
      <w:r w:rsidR="00F05211">
        <w:rPr>
          <w:sz w:val="14"/>
        </w:rPr>
        <w:t xml:space="preserve">anvendelse til fastsættelse af PSO-tariffen </w:t>
      </w:r>
      <w:r>
        <w:rPr>
          <w:sz w:val="14"/>
        </w:rPr>
        <w:t xml:space="preserve">med henblik på at </w:t>
      </w:r>
      <w:r w:rsidRPr="00404ABF">
        <w:rPr>
          <w:sz w:val="14"/>
        </w:rPr>
        <w:t>minimere eventuel over-/underdækning.</w:t>
      </w:r>
    </w:p>
    <w:p w:rsidR="004C0592" w:rsidRDefault="004C0592">
      <w:pPr>
        <w:pStyle w:val="Fod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9C1" w:rsidRDefault="00804D82">
    <w:pPr>
      <w:pStyle w:val="Sidehoved"/>
    </w:pPr>
    <w:r>
      <w:rPr>
        <w:noProof/>
        <w:lang w:eastAsia="da-DK"/>
      </w:rPr>
      <w:drawing>
        <wp:anchor distT="0" distB="0" distL="114300" distR="114300" simplePos="0" relativeHeight="251675648" behindDoc="0" locked="0" layoutInCell="1" allowOverlap="1" wp14:anchorId="122F5A61" wp14:editId="3DAB05F1">
          <wp:simplePos x="0" y="0"/>
          <wp:positionH relativeFrom="page">
            <wp:posOffset>4842510</wp:posOffset>
          </wp:positionH>
          <wp:positionV relativeFrom="page">
            <wp:posOffset>396240</wp:posOffset>
          </wp:positionV>
          <wp:extent cx="2041200" cy="694800"/>
          <wp:effectExtent l="0" t="0" r="0" b="0"/>
          <wp:wrapNone/>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_RGB_DK.png"/>
                  <pic:cNvPicPr/>
                </pic:nvPicPr>
                <pic:blipFill>
                  <a:blip r:embed="rId1">
                    <a:extLst>
                      <a:ext uri="{28A0092B-C50C-407E-A947-70E740481C1C}">
                        <a14:useLocalDpi xmlns:a14="http://schemas.microsoft.com/office/drawing/2010/main" val="0"/>
                      </a:ext>
                    </a:extLst>
                  </a:blip>
                  <a:stretch>
                    <a:fillRect/>
                  </a:stretch>
                </pic:blipFill>
                <pic:spPr>
                  <a:xfrm>
                    <a:off x="0" y="0"/>
                    <a:ext cx="2041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9C1" w:rsidRDefault="00804D82">
    <w:pPr>
      <w:pStyle w:val="Sidehoved"/>
    </w:pPr>
    <w:r>
      <w:rPr>
        <w:noProof/>
        <w:lang w:eastAsia="da-DK"/>
      </w:rPr>
      <w:drawing>
        <wp:anchor distT="0" distB="0" distL="114300" distR="114300" simplePos="0" relativeHeight="251673600" behindDoc="0" locked="0" layoutInCell="1" allowOverlap="1" wp14:anchorId="650FCC0F" wp14:editId="2A144FAA">
          <wp:simplePos x="0" y="0"/>
          <wp:positionH relativeFrom="page">
            <wp:posOffset>4842510</wp:posOffset>
          </wp:positionH>
          <wp:positionV relativeFrom="page">
            <wp:posOffset>396875</wp:posOffset>
          </wp:positionV>
          <wp:extent cx="2041200" cy="694800"/>
          <wp:effectExtent l="0" t="0" r="0" b="0"/>
          <wp:wrapNone/>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_RGB_DK.png"/>
                  <pic:cNvPicPr/>
                </pic:nvPicPr>
                <pic:blipFill>
                  <a:blip r:embed="rId1">
                    <a:extLst>
                      <a:ext uri="{28A0092B-C50C-407E-A947-70E740481C1C}">
                        <a14:useLocalDpi xmlns:a14="http://schemas.microsoft.com/office/drawing/2010/main" val="0"/>
                      </a:ext>
                    </a:extLst>
                  </a:blip>
                  <a:stretch>
                    <a:fillRect/>
                  </a:stretch>
                </pic:blipFill>
                <pic:spPr>
                  <a:xfrm>
                    <a:off x="0" y="0"/>
                    <a:ext cx="2041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FC6777C"/>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66C06050"/>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9CB6606"/>
    <w:multiLevelType w:val="hybridMultilevel"/>
    <w:tmpl w:val="0B7279D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4E001EC"/>
    <w:multiLevelType w:val="hybridMultilevel"/>
    <w:tmpl w:val="DEAAC7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70B3458"/>
    <w:multiLevelType w:val="hybridMultilevel"/>
    <w:tmpl w:val="8654CF48"/>
    <w:lvl w:ilvl="0" w:tplc="EE5E4774">
      <w:start w:val="1"/>
      <w:numFmt w:val="bullet"/>
      <w:lvlText w:val="-"/>
      <w:lvlJc w:val="left"/>
      <w:pPr>
        <w:ind w:left="465" w:hanging="360"/>
      </w:pPr>
      <w:rPr>
        <w:rFonts w:ascii="Calibri" w:eastAsiaTheme="minorHAnsi" w:hAnsi="Calibri" w:cstheme="minorBidi" w:hint="default"/>
      </w:rPr>
    </w:lvl>
    <w:lvl w:ilvl="1" w:tplc="04060003" w:tentative="1">
      <w:start w:val="1"/>
      <w:numFmt w:val="bullet"/>
      <w:lvlText w:val="o"/>
      <w:lvlJc w:val="left"/>
      <w:pPr>
        <w:ind w:left="1185" w:hanging="360"/>
      </w:pPr>
      <w:rPr>
        <w:rFonts w:ascii="Courier New" w:hAnsi="Courier New" w:cs="Courier New" w:hint="default"/>
      </w:rPr>
    </w:lvl>
    <w:lvl w:ilvl="2" w:tplc="04060005" w:tentative="1">
      <w:start w:val="1"/>
      <w:numFmt w:val="bullet"/>
      <w:lvlText w:val=""/>
      <w:lvlJc w:val="left"/>
      <w:pPr>
        <w:ind w:left="1905" w:hanging="360"/>
      </w:pPr>
      <w:rPr>
        <w:rFonts w:ascii="Wingdings" w:hAnsi="Wingdings" w:hint="default"/>
      </w:rPr>
    </w:lvl>
    <w:lvl w:ilvl="3" w:tplc="04060001" w:tentative="1">
      <w:start w:val="1"/>
      <w:numFmt w:val="bullet"/>
      <w:lvlText w:val=""/>
      <w:lvlJc w:val="left"/>
      <w:pPr>
        <w:ind w:left="2625" w:hanging="360"/>
      </w:pPr>
      <w:rPr>
        <w:rFonts w:ascii="Symbol" w:hAnsi="Symbol" w:hint="default"/>
      </w:rPr>
    </w:lvl>
    <w:lvl w:ilvl="4" w:tplc="04060003" w:tentative="1">
      <w:start w:val="1"/>
      <w:numFmt w:val="bullet"/>
      <w:lvlText w:val="o"/>
      <w:lvlJc w:val="left"/>
      <w:pPr>
        <w:ind w:left="3345" w:hanging="360"/>
      </w:pPr>
      <w:rPr>
        <w:rFonts w:ascii="Courier New" w:hAnsi="Courier New" w:cs="Courier New" w:hint="default"/>
      </w:rPr>
    </w:lvl>
    <w:lvl w:ilvl="5" w:tplc="04060005" w:tentative="1">
      <w:start w:val="1"/>
      <w:numFmt w:val="bullet"/>
      <w:lvlText w:val=""/>
      <w:lvlJc w:val="left"/>
      <w:pPr>
        <w:ind w:left="4065" w:hanging="360"/>
      </w:pPr>
      <w:rPr>
        <w:rFonts w:ascii="Wingdings" w:hAnsi="Wingdings" w:hint="default"/>
      </w:rPr>
    </w:lvl>
    <w:lvl w:ilvl="6" w:tplc="04060001" w:tentative="1">
      <w:start w:val="1"/>
      <w:numFmt w:val="bullet"/>
      <w:lvlText w:val=""/>
      <w:lvlJc w:val="left"/>
      <w:pPr>
        <w:ind w:left="4785" w:hanging="360"/>
      </w:pPr>
      <w:rPr>
        <w:rFonts w:ascii="Symbol" w:hAnsi="Symbol" w:hint="default"/>
      </w:rPr>
    </w:lvl>
    <w:lvl w:ilvl="7" w:tplc="04060003" w:tentative="1">
      <w:start w:val="1"/>
      <w:numFmt w:val="bullet"/>
      <w:lvlText w:val="o"/>
      <w:lvlJc w:val="left"/>
      <w:pPr>
        <w:ind w:left="5505" w:hanging="360"/>
      </w:pPr>
      <w:rPr>
        <w:rFonts w:ascii="Courier New" w:hAnsi="Courier New" w:cs="Courier New" w:hint="default"/>
      </w:rPr>
    </w:lvl>
    <w:lvl w:ilvl="8" w:tplc="04060005" w:tentative="1">
      <w:start w:val="1"/>
      <w:numFmt w:val="bullet"/>
      <w:lvlText w:val=""/>
      <w:lvlJc w:val="left"/>
      <w:pPr>
        <w:ind w:left="6225" w:hanging="360"/>
      </w:pPr>
      <w:rPr>
        <w:rFonts w:ascii="Wingdings" w:hAnsi="Wingdings" w:hint="default"/>
      </w:rPr>
    </w:lvl>
  </w:abstractNum>
  <w:abstractNum w:abstractNumId="5" w15:restartNumberingAfterBreak="0">
    <w:nsid w:val="22293A43"/>
    <w:multiLevelType w:val="hybridMultilevel"/>
    <w:tmpl w:val="776AB16E"/>
    <w:lvl w:ilvl="0" w:tplc="9FFC06FE">
      <w:start w:val="2018"/>
      <w:numFmt w:val="decimal"/>
      <w:lvlText w:val="%1"/>
      <w:lvlJc w:val="left"/>
      <w:pPr>
        <w:ind w:left="780" w:hanging="4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A7B7C53"/>
    <w:multiLevelType w:val="multilevel"/>
    <w:tmpl w:val="C5E43590"/>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0343F3"/>
    <w:multiLevelType w:val="multilevel"/>
    <w:tmpl w:val="4992D4C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811553D"/>
    <w:multiLevelType w:val="hybridMultilevel"/>
    <w:tmpl w:val="9C6427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4CD68FB"/>
    <w:multiLevelType w:val="hybridMultilevel"/>
    <w:tmpl w:val="9898A4C0"/>
    <w:lvl w:ilvl="0" w:tplc="259ACB02">
      <w:start w:val="2018"/>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8D74F4F"/>
    <w:multiLevelType w:val="hybridMultilevel"/>
    <w:tmpl w:val="F4F04FB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9"/>
  </w:num>
  <w:num w:numId="5">
    <w:abstractNumId w:val="3"/>
  </w:num>
  <w:num w:numId="6">
    <w:abstractNumId w:val="8"/>
  </w:num>
  <w:num w:numId="7">
    <w:abstractNumId w:val="7"/>
  </w:num>
  <w:num w:numId="8">
    <w:abstractNumId w:val="1"/>
  </w:num>
  <w:num w:numId="9">
    <w:abstractNumId w:val="6"/>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A57"/>
    <w:rsid w:val="00001F1E"/>
    <w:rsid w:val="00022817"/>
    <w:rsid w:val="00036061"/>
    <w:rsid w:val="00051A26"/>
    <w:rsid w:val="00065C74"/>
    <w:rsid w:val="00082709"/>
    <w:rsid w:val="000833B7"/>
    <w:rsid w:val="00086163"/>
    <w:rsid w:val="000910FF"/>
    <w:rsid w:val="000A08E2"/>
    <w:rsid w:val="000B3539"/>
    <w:rsid w:val="000C0B22"/>
    <w:rsid w:val="000D6326"/>
    <w:rsid w:val="000E124E"/>
    <w:rsid w:val="000E52A7"/>
    <w:rsid w:val="00110084"/>
    <w:rsid w:val="00140C61"/>
    <w:rsid w:val="00145C58"/>
    <w:rsid w:val="00147BA4"/>
    <w:rsid w:val="001519CB"/>
    <w:rsid w:val="001563B0"/>
    <w:rsid w:val="001A3D34"/>
    <w:rsid w:val="001C0EFD"/>
    <w:rsid w:val="001D7419"/>
    <w:rsid w:val="001F0148"/>
    <w:rsid w:val="002059D8"/>
    <w:rsid w:val="00217B4F"/>
    <w:rsid w:val="00220546"/>
    <w:rsid w:val="00223FB3"/>
    <w:rsid w:val="00234402"/>
    <w:rsid w:val="002611C9"/>
    <w:rsid w:val="00274017"/>
    <w:rsid w:val="00274C0E"/>
    <w:rsid w:val="0027768F"/>
    <w:rsid w:val="002861AB"/>
    <w:rsid w:val="00296E6F"/>
    <w:rsid w:val="002A4EDA"/>
    <w:rsid w:val="002C135B"/>
    <w:rsid w:val="002E4431"/>
    <w:rsid w:val="002F2646"/>
    <w:rsid w:val="00304F08"/>
    <w:rsid w:val="00326F7C"/>
    <w:rsid w:val="0034007A"/>
    <w:rsid w:val="00347BCC"/>
    <w:rsid w:val="00351646"/>
    <w:rsid w:val="00352DBE"/>
    <w:rsid w:val="00357CD9"/>
    <w:rsid w:val="00364DC2"/>
    <w:rsid w:val="00366A57"/>
    <w:rsid w:val="003755AC"/>
    <w:rsid w:val="003B15AA"/>
    <w:rsid w:val="003B31EC"/>
    <w:rsid w:val="003B5DBB"/>
    <w:rsid w:val="003B7D18"/>
    <w:rsid w:val="003C3FE6"/>
    <w:rsid w:val="00404ABF"/>
    <w:rsid w:val="004109C6"/>
    <w:rsid w:val="004129C4"/>
    <w:rsid w:val="004163B8"/>
    <w:rsid w:val="004456A7"/>
    <w:rsid w:val="004704DA"/>
    <w:rsid w:val="00474BCB"/>
    <w:rsid w:val="00475EC8"/>
    <w:rsid w:val="004A52BB"/>
    <w:rsid w:val="004B1CCA"/>
    <w:rsid w:val="004B739C"/>
    <w:rsid w:val="004C0592"/>
    <w:rsid w:val="004D4B82"/>
    <w:rsid w:val="004D5CFB"/>
    <w:rsid w:val="004E753C"/>
    <w:rsid w:val="004F5C81"/>
    <w:rsid w:val="00517062"/>
    <w:rsid w:val="00527652"/>
    <w:rsid w:val="00531DC6"/>
    <w:rsid w:val="005340A7"/>
    <w:rsid w:val="00536E48"/>
    <w:rsid w:val="00552911"/>
    <w:rsid w:val="00575583"/>
    <w:rsid w:val="005A13DB"/>
    <w:rsid w:val="005D2503"/>
    <w:rsid w:val="005E43E3"/>
    <w:rsid w:val="005F6E23"/>
    <w:rsid w:val="006048CC"/>
    <w:rsid w:val="006202F5"/>
    <w:rsid w:val="006332F8"/>
    <w:rsid w:val="00636CED"/>
    <w:rsid w:val="006474ED"/>
    <w:rsid w:val="00665F29"/>
    <w:rsid w:val="00667277"/>
    <w:rsid w:val="00667B41"/>
    <w:rsid w:val="00667FF1"/>
    <w:rsid w:val="006803EB"/>
    <w:rsid w:val="00682AD6"/>
    <w:rsid w:val="00685221"/>
    <w:rsid w:val="00694D01"/>
    <w:rsid w:val="006B0454"/>
    <w:rsid w:val="006C3BC6"/>
    <w:rsid w:val="006C59FA"/>
    <w:rsid w:val="006D6210"/>
    <w:rsid w:val="006E691D"/>
    <w:rsid w:val="006F4819"/>
    <w:rsid w:val="00721870"/>
    <w:rsid w:val="00731A8C"/>
    <w:rsid w:val="00732B12"/>
    <w:rsid w:val="007355D4"/>
    <w:rsid w:val="00746656"/>
    <w:rsid w:val="007612A8"/>
    <w:rsid w:val="007636C2"/>
    <w:rsid w:val="0078024B"/>
    <w:rsid w:val="007836DC"/>
    <w:rsid w:val="007A0EDC"/>
    <w:rsid w:val="007B75E6"/>
    <w:rsid w:val="007D2DDB"/>
    <w:rsid w:val="007E1083"/>
    <w:rsid w:val="007F3C7E"/>
    <w:rsid w:val="00800E2B"/>
    <w:rsid w:val="00802C9E"/>
    <w:rsid w:val="00804D82"/>
    <w:rsid w:val="00810266"/>
    <w:rsid w:val="00811174"/>
    <w:rsid w:val="008176EC"/>
    <w:rsid w:val="0085255D"/>
    <w:rsid w:val="00870E13"/>
    <w:rsid w:val="008969C1"/>
    <w:rsid w:val="008E31FE"/>
    <w:rsid w:val="008F186C"/>
    <w:rsid w:val="008F2666"/>
    <w:rsid w:val="00923F35"/>
    <w:rsid w:val="00925420"/>
    <w:rsid w:val="009800C2"/>
    <w:rsid w:val="009847BA"/>
    <w:rsid w:val="009B072C"/>
    <w:rsid w:val="009D3FB5"/>
    <w:rsid w:val="009F381E"/>
    <w:rsid w:val="009F760C"/>
    <w:rsid w:val="00A46851"/>
    <w:rsid w:val="00A523C8"/>
    <w:rsid w:val="00A53C43"/>
    <w:rsid w:val="00A53E15"/>
    <w:rsid w:val="00A73E0E"/>
    <w:rsid w:val="00A9284C"/>
    <w:rsid w:val="00A97858"/>
    <w:rsid w:val="00AA78EE"/>
    <w:rsid w:val="00AB4885"/>
    <w:rsid w:val="00AC60EA"/>
    <w:rsid w:val="00AD0CC2"/>
    <w:rsid w:val="00AD5BB4"/>
    <w:rsid w:val="00B1566A"/>
    <w:rsid w:val="00B177D8"/>
    <w:rsid w:val="00B23EC6"/>
    <w:rsid w:val="00B24E4C"/>
    <w:rsid w:val="00B32509"/>
    <w:rsid w:val="00B338D6"/>
    <w:rsid w:val="00B34050"/>
    <w:rsid w:val="00B536E9"/>
    <w:rsid w:val="00B8468B"/>
    <w:rsid w:val="00BA0FCB"/>
    <w:rsid w:val="00BB0D6C"/>
    <w:rsid w:val="00BC4263"/>
    <w:rsid w:val="00BC6112"/>
    <w:rsid w:val="00BD2772"/>
    <w:rsid w:val="00BF0586"/>
    <w:rsid w:val="00BF2CC9"/>
    <w:rsid w:val="00BF7BE1"/>
    <w:rsid w:val="00C20E5C"/>
    <w:rsid w:val="00C43229"/>
    <w:rsid w:val="00C4750C"/>
    <w:rsid w:val="00C651CC"/>
    <w:rsid w:val="00C75559"/>
    <w:rsid w:val="00C84820"/>
    <w:rsid w:val="00CB2157"/>
    <w:rsid w:val="00CB3A7C"/>
    <w:rsid w:val="00CC0845"/>
    <w:rsid w:val="00CF63D9"/>
    <w:rsid w:val="00D07A9C"/>
    <w:rsid w:val="00D1257F"/>
    <w:rsid w:val="00D12AD0"/>
    <w:rsid w:val="00D12E7B"/>
    <w:rsid w:val="00D23229"/>
    <w:rsid w:val="00D357CF"/>
    <w:rsid w:val="00D40052"/>
    <w:rsid w:val="00D8096E"/>
    <w:rsid w:val="00D8649F"/>
    <w:rsid w:val="00D93447"/>
    <w:rsid w:val="00DA1D98"/>
    <w:rsid w:val="00DA7419"/>
    <w:rsid w:val="00DC1799"/>
    <w:rsid w:val="00DC2214"/>
    <w:rsid w:val="00DD1186"/>
    <w:rsid w:val="00DD3F18"/>
    <w:rsid w:val="00DD542A"/>
    <w:rsid w:val="00DE4EC7"/>
    <w:rsid w:val="00DE695A"/>
    <w:rsid w:val="00E0091E"/>
    <w:rsid w:val="00E06255"/>
    <w:rsid w:val="00E21727"/>
    <w:rsid w:val="00E240BE"/>
    <w:rsid w:val="00E25C2B"/>
    <w:rsid w:val="00E45166"/>
    <w:rsid w:val="00E452E8"/>
    <w:rsid w:val="00E65202"/>
    <w:rsid w:val="00E7785D"/>
    <w:rsid w:val="00E94498"/>
    <w:rsid w:val="00ED066E"/>
    <w:rsid w:val="00F05211"/>
    <w:rsid w:val="00F3314C"/>
    <w:rsid w:val="00F60F39"/>
    <w:rsid w:val="00F714AB"/>
    <w:rsid w:val="00F7404A"/>
    <w:rsid w:val="00F952DF"/>
    <w:rsid w:val="00FB4876"/>
    <w:rsid w:val="00FB5C5C"/>
    <w:rsid w:val="00FB70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9C4"/>
    <w:pPr>
      <w:spacing w:after="0" w:line="280" w:lineRule="atLeast"/>
    </w:pPr>
    <w:rPr>
      <w:rFonts w:ascii="Arial" w:hAnsi="Arial"/>
      <w:sz w:val="20"/>
    </w:rPr>
  </w:style>
  <w:style w:type="paragraph" w:styleId="Overskrift1">
    <w:name w:val="heading 1"/>
    <w:basedOn w:val="Normal"/>
    <w:next w:val="Normal"/>
    <w:link w:val="Overskrift1Tegn"/>
    <w:uiPriority w:val="9"/>
    <w:qFormat/>
    <w:rsid w:val="00366A57"/>
    <w:pPr>
      <w:keepNext/>
      <w:keepLines/>
      <w:spacing w:before="480"/>
      <w:outlineLvl w:val="0"/>
    </w:pPr>
    <w:rPr>
      <w:rFonts w:asciiTheme="majorHAnsi" w:eastAsiaTheme="majorEastAsia" w:hAnsiTheme="majorHAnsi" w:cstheme="majorBidi"/>
      <w:b/>
      <w:bCs/>
      <w:color w:val="00707D" w:themeColor="accent1" w:themeShade="BF"/>
      <w:sz w:val="28"/>
      <w:szCs w:val="28"/>
    </w:rPr>
  </w:style>
  <w:style w:type="paragraph" w:styleId="Overskrift2">
    <w:name w:val="heading 2"/>
    <w:basedOn w:val="Normal"/>
    <w:next w:val="Normal"/>
    <w:link w:val="Overskrift2Tegn"/>
    <w:uiPriority w:val="9"/>
    <w:unhideWhenUsed/>
    <w:qFormat/>
    <w:rsid w:val="00404ABF"/>
    <w:pPr>
      <w:keepNext/>
      <w:keepLines/>
      <w:spacing w:before="200"/>
      <w:outlineLvl w:val="1"/>
    </w:pPr>
    <w:rPr>
      <w:rFonts w:asciiTheme="majorHAnsi" w:eastAsiaTheme="majorEastAsia" w:hAnsiTheme="majorHAnsi" w:cstheme="majorBidi"/>
      <w:b/>
      <w:bCs/>
      <w:color w:val="0097A7"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0000FF" w:themeColor="hyperlink"/>
      <w:u w:val="single"/>
    </w:rPr>
  </w:style>
  <w:style w:type="character" w:customStyle="1" w:styleId="Overskrift1Tegn">
    <w:name w:val="Overskrift 1 Tegn"/>
    <w:basedOn w:val="Standardskrifttypeiafsnit"/>
    <w:link w:val="Overskrift1"/>
    <w:uiPriority w:val="9"/>
    <w:rsid w:val="00366A57"/>
    <w:rPr>
      <w:rFonts w:asciiTheme="majorHAnsi" w:eastAsiaTheme="majorEastAsia" w:hAnsiTheme="majorHAnsi" w:cstheme="majorBidi"/>
      <w:b/>
      <w:bCs/>
      <w:color w:val="00707D" w:themeColor="accent1" w:themeShade="BF"/>
      <w:sz w:val="28"/>
      <w:szCs w:val="28"/>
    </w:rPr>
  </w:style>
  <w:style w:type="table" w:styleId="Lysliste-farve1">
    <w:name w:val="Light List Accent 1"/>
    <w:basedOn w:val="Tabel-Normal"/>
    <w:uiPriority w:val="61"/>
    <w:rsid w:val="00366A57"/>
    <w:pPr>
      <w:spacing w:after="0" w:line="240" w:lineRule="auto"/>
    </w:pPr>
    <w:tblPr>
      <w:tblStyleRowBandSize w:val="1"/>
      <w:tblStyleColBandSize w:val="1"/>
      <w:tblBorders>
        <w:top w:val="single" w:sz="8" w:space="0" w:color="0097A7" w:themeColor="accent1"/>
        <w:left w:val="single" w:sz="8" w:space="0" w:color="0097A7" w:themeColor="accent1"/>
        <w:bottom w:val="single" w:sz="8" w:space="0" w:color="0097A7" w:themeColor="accent1"/>
        <w:right w:val="single" w:sz="8" w:space="0" w:color="0097A7" w:themeColor="accent1"/>
      </w:tblBorders>
    </w:tblPr>
    <w:tblStylePr w:type="firstRow">
      <w:pPr>
        <w:spacing w:before="0" w:after="0" w:line="240" w:lineRule="auto"/>
      </w:pPr>
      <w:rPr>
        <w:b/>
        <w:bCs/>
        <w:color w:val="FFFFFF" w:themeColor="background1"/>
      </w:rPr>
      <w:tblPr/>
      <w:tcPr>
        <w:shd w:val="clear" w:color="auto" w:fill="0097A7" w:themeFill="accent1"/>
      </w:tcPr>
    </w:tblStylePr>
    <w:tblStylePr w:type="lastRow">
      <w:pPr>
        <w:spacing w:before="0" w:after="0" w:line="240" w:lineRule="auto"/>
      </w:pPr>
      <w:rPr>
        <w:b/>
        <w:bCs/>
      </w:rPr>
      <w:tblPr/>
      <w:tcPr>
        <w:tcBorders>
          <w:top w:val="double" w:sz="6" w:space="0" w:color="0097A7" w:themeColor="accent1"/>
          <w:left w:val="single" w:sz="8" w:space="0" w:color="0097A7" w:themeColor="accent1"/>
          <w:bottom w:val="single" w:sz="8" w:space="0" w:color="0097A7" w:themeColor="accent1"/>
          <w:right w:val="single" w:sz="8" w:space="0" w:color="0097A7" w:themeColor="accent1"/>
        </w:tcBorders>
      </w:tcPr>
    </w:tblStylePr>
    <w:tblStylePr w:type="firstCol">
      <w:rPr>
        <w:b/>
        <w:bCs/>
      </w:rPr>
    </w:tblStylePr>
    <w:tblStylePr w:type="lastCol">
      <w:rPr>
        <w:b/>
        <w:bCs/>
      </w:rPr>
    </w:tblStylePr>
    <w:tblStylePr w:type="band1Vert">
      <w:tblPr/>
      <w:tcPr>
        <w:tcBorders>
          <w:top w:val="single" w:sz="8" w:space="0" w:color="0097A7" w:themeColor="accent1"/>
          <w:left w:val="single" w:sz="8" w:space="0" w:color="0097A7" w:themeColor="accent1"/>
          <w:bottom w:val="single" w:sz="8" w:space="0" w:color="0097A7" w:themeColor="accent1"/>
          <w:right w:val="single" w:sz="8" w:space="0" w:color="0097A7" w:themeColor="accent1"/>
        </w:tcBorders>
      </w:tcPr>
    </w:tblStylePr>
    <w:tblStylePr w:type="band1Horz">
      <w:tblPr/>
      <w:tcPr>
        <w:tcBorders>
          <w:top w:val="single" w:sz="8" w:space="0" w:color="0097A7" w:themeColor="accent1"/>
          <w:left w:val="single" w:sz="8" w:space="0" w:color="0097A7" w:themeColor="accent1"/>
          <w:bottom w:val="single" w:sz="8" w:space="0" w:color="0097A7" w:themeColor="accent1"/>
          <w:right w:val="single" w:sz="8" w:space="0" w:color="0097A7" w:themeColor="accent1"/>
        </w:tcBorders>
      </w:tcPr>
    </w:tblStylePr>
  </w:style>
  <w:style w:type="paragraph" w:styleId="Listeafsnit">
    <w:name w:val="List Paragraph"/>
    <w:basedOn w:val="Normal"/>
    <w:uiPriority w:val="34"/>
    <w:qFormat/>
    <w:rsid w:val="00366A57"/>
    <w:pPr>
      <w:ind w:left="720"/>
      <w:contextualSpacing/>
    </w:pPr>
  </w:style>
  <w:style w:type="paragraph" w:styleId="Opstilling-talellerbogst">
    <w:name w:val="List Number"/>
    <w:basedOn w:val="Normal"/>
    <w:uiPriority w:val="99"/>
    <w:semiHidden/>
    <w:unhideWhenUsed/>
    <w:rsid w:val="00366A57"/>
    <w:pPr>
      <w:numPr>
        <w:numId w:val="3"/>
      </w:numPr>
      <w:contextualSpacing/>
    </w:pPr>
  </w:style>
  <w:style w:type="paragraph" w:styleId="Fodnotetekst">
    <w:name w:val="footnote text"/>
    <w:basedOn w:val="Normal"/>
    <w:link w:val="FodnotetekstTegn"/>
    <w:uiPriority w:val="99"/>
    <w:semiHidden/>
    <w:unhideWhenUsed/>
    <w:rsid w:val="00404ABF"/>
    <w:pPr>
      <w:spacing w:line="240" w:lineRule="auto"/>
    </w:pPr>
    <w:rPr>
      <w:szCs w:val="20"/>
    </w:rPr>
  </w:style>
  <w:style w:type="character" w:customStyle="1" w:styleId="FodnotetekstTegn">
    <w:name w:val="Fodnotetekst Tegn"/>
    <w:basedOn w:val="Standardskrifttypeiafsnit"/>
    <w:link w:val="Fodnotetekst"/>
    <w:uiPriority w:val="99"/>
    <w:semiHidden/>
    <w:rsid w:val="00404ABF"/>
    <w:rPr>
      <w:rFonts w:ascii="Arial" w:hAnsi="Arial"/>
      <w:sz w:val="20"/>
      <w:szCs w:val="20"/>
    </w:rPr>
  </w:style>
  <w:style w:type="character" w:styleId="Fodnotehenvisning">
    <w:name w:val="footnote reference"/>
    <w:basedOn w:val="Standardskrifttypeiafsnit"/>
    <w:uiPriority w:val="99"/>
    <w:semiHidden/>
    <w:unhideWhenUsed/>
    <w:rsid w:val="00404ABF"/>
    <w:rPr>
      <w:vertAlign w:val="superscript"/>
    </w:rPr>
  </w:style>
  <w:style w:type="character" w:customStyle="1" w:styleId="Overskrift2Tegn">
    <w:name w:val="Overskrift 2 Tegn"/>
    <w:basedOn w:val="Standardskrifttypeiafsnit"/>
    <w:link w:val="Overskrift2"/>
    <w:uiPriority w:val="9"/>
    <w:rsid w:val="00404ABF"/>
    <w:rPr>
      <w:rFonts w:asciiTheme="majorHAnsi" w:eastAsiaTheme="majorEastAsia" w:hAnsiTheme="majorHAnsi" w:cstheme="majorBidi"/>
      <w:b/>
      <w:bCs/>
      <w:color w:val="0097A7" w:themeColor="accent1"/>
      <w:sz w:val="26"/>
      <w:szCs w:val="26"/>
    </w:rPr>
  </w:style>
  <w:style w:type="table" w:styleId="Lysliste-fremhvningsfarve2">
    <w:name w:val="Light List Accent 2"/>
    <w:basedOn w:val="Tabel-Normal"/>
    <w:uiPriority w:val="61"/>
    <w:rsid w:val="009847BA"/>
    <w:pPr>
      <w:spacing w:after="0" w:line="240" w:lineRule="auto"/>
    </w:pPr>
    <w:tblPr>
      <w:tblStyleRowBandSize w:val="1"/>
      <w:tblStyleColBandSize w:val="1"/>
      <w:tblBorders>
        <w:top w:val="single" w:sz="8" w:space="0" w:color="045C65" w:themeColor="accent2"/>
        <w:left w:val="single" w:sz="8" w:space="0" w:color="045C65" w:themeColor="accent2"/>
        <w:bottom w:val="single" w:sz="8" w:space="0" w:color="045C65" w:themeColor="accent2"/>
        <w:right w:val="single" w:sz="8" w:space="0" w:color="045C65" w:themeColor="accent2"/>
      </w:tblBorders>
    </w:tblPr>
    <w:tblStylePr w:type="firstRow">
      <w:pPr>
        <w:spacing w:before="0" w:after="0" w:line="240" w:lineRule="auto"/>
      </w:pPr>
      <w:rPr>
        <w:b/>
        <w:bCs/>
        <w:color w:val="FFFFFF" w:themeColor="background1"/>
      </w:rPr>
      <w:tblPr/>
      <w:tcPr>
        <w:shd w:val="clear" w:color="auto" w:fill="045C65" w:themeFill="accent2"/>
      </w:tcPr>
    </w:tblStylePr>
    <w:tblStylePr w:type="lastRow">
      <w:pPr>
        <w:spacing w:before="0" w:after="0" w:line="240" w:lineRule="auto"/>
      </w:pPr>
      <w:rPr>
        <w:b/>
        <w:bCs/>
      </w:rPr>
      <w:tblPr/>
      <w:tcPr>
        <w:tcBorders>
          <w:top w:val="double" w:sz="6" w:space="0" w:color="045C65" w:themeColor="accent2"/>
          <w:left w:val="single" w:sz="8" w:space="0" w:color="045C65" w:themeColor="accent2"/>
          <w:bottom w:val="single" w:sz="8" w:space="0" w:color="045C65" w:themeColor="accent2"/>
          <w:right w:val="single" w:sz="8" w:space="0" w:color="045C65" w:themeColor="accent2"/>
        </w:tcBorders>
      </w:tcPr>
    </w:tblStylePr>
    <w:tblStylePr w:type="firstCol">
      <w:rPr>
        <w:b/>
        <w:bCs/>
      </w:rPr>
    </w:tblStylePr>
    <w:tblStylePr w:type="lastCol">
      <w:rPr>
        <w:b/>
        <w:bCs/>
      </w:rPr>
    </w:tblStylePr>
    <w:tblStylePr w:type="band1Vert">
      <w:tblPr/>
      <w:tcPr>
        <w:tcBorders>
          <w:top w:val="single" w:sz="8" w:space="0" w:color="045C65" w:themeColor="accent2"/>
          <w:left w:val="single" w:sz="8" w:space="0" w:color="045C65" w:themeColor="accent2"/>
          <w:bottom w:val="single" w:sz="8" w:space="0" w:color="045C65" w:themeColor="accent2"/>
          <w:right w:val="single" w:sz="8" w:space="0" w:color="045C65" w:themeColor="accent2"/>
        </w:tcBorders>
      </w:tcPr>
    </w:tblStylePr>
    <w:tblStylePr w:type="band1Horz">
      <w:tblPr/>
      <w:tcPr>
        <w:tcBorders>
          <w:top w:val="single" w:sz="8" w:space="0" w:color="045C65" w:themeColor="accent2"/>
          <w:left w:val="single" w:sz="8" w:space="0" w:color="045C65" w:themeColor="accent2"/>
          <w:bottom w:val="single" w:sz="8" w:space="0" w:color="045C65" w:themeColor="accent2"/>
          <w:right w:val="single" w:sz="8" w:space="0" w:color="045C65" w:themeColor="accent2"/>
        </w:tcBorders>
      </w:tcPr>
    </w:tblStylePr>
  </w:style>
  <w:style w:type="character" w:styleId="Kommentarhenvisning">
    <w:name w:val="annotation reference"/>
    <w:basedOn w:val="Standardskrifttypeiafsnit"/>
    <w:uiPriority w:val="99"/>
    <w:semiHidden/>
    <w:unhideWhenUsed/>
    <w:rsid w:val="00326F7C"/>
    <w:rPr>
      <w:sz w:val="16"/>
      <w:szCs w:val="16"/>
    </w:rPr>
  </w:style>
  <w:style w:type="paragraph" w:styleId="Kommentartekst">
    <w:name w:val="annotation text"/>
    <w:basedOn w:val="Normal"/>
    <w:link w:val="KommentartekstTegn"/>
    <w:uiPriority w:val="99"/>
    <w:semiHidden/>
    <w:unhideWhenUsed/>
    <w:rsid w:val="00326F7C"/>
    <w:pPr>
      <w:spacing w:line="240" w:lineRule="auto"/>
    </w:pPr>
    <w:rPr>
      <w:szCs w:val="20"/>
    </w:rPr>
  </w:style>
  <w:style w:type="character" w:customStyle="1" w:styleId="KommentartekstTegn">
    <w:name w:val="Kommentartekst Tegn"/>
    <w:basedOn w:val="Standardskrifttypeiafsnit"/>
    <w:link w:val="Kommentartekst"/>
    <w:uiPriority w:val="99"/>
    <w:semiHidden/>
    <w:rsid w:val="00326F7C"/>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326F7C"/>
    <w:rPr>
      <w:b/>
      <w:bCs/>
    </w:rPr>
  </w:style>
  <w:style w:type="character" w:customStyle="1" w:styleId="KommentaremneTegn">
    <w:name w:val="Kommentaremne Tegn"/>
    <w:basedOn w:val="KommentartekstTegn"/>
    <w:link w:val="Kommentaremne"/>
    <w:uiPriority w:val="99"/>
    <w:semiHidden/>
    <w:rsid w:val="00326F7C"/>
    <w:rPr>
      <w:rFonts w:ascii="Arial" w:hAnsi="Arial"/>
      <w:b/>
      <w:bCs/>
      <w:sz w:val="20"/>
      <w:szCs w:val="20"/>
    </w:rPr>
  </w:style>
  <w:style w:type="paragraph" w:styleId="Opstilling-punkttegn">
    <w:name w:val="List Bullet"/>
    <w:basedOn w:val="Normal"/>
    <w:uiPriority w:val="99"/>
    <w:semiHidden/>
    <w:unhideWhenUsed/>
    <w:rsid w:val="00D8096E"/>
    <w:pPr>
      <w:numPr>
        <w:numId w:val="8"/>
      </w:numPr>
      <w:contextualSpacing/>
    </w:pPr>
  </w:style>
  <w:style w:type="paragraph" w:customStyle="1" w:styleId="Default">
    <w:name w:val="Default"/>
    <w:rsid w:val="00F60F3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2456">
      <w:bodyDiv w:val="1"/>
      <w:marLeft w:val="0"/>
      <w:marRight w:val="0"/>
      <w:marTop w:val="0"/>
      <w:marBottom w:val="0"/>
      <w:divBdr>
        <w:top w:val="none" w:sz="0" w:space="0" w:color="auto"/>
        <w:left w:val="none" w:sz="0" w:space="0" w:color="auto"/>
        <w:bottom w:val="none" w:sz="0" w:space="0" w:color="auto"/>
        <w:right w:val="none" w:sz="0" w:space="0" w:color="auto"/>
      </w:divBdr>
    </w:div>
    <w:div w:id="248273622">
      <w:bodyDiv w:val="1"/>
      <w:marLeft w:val="0"/>
      <w:marRight w:val="0"/>
      <w:marTop w:val="0"/>
      <w:marBottom w:val="0"/>
      <w:divBdr>
        <w:top w:val="none" w:sz="0" w:space="0" w:color="auto"/>
        <w:left w:val="none" w:sz="0" w:space="0" w:color="auto"/>
        <w:bottom w:val="none" w:sz="0" w:space="0" w:color="auto"/>
        <w:right w:val="none" w:sz="0" w:space="0" w:color="auto"/>
      </w:divBdr>
    </w:div>
    <w:div w:id="341933602">
      <w:bodyDiv w:val="1"/>
      <w:marLeft w:val="0"/>
      <w:marRight w:val="0"/>
      <w:marTop w:val="0"/>
      <w:marBottom w:val="0"/>
      <w:divBdr>
        <w:top w:val="none" w:sz="0" w:space="0" w:color="auto"/>
        <w:left w:val="none" w:sz="0" w:space="0" w:color="auto"/>
        <w:bottom w:val="none" w:sz="0" w:space="0" w:color="auto"/>
        <w:right w:val="none" w:sz="0" w:space="0" w:color="auto"/>
      </w:divBdr>
    </w:div>
    <w:div w:id="344140397">
      <w:bodyDiv w:val="1"/>
      <w:marLeft w:val="0"/>
      <w:marRight w:val="0"/>
      <w:marTop w:val="0"/>
      <w:marBottom w:val="0"/>
      <w:divBdr>
        <w:top w:val="none" w:sz="0" w:space="0" w:color="auto"/>
        <w:left w:val="none" w:sz="0" w:space="0" w:color="auto"/>
        <w:bottom w:val="none" w:sz="0" w:space="0" w:color="auto"/>
        <w:right w:val="none" w:sz="0" w:space="0" w:color="auto"/>
      </w:divBdr>
    </w:div>
    <w:div w:id="479545839">
      <w:bodyDiv w:val="1"/>
      <w:marLeft w:val="0"/>
      <w:marRight w:val="0"/>
      <w:marTop w:val="0"/>
      <w:marBottom w:val="0"/>
      <w:divBdr>
        <w:top w:val="none" w:sz="0" w:space="0" w:color="auto"/>
        <w:left w:val="none" w:sz="0" w:space="0" w:color="auto"/>
        <w:bottom w:val="none" w:sz="0" w:space="0" w:color="auto"/>
        <w:right w:val="none" w:sz="0" w:space="0" w:color="auto"/>
      </w:divBdr>
    </w:div>
    <w:div w:id="816260929">
      <w:bodyDiv w:val="1"/>
      <w:marLeft w:val="0"/>
      <w:marRight w:val="0"/>
      <w:marTop w:val="0"/>
      <w:marBottom w:val="0"/>
      <w:divBdr>
        <w:top w:val="none" w:sz="0" w:space="0" w:color="auto"/>
        <w:left w:val="none" w:sz="0" w:space="0" w:color="auto"/>
        <w:bottom w:val="none" w:sz="0" w:space="0" w:color="auto"/>
        <w:right w:val="none" w:sz="0" w:space="0" w:color="auto"/>
      </w:divBdr>
    </w:div>
    <w:div w:id="1204757643">
      <w:bodyDiv w:val="1"/>
      <w:marLeft w:val="0"/>
      <w:marRight w:val="0"/>
      <w:marTop w:val="0"/>
      <w:marBottom w:val="0"/>
      <w:divBdr>
        <w:top w:val="none" w:sz="0" w:space="0" w:color="auto"/>
        <w:left w:val="none" w:sz="0" w:space="0" w:color="auto"/>
        <w:bottom w:val="none" w:sz="0" w:space="0" w:color="auto"/>
        <w:right w:val="none" w:sz="0" w:space="0" w:color="auto"/>
      </w:divBdr>
    </w:div>
    <w:div w:id="1575771932">
      <w:bodyDiv w:val="1"/>
      <w:marLeft w:val="0"/>
      <w:marRight w:val="0"/>
      <w:marTop w:val="0"/>
      <w:marBottom w:val="0"/>
      <w:divBdr>
        <w:top w:val="none" w:sz="0" w:space="0" w:color="auto"/>
        <w:left w:val="none" w:sz="0" w:space="0" w:color="auto"/>
        <w:bottom w:val="none" w:sz="0" w:space="0" w:color="auto"/>
        <w:right w:val="none" w:sz="0" w:space="0" w:color="auto"/>
      </w:divBdr>
    </w:div>
    <w:div w:id="1736319174">
      <w:bodyDiv w:val="1"/>
      <w:marLeft w:val="0"/>
      <w:marRight w:val="0"/>
      <w:marTop w:val="0"/>
      <w:marBottom w:val="0"/>
      <w:divBdr>
        <w:top w:val="none" w:sz="0" w:space="0" w:color="auto"/>
        <w:left w:val="none" w:sz="0" w:space="0" w:color="auto"/>
        <w:bottom w:val="none" w:sz="0" w:space="0" w:color="auto"/>
        <w:right w:val="none" w:sz="0" w:space="0" w:color="auto"/>
      </w:divBdr>
    </w:div>
    <w:div w:id="1774864927">
      <w:bodyDiv w:val="1"/>
      <w:marLeft w:val="0"/>
      <w:marRight w:val="0"/>
      <w:marTop w:val="0"/>
      <w:marBottom w:val="0"/>
      <w:divBdr>
        <w:top w:val="none" w:sz="0" w:space="0" w:color="auto"/>
        <w:left w:val="none" w:sz="0" w:space="0" w:color="auto"/>
        <w:bottom w:val="none" w:sz="0" w:space="0" w:color="auto"/>
        <w:right w:val="none" w:sz="0" w:space="0" w:color="auto"/>
      </w:divBdr>
    </w:div>
    <w:div w:id="1977569310">
      <w:bodyDiv w:val="1"/>
      <w:marLeft w:val="0"/>
      <w:marRight w:val="0"/>
      <w:marTop w:val="0"/>
      <w:marBottom w:val="0"/>
      <w:divBdr>
        <w:top w:val="none" w:sz="0" w:space="0" w:color="auto"/>
        <w:left w:val="none" w:sz="0" w:space="0" w:color="auto"/>
        <w:bottom w:val="none" w:sz="0" w:space="0" w:color="auto"/>
        <w:right w:val="none" w:sz="0" w:space="0" w:color="auto"/>
      </w:divBdr>
    </w:div>
    <w:div w:id="1986080152">
      <w:bodyDiv w:val="1"/>
      <w:marLeft w:val="0"/>
      <w:marRight w:val="0"/>
      <w:marTop w:val="0"/>
      <w:marBottom w:val="0"/>
      <w:divBdr>
        <w:top w:val="none" w:sz="0" w:space="0" w:color="auto"/>
        <w:left w:val="none" w:sz="0" w:space="0" w:color="auto"/>
        <w:bottom w:val="none" w:sz="0" w:space="0" w:color="auto"/>
        <w:right w:val="none" w:sz="0" w:space="0" w:color="auto"/>
      </w:divBdr>
    </w:div>
    <w:div w:id="2022319131">
      <w:bodyDiv w:val="1"/>
      <w:marLeft w:val="0"/>
      <w:marRight w:val="0"/>
      <w:marTop w:val="0"/>
      <w:marBottom w:val="0"/>
      <w:divBdr>
        <w:top w:val="none" w:sz="0" w:space="0" w:color="auto"/>
        <w:left w:val="none" w:sz="0" w:space="0" w:color="auto"/>
        <w:bottom w:val="none" w:sz="0" w:space="0" w:color="auto"/>
        <w:right w:val="none" w:sz="0" w:space="0" w:color="auto"/>
      </w:divBdr>
    </w:div>
    <w:div w:id="210561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DF22F492AE8914D8B73C3E3C23F308D" ma:contentTypeVersion="35" ma:contentTypeDescription="Opret et nyt dokument." ma:contentTypeScope="" ma:versionID="afa73df244fcf30f3c1d69ef4429e531">
  <xsd:schema xmlns:xsd="http://www.w3.org/2001/XMLSchema" xmlns:xs="http://www.w3.org/2001/XMLSchema" xmlns:p="http://schemas.microsoft.com/office/2006/metadata/properties" xmlns:ns1="http://schemas.microsoft.com/sharepoint/v3" xmlns:ns2="b1cfadd8-d294-4d34-bc36-10edd03a80b3" xmlns:ns3="57e246f5-a181-4ddd-bcfa-8f2bd33c0c9c" targetNamespace="http://schemas.microsoft.com/office/2006/metadata/properties" ma:root="true" ma:fieldsID="7cc1265a29cc1620a4073d4c8e845e1e" ns1:_="" ns2:_="" ns3:_="">
    <xsd:import namespace="http://schemas.microsoft.com/sharepoint/v3"/>
    <xsd:import namespace="b1cfadd8-d294-4d34-bc36-10edd03a80b3"/>
    <xsd:import namespace="57e246f5-a181-4ddd-bcfa-8f2bd33c0c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Filtyp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Test" minOccurs="0"/>
                <xsd:element ref="ns2:MediaServiceSearchProperties" minOccurs="0"/>
                <xsd:element ref="ns2:Test_ContainsTool" minOccurs="0"/>
                <xsd:element ref="ns2:Subjects" minOccurs="0"/>
                <xsd:element ref="ns2:Shortdescription" minOccurs="0"/>
                <xsd:element ref="ns2:Tool_x002f_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genskaber for Unified Compliance Policy" ma:hidden="true" ma:internalName="_ip_UnifiedCompliancePolicyProperties">
      <xsd:simpleType>
        <xsd:restriction base="dms:Note"/>
      </xsd:simpleType>
    </xsd:element>
    <xsd:element name="_ip_UnifiedCompliancePolicyUIAction" ma:index="21"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fadd8-d294-4d34-bc36-10edd03a8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Filtype" ma:index="17" nillable="true" ma:displayName="Filtype" ma:format="Dropdown" ma:indexed="true" ma:internalName="Filtype">
      <xsd:simpleType>
        <xsd:restriction base="dms:Text">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fcff2bff-98dc-460d-973e-03f7511429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Test_ContainsTool" ma:index="30" nillable="true" ma:displayName="Test_Contains Tool" ma:default="0" ma:description="Mark as 'yes' if this folder contains tool to add to the Tools Library" ma:format="Dropdown" ma:internalName="Test_ContainsTool">
      <xsd:simpleType>
        <xsd:restriction base="dms:Boolean"/>
      </xsd:simpleType>
    </xsd:element>
    <xsd:element name="Subjects" ma:index="31" nillable="true" ma:displayName="Subjects" ma:format="Dropdown" ma:internalName="Subjects">
      <xsd:complexType>
        <xsd:complexContent>
          <xsd:extension base="dms:MultiChoiceFillIn">
            <xsd:sequence>
              <xsd:element name="Value" maxOccurs="unbounded" minOccurs="0" nillable="true">
                <xsd:simpleType>
                  <xsd:union memberTypes="dms:Text">
                    <xsd:simpleType>
                      <xsd:restriction base="dms:Choice">
                        <xsd:enumeration value="ESG"/>
                        <xsd:enumeration value="Klimaregnskab"/>
                        <xsd:enumeration value="Energieffektivitet"/>
                      </xsd:restriction>
                    </xsd:simpleType>
                  </xsd:union>
                </xsd:simpleType>
              </xsd:element>
            </xsd:sequence>
          </xsd:extension>
        </xsd:complexContent>
      </xsd:complexType>
    </xsd:element>
    <xsd:element name="Shortdescription" ma:index="32" nillable="true" ma:displayName="Short description" ma:default="Please help your colleague by describing your tool" ma:description="Describe briefly what the tools is used for. You might include things like required user skill level or what problem the tool solves" ma:format="Dropdown" ma:internalName="Shortdescription">
      <xsd:simpleType>
        <xsd:restriction base="dms:Note">
          <xsd:maxLength value="255"/>
        </xsd:restriction>
      </xsd:simpleType>
    </xsd:element>
    <xsd:element name="Tool_x002f_background" ma:index="33" nillable="true" ma:displayName="Tool/background" ma:format="Dropdown" ma:indexed="true" ma:internalName="Tool_x002f_background">
      <xsd:simpleType>
        <xsd:restriction base="dms:Choice">
          <xsd:enumeration value="Tool"/>
          <xsd:enumeration value="Background"/>
          <xsd:enumeration value="Legislation"/>
        </xsd:restriction>
      </xsd:simpleType>
    </xsd:element>
  </xsd:schema>
  <xsd:schema xmlns:xsd="http://www.w3.org/2001/XMLSchema" xmlns:xs="http://www.w3.org/2001/XMLSchema" xmlns:dms="http://schemas.microsoft.com/office/2006/documentManagement/types" xmlns:pc="http://schemas.microsoft.com/office/infopath/2007/PartnerControls" targetNamespace="57e246f5-a181-4ddd-bcfa-8f2bd33c0c9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6" nillable="true" ma:displayName="Taxonomy Catch All Column" ma:hidden="true" ma:list="{4651abdf-1673-48e2-821d-f5cd0b68c3fe}" ma:internalName="TaxCatchAll" ma:showField="CatchAllData" ma:web="57e246f5-a181-4ddd-bcfa-8f2bd33c0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7e246f5-a181-4ddd-bcfa-8f2bd33c0c9c" xsi:nil="true"/>
    <_ip_UnifiedCompliancePolicyUIAction xmlns="http://schemas.microsoft.com/sharepoint/v3" xsi:nil="true"/>
    <lcf76f155ced4ddcb4097134ff3c332f xmlns="b1cfadd8-d294-4d34-bc36-10edd03a80b3">
      <Terms xmlns="http://schemas.microsoft.com/office/infopath/2007/PartnerControls"/>
    </lcf76f155ced4ddcb4097134ff3c332f>
    <Test xmlns="b1cfadd8-d294-4d34-bc36-10edd03a80b3">
      <UserInfo>
        <DisplayName/>
        <AccountId xsi:nil="true"/>
        <AccountType/>
      </UserInfo>
    </Test>
    <Filtype xmlns="b1cfadd8-d294-4d34-bc36-10edd03a80b3" xsi:nil="true"/>
    <Test_ContainsTool xmlns="b1cfadd8-d294-4d34-bc36-10edd03a80b3">false</Test_ContainsTool>
    <_ip_UnifiedCompliancePolicyProperties xmlns="http://schemas.microsoft.com/sharepoint/v3" xsi:nil="true"/>
    <Subjects xmlns="b1cfadd8-d294-4d34-bc36-10edd03a80b3" xsi:nil="true"/>
    <Shortdescription xmlns="b1cfadd8-d294-4d34-bc36-10edd03a80b3">Please help your colleague by describing your tool</Shortdescription>
    <Tool_x002f_background xmlns="b1cfadd8-d294-4d34-bc36-10edd03a80b3" xsi:nil="true"/>
  </documentManagement>
</p:properties>
</file>

<file path=customXml/itemProps1.xml><?xml version="1.0" encoding="utf-8"?>
<ds:datastoreItem xmlns:ds="http://schemas.openxmlformats.org/officeDocument/2006/customXml" ds:itemID="{EDCB99F5-197A-4F0E-9334-02C592E60695}">
  <ds:schemaRefs>
    <ds:schemaRef ds:uri="http://schemas.openxmlformats.org/officeDocument/2006/bibliography"/>
  </ds:schemaRefs>
</ds:datastoreItem>
</file>

<file path=customXml/itemProps2.xml><?xml version="1.0" encoding="utf-8"?>
<ds:datastoreItem xmlns:ds="http://schemas.openxmlformats.org/officeDocument/2006/customXml" ds:itemID="{82FB309E-ED2D-4632-8DE1-301A17946511}"/>
</file>

<file path=customXml/itemProps3.xml><?xml version="1.0" encoding="utf-8"?>
<ds:datastoreItem xmlns:ds="http://schemas.openxmlformats.org/officeDocument/2006/customXml" ds:itemID="{975B9C8A-CAE5-4798-847C-6DDB128E79FB}"/>
</file>

<file path=customXml/itemProps4.xml><?xml version="1.0" encoding="utf-8"?>
<ds:datastoreItem xmlns:ds="http://schemas.openxmlformats.org/officeDocument/2006/customXml" ds:itemID="{C5446585-CA1B-49EB-AE64-009533363F3A}"/>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5530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2019-12-09T14:04:00Z</dcterms:created>
  <dcterms:modified xsi:type="dcterms:W3CDTF">2019-12-09T14:04:00Z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0x010100BDF22F492AE8914D8B73C3E3C23F308D</vt:lpwstr>
  </property>
</Properties>
</file>