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EA" w:rsidRDefault="00721870" w:rsidP="008F2666">
      <w:r>
        <w:t>Notat om</w:t>
      </w:r>
    </w:p>
    <w:tbl>
      <w:tblPr>
        <w:tblStyle w:val="Tabel-Gitter"/>
        <w:tblpPr w:leftFromText="142" w:rightFromText="142" w:vertAnchor="page" w:tblpX="7712" w:tblpY="28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tblGrid>
      <w:tr w:rsidR="008F2666" w:rsidRPr="00A53C43" w:rsidTr="00A46851">
        <w:tc>
          <w:tcPr>
            <w:tcW w:w="2235" w:type="dxa"/>
          </w:tcPr>
          <w:p w:rsidR="008F2666" w:rsidRPr="00A53C43" w:rsidRDefault="008F2666" w:rsidP="00A46851">
            <w:pPr>
              <w:spacing w:line="220" w:lineRule="exact"/>
              <w:rPr>
                <w:b/>
                <w:sz w:val="16"/>
                <w:szCs w:val="16"/>
              </w:rPr>
            </w:pPr>
            <w:r w:rsidRPr="00A53C43">
              <w:rPr>
                <w:b/>
                <w:sz w:val="16"/>
                <w:szCs w:val="16"/>
              </w:rPr>
              <w:t>Kontor/afdeling</w:t>
            </w:r>
          </w:p>
          <w:p w:rsidR="008F2666" w:rsidRPr="00A53C43" w:rsidRDefault="00B63986" w:rsidP="00A46851">
            <w:pPr>
              <w:spacing w:line="220" w:lineRule="exact"/>
              <w:rPr>
                <w:sz w:val="16"/>
                <w:szCs w:val="16"/>
              </w:rPr>
            </w:pPr>
            <w:r>
              <w:rPr>
                <w:sz w:val="16"/>
                <w:szCs w:val="16"/>
              </w:rPr>
              <w:t>Enhed for Systemanalyse</w:t>
            </w:r>
          </w:p>
          <w:p w:rsidR="00A53C43" w:rsidRDefault="00A53C43" w:rsidP="00A46851">
            <w:pPr>
              <w:spacing w:line="220" w:lineRule="exact"/>
              <w:rPr>
                <w:sz w:val="16"/>
                <w:szCs w:val="16"/>
              </w:rPr>
            </w:pPr>
          </w:p>
          <w:p w:rsidR="008F2666" w:rsidRPr="00036061" w:rsidRDefault="008F2666" w:rsidP="00A46851">
            <w:pPr>
              <w:spacing w:line="220" w:lineRule="exact"/>
              <w:rPr>
                <w:b/>
                <w:sz w:val="16"/>
                <w:szCs w:val="16"/>
              </w:rPr>
            </w:pPr>
            <w:r w:rsidRPr="00036061">
              <w:rPr>
                <w:b/>
                <w:sz w:val="16"/>
                <w:szCs w:val="16"/>
              </w:rPr>
              <w:t>Dato</w:t>
            </w:r>
          </w:p>
          <w:p w:rsidR="008F2666" w:rsidRDefault="00A53C43" w:rsidP="00A46851">
            <w:pPr>
              <w:spacing w:line="220" w:lineRule="exact"/>
              <w:rPr>
                <w:sz w:val="16"/>
                <w:szCs w:val="16"/>
              </w:rPr>
            </w:pPr>
            <w:r>
              <w:rPr>
                <w:sz w:val="16"/>
                <w:szCs w:val="16"/>
              </w:rPr>
              <w:fldChar w:fldCharType="begin"/>
            </w:r>
            <w:r>
              <w:rPr>
                <w:sz w:val="16"/>
                <w:szCs w:val="16"/>
              </w:rPr>
              <w:instrText xml:space="preserve"> CREATEDATE  \@ "d. MMMM yyyy"  \* MERGEFORMAT </w:instrText>
            </w:r>
            <w:r>
              <w:rPr>
                <w:sz w:val="16"/>
                <w:szCs w:val="16"/>
              </w:rPr>
              <w:fldChar w:fldCharType="separate"/>
            </w:r>
            <w:r w:rsidR="00B32300">
              <w:rPr>
                <w:noProof/>
                <w:sz w:val="16"/>
                <w:szCs w:val="16"/>
              </w:rPr>
              <w:t>1</w:t>
            </w:r>
            <w:r w:rsidR="00952B73">
              <w:rPr>
                <w:noProof/>
                <w:sz w:val="16"/>
                <w:szCs w:val="16"/>
              </w:rPr>
              <w:t xml:space="preserve">. </w:t>
            </w:r>
            <w:r w:rsidR="00310284">
              <w:rPr>
                <w:noProof/>
                <w:sz w:val="16"/>
                <w:szCs w:val="16"/>
              </w:rPr>
              <w:t>novem</w:t>
            </w:r>
            <w:r w:rsidR="00952B73">
              <w:rPr>
                <w:noProof/>
                <w:sz w:val="16"/>
                <w:szCs w:val="16"/>
              </w:rPr>
              <w:t>ber 2017</w:t>
            </w:r>
            <w:r>
              <w:rPr>
                <w:sz w:val="16"/>
                <w:szCs w:val="16"/>
              </w:rPr>
              <w:fldChar w:fldCharType="end"/>
            </w:r>
          </w:p>
          <w:p w:rsidR="002611C9" w:rsidRPr="00A53C43" w:rsidRDefault="002611C9" w:rsidP="00A46851">
            <w:pPr>
              <w:spacing w:line="220" w:lineRule="exact"/>
              <w:rPr>
                <w:sz w:val="16"/>
                <w:szCs w:val="16"/>
              </w:rPr>
            </w:pPr>
          </w:p>
          <w:p w:rsidR="008F2666" w:rsidRDefault="00A53C43" w:rsidP="00A46851">
            <w:pPr>
              <w:spacing w:line="220" w:lineRule="exact"/>
              <w:rPr>
                <w:sz w:val="16"/>
                <w:szCs w:val="16"/>
              </w:rPr>
            </w:pPr>
            <w:r w:rsidRPr="00036061">
              <w:rPr>
                <w:b/>
                <w:sz w:val="16"/>
                <w:szCs w:val="16"/>
              </w:rPr>
              <w:t>J nr.</w:t>
            </w:r>
            <w:r>
              <w:rPr>
                <w:sz w:val="16"/>
                <w:szCs w:val="16"/>
              </w:rPr>
              <w:t xml:space="preserve"> </w:t>
            </w:r>
            <w:r w:rsidR="00705588">
              <w:rPr>
                <w:sz w:val="16"/>
                <w:szCs w:val="16"/>
              </w:rPr>
              <w:t>2017 - 5915</w:t>
            </w:r>
          </w:p>
          <w:p w:rsidR="002611C9" w:rsidRPr="00A53C43" w:rsidRDefault="002611C9" w:rsidP="00A46851">
            <w:pPr>
              <w:spacing w:line="220" w:lineRule="exact"/>
              <w:rPr>
                <w:sz w:val="16"/>
                <w:szCs w:val="16"/>
              </w:rPr>
            </w:pPr>
          </w:p>
          <w:p w:rsidR="008F2666" w:rsidRPr="00A53C43" w:rsidRDefault="008F2666" w:rsidP="00A46851">
            <w:pPr>
              <w:spacing w:line="220" w:lineRule="exact"/>
              <w:rPr>
                <w:sz w:val="16"/>
                <w:szCs w:val="16"/>
              </w:rPr>
            </w:pPr>
            <w:r w:rsidRPr="00A53C43">
              <w:rPr>
                <w:sz w:val="16"/>
                <w:szCs w:val="16"/>
              </w:rPr>
              <w:t>/</w:t>
            </w:r>
            <w:r w:rsidR="00B63986">
              <w:rPr>
                <w:sz w:val="16"/>
                <w:szCs w:val="16"/>
              </w:rPr>
              <w:t xml:space="preserve"> SWA</w:t>
            </w:r>
            <w:r w:rsidR="00B32300">
              <w:rPr>
                <w:sz w:val="16"/>
                <w:szCs w:val="16"/>
              </w:rPr>
              <w:t>, MELA</w:t>
            </w:r>
          </w:p>
        </w:tc>
      </w:tr>
    </w:tbl>
    <w:p w:rsidR="00952B73" w:rsidRPr="00C34196" w:rsidRDefault="00952B73" w:rsidP="00952B73">
      <w:pPr>
        <w:spacing w:after="1540"/>
        <w:rPr>
          <w:b/>
        </w:rPr>
      </w:pPr>
      <w:r w:rsidRPr="00C34196">
        <w:rPr>
          <w:b/>
        </w:rPr>
        <w:t xml:space="preserve">Metode til </w:t>
      </w:r>
      <w:r w:rsidR="00B63986">
        <w:rPr>
          <w:b/>
        </w:rPr>
        <w:t>fastsættelse</w:t>
      </w:r>
      <w:r w:rsidRPr="00C34196">
        <w:rPr>
          <w:b/>
        </w:rPr>
        <w:t xml:space="preserve"> af tillæg til </w:t>
      </w:r>
      <w:r>
        <w:rPr>
          <w:b/>
        </w:rPr>
        <w:t xml:space="preserve">fossile </w:t>
      </w:r>
      <w:r w:rsidRPr="00C34196">
        <w:rPr>
          <w:b/>
        </w:rPr>
        <w:t>brændselspriser for 201</w:t>
      </w:r>
      <w:r>
        <w:rPr>
          <w:b/>
        </w:rPr>
        <w:t>7</w:t>
      </w:r>
      <w:r>
        <w:rPr>
          <w:b/>
        </w:rPr>
        <w:br/>
      </w:r>
      <w:r w:rsidR="005E5FA7">
        <w:rPr>
          <w:b/>
          <w:color w:val="FF0000"/>
        </w:rPr>
        <w:br/>
      </w:r>
      <w:r w:rsidRPr="00BA2006">
        <w:rPr>
          <w:b/>
          <w:color w:val="FF0000"/>
        </w:rPr>
        <w:t>UDKAST TIL EKSTERN KOMMENTERING</w:t>
      </w:r>
    </w:p>
    <w:p w:rsidR="00952B73" w:rsidRPr="009F3ABD" w:rsidRDefault="00952B73" w:rsidP="00952B73">
      <w:pPr>
        <w:rPr>
          <w:b/>
        </w:rPr>
      </w:pPr>
      <w:r w:rsidRPr="009F3ABD">
        <w:rPr>
          <w:b/>
        </w:rPr>
        <w:t>Introduktion og ændringer i forhold til sidste år</w:t>
      </w:r>
    </w:p>
    <w:p w:rsidR="00952B73" w:rsidRDefault="00952B73" w:rsidP="00952B73">
      <w:r>
        <w:t xml:space="preserve">Energistyrelsen </w:t>
      </w:r>
      <w:r w:rsidR="00B63986">
        <w:t>fremskriver</w:t>
      </w:r>
      <w:r>
        <w:t xml:space="preserve"> hvert år danske brændselspriser til brug for blandt andet input til basisfremskrivningen,</w:t>
      </w:r>
      <w:r w:rsidR="00B32300">
        <w:t xml:space="preserve"> herunder modellerne</w:t>
      </w:r>
      <w:r>
        <w:t xml:space="preserve"> RAMSES</w:t>
      </w:r>
      <w:r w:rsidR="00B63986">
        <w:t xml:space="preserve"> og </w:t>
      </w:r>
      <w:proofErr w:type="spellStart"/>
      <w:r w:rsidR="00B63986">
        <w:t>IntERACT</w:t>
      </w:r>
      <w:proofErr w:type="spellEnd"/>
      <w:r>
        <w:t>.</w:t>
      </w:r>
    </w:p>
    <w:p w:rsidR="00952B73" w:rsidRDefault="00952B73" w:rsidP="00952B73"/>
    <w:p w:rsidR="00952B73" w:rsidRDefault="00952B73" w:rsidP="00952B73">
      <w:r>
        <w:t xml:space="preserve">Dette notat fokuserer på metoden </w:t>
      </w:r>
      <w:r w:rsidR="00B63986">
        <w:t>til</w:t>
      </w:r>
      <w:r>
        <w:t xml:space="preserve"> </w:t>
      </w:r>
      <w:r w:rsidR="00B63986">
        <w:t>fastsættelse</w:t>
      </w:r>
      <w:r>
        <w:t xml:space="preserve"> af tillæg til fossile brændsler. </w:t>
      </w:r>
      <w:r w:rsidR="008F1514">
        <w:t xml:space="preserve">Priser på biomasse an </w:t>
      </w:r>
      <w:r w:rsidR="008F1514" w:rsidRPr="008F1514">
        <w:t>forbrugssted</w:t>
      </w:r>
      <w:r w:rsidRPr="008F1514">
        <w:t xml:space="preserve"> er </w:t>
      </w:r>
      <w:r w:rsidR="008F1514" w:rsidRPr="008F1514">
        <w:t>fremskrevet</w:t>
      </w:r>
      <w:r w:rsidRPr="008F1514">
        <w:t xml:space="preserve"> af Ea Energian</w:t>
      </w:r>
      <w:r w:rsidR="008F1514">
        <w:t>alyse i 2016</w:t>
      </w:r>
      <w:r w:rsidR="009F1279">
        <w:t>, og opdateres af Energistyrelsen i 2017</w:t>
      </w:r>
      <w:r w:rsidR="008F1514">
        <w:t>. Metoden for denne fremskrivning samt de resulterende priser</w:t>
      </w:r>
      <w:r w:rsidRPr="008F1514">
        <w:t xml:space="preserve"> behandles i et separat notat.</w:t>
      </w:r>
      <w:r>
        <w:t xml:space="preserve">  </w:t>
      </w:r>
    </w:p>
    <w:p w:rsidR="00952B73" w:rsidRDefault="00952B73" w:rsidP="00952B73"/>
    <w:p w:rsidR="00952B73" w:rsidRDefault="008F1514" w:rsidP="00952B73">
      <w:r>
        <w:t>Dette n</w:t>
      </w:r>
      <w:r w:rsidR="00952B73">
        <w:t xml:space="preserve">otat viser udelukkende prisforskelle mellem historiske danske og internationale </w:t>
      </w:r>
      <w:r w:rsidR="00B60F7C">
        <w:t>import</w:t>
      </w:r>
      <w:r w:rsidR="00952B73">
        <w:t xml:space="preserve">priser samt tillæg til den danske CIF-pris. De samlede </w:t>
      </w:r>
      <w:r w:rsidR="00B60F7C">
        <w:t>fremskrevne import</w:t>
      </w:r>
      <w:r w:rsidR="00952B73">
        <w:t>priser på fossile brændsler kan først be</w:t>
      </w:r>
      <w:r w:rsidR="00B63986">
        <w:t>stemme</w:t>
      </w:r>
      <w:r w:rsidR="00952B73">
        <w:t>s, når IEA’s pris</w:t>
      </w:r>
      <w:r w:rsidR="00B63986">
        <w:t>er fra World Energy Outlook 2017</w:t>
      </w:r>
      <w:r w:rsidR="00952B73">
        <w:t xml:space="preserve"> offentliggøres i løbet af november. </w:t>
      </w:r>
    </w:p>
    <w:p w:rsidR="009F1279" w:rsidRDefault="009F1279" w:rsidP="009F1279"/>
    <w:p w:rsidR="009F1279" w:rsidRDefault="009F1279" w:rsidP="009F1279">
      <w:r>
        <w:t>Ændringer i fremskrivningen af</w:t>
      </w:r>
      <w:r w:rsidR="00B32300">
        <w:t xml:space="preserve"> tillæg til fossile</w:t>
      </w:r>
      <w:r>
        <w:t xml:space="preserve"> brændselspriser for 2017: </w:t>
      </w:r>
    </w:p>
    <w:p w:rsidR="009F1279" w:rsidRPr="00F54FCA" w:rsidRDefault="00B32300" w:rsidP="009F1279">
      <w:pPr>
        <w:pStyle w:val="Listeafsnit"/>
        <w:numPr>
          <w:ilvl w:val="0"/>
          <w:numId w:val="11"/>
        </w:numPr>
      </w:pPr>
      <w:r>
        <w:t>Antagelserne bag</w:t>
      </w:r>
      <w:r w:rsidR="001B2C4C" w:rsidRPr="001B2C4C">
        <w:t xml:space="preserve"> estimering</w:t>
      </w:r>
      <w:r>
        <w:t>en</w:t>
      </w:r>
      <w:r w:rsidR="001B2C4C" w:rsidRPr="001B2C4C">
        <w:t xml:space="preserve"> af t</w:t>
      </w:r>
      <w:r w:rsidR="009F1279" w:rsidRPr="001B2C4C">
        <w:t xml:space="preserve">ransporttillæg </w:t>
      </w:r>
      <w:r w:rsidR="001B2C4C" w:rsidRPr="001B2C4C">
        <w:t>til</w:t>
      </w:r>
      <w:r w:rsidR="009F1279" w:rsidRPr="001B2C4C">
        <w:t xml:space="preserve"> kul</w:t>
      </w:r>
      <w:r w:rsidR="001B2C4C" w:rsidRPr="001B2C4C">
        <w:t xml:space="preserve"> er </w:t>
      </w:r>
      <w:r>
        <w:t>justeret</w:t>
      </w:r>
      <w:r w:rsidR="001B2C4C" w:rsidRPr="001B2C4C">
        <w:t>.</w:t>
      </w:r>
      <w:r w:rsidR="001B2C4C">
        <w:t xml:space="preserve"> Tidligere var estimatet baseret på kul, der blev sejlet til Ensted havn</w:t>
      </w:r>
      <w:r w:rsidR="00B60F7C">
        <w:t xml:space="preserve">. En del af kullet </w:t>
      </w:r>
      <w:r w:rsidR="001B2C4C">
        <w:t xml:space="preserve">blev brugt på Enstedværket og </w:t>
      </w:r>
      <w:r w:rsidR="00B60F7C">
        <w:t xml:space="preserve">resten </w:t>
      </w:r>
      <w:r w:rsidR="001B2C4C">
        <w:t>blev transporteret videre</w:t>
      </w:r>
      <w:r w:rsidR="00B60F7C">
        <w:t xml:space="preserve"> til andre kraftværker</w:t>
      </w:r>
      <w:r w:rsidR="001B2C4C">
        <w:t xml:space="preserve"> på pramme. Enstedværket er nu lukket, </w:t>
      </w:r>
      <w:r w:rsidR="00B60F7C">
        <w:t xml:space="preserve">hvilket har gjort det nødvendigt at </w:t>
      </w:r>
      <w:r>
        <w:t>justere antagelserne</w:t>
      </w:r>
      <w:r w:rsidR="001B2C4C">
        <w:t xml:space="preserve">. Der tages nu </w:t>
      </w:r>
      <w:r w:rsidR="001B2C4C" w:rsidRPr="00F54FCA">
        <w:t>udgangspunkt i, at alt kul ankommer til enten Ensted havn eller Stigsnæs havn, og derfra sejles videre til de kulforbrugende</w:t>
      </w:r>
      <w:r w:rsidR="00317949">
        <w:t xml:space="preserve"> kraftværker</w:t>
      </w:r>
      <w:r w:rsidR="001B2C4C" w:rsidRPr="00F54FCA">
        <w:t xml:space="preserve"> med pram. </w:t>
      </w:r>
    </w:p>
    <w:p w:rsidR="009F1279" w:rsidRDefault="00F54FCA" w:rsidP="009F1279">
      <w:pPr>
        <w:pStyle w:val="Listeafsnit"/>
        <w:numPr>
          <w:ilvl w:val="0"/>
          <w:numId w:val="11"/>
        </w:numPr>
      </w:pPr>
      <w:r w:rsidRPr="00F54FCA">
        <w:t>Der anvendes en tilpasset metode til udligning af forskellen mellem den danske importpris og IEA-prisen på naturgas</w:t>
      </w:r>
      <w:r>
        <w:t>.</w:t>
      </w:r>
      <w:r w:rsidR="00B32300">
        <w:t xml:space="preserve"> Tidligere </w:t>
      </w:r>
      <w:r w:rsidR="0019508F">
        <w:t>nåede</w:t>
      </w:r>
      <w:r w:rsidR="00B32300">
        <w:t xml:space="preserve"> den danske importpris på naturgas </w:t>
      </w:r>
      <w:r w:rsidR="0019508F">
        <w:t>det samme niveau som IEA-prisen i 2036.</w:t>
      </w:r>
      <w:r>
        <w:t xml:space="preserve"> Der holdes fast i, at der skal ske en udligning over tid, men udligningen sker kun til et niveau på ca. 7 pct. under IEA-prisen</w:t>
      </w:r>
      <w:r w:rsidR="005F7F8C">
        <w:t xml:space="preserve"> i 2036</w:t>
      </w:r>
      <w:r>
        <w:t xml:space="preserve">, svarende til </w:t>
      </w:r>
      <w:r w:rsidR="00317949">
        <w:t xml:space="preserve">det forventede </w:t>
      </w:r>
      <w:r>
        <w:t>niveau for den tyske naturgaspris.</w:t>
      </w:r>
    </w:p>
    <w:p w:rsidR="00E23732" w:rsidRPr="00F54FCA" w:rsidRDefault="005F7F8C" w:rsidP="009F1279">
      <w:pPr>
        <w:pStyle w:val="Listeafsnit"/>
        <w:numPr>
          <w:ilvl w:val="0"/>
          <w:numId w:val="11"/>
        </w:numPr>
      </w:pPr>
      <w:r>
        <w:t>For at ensarte metoden</w:t>
      </w:r>
      <w:r w:rsidR="0019508F">
        <w:t xml:space="preserve"> </w:t>
      </w:r>
      <w:r w:rsidR="00C22054">
        <w:t>estimer</w:t>
      </w:r>
      <w:r w:rsidR="0019508F">
        <w:t>es a</w:t>
      </w:r>
      <w:r w:rsidR="00E23732">
        <w:t>vancer på naturgas, benzin og diesel an forbruger nu som et gennemsnit for de seneste fem år, som der findes data for. Tidligere har avancerne</w:t>
      </w:r>
      <w:r w:rsidR="002B5592">
        <w:t xml:space="preserve"> an forbruger</w:t>
      </w:r>
      <w:r w:rsidR="00E23732">
        <w:t xml:space="preserve"> været baseret på gennemsnit for tidsperioder</w:t>
      </w:r>
      <w:r w:rsidR="00317949">
        <w:t xml:space="preserve"> af </w:t>
      </w:r>
      <w:r w:rsidR="0019508F">
        <w:t xml:space="preserve">varierende </w:t>
      </w:r>
      <w:r w:rsidR="00317949">
        <w:t>længde</w:t>
      </w:r>
      <w:r w:rsidR="00E23732">
        <w:t>.</w:t>
      </w:r>
    </w:p>
    <w:p w:rsidR="00952B73" w:rsidRPr="0043459E" w:rsidRDefault="00952B73" w:rsidP="00952B73"/>
    <w:p w:rsidR="005618E6" w:rsidRDefault="005618E6">
      <w:pPr>
        <w:spacing w:after="200" w:line="276" w:lineRule="auto"/>
        <w:rPr>
          <w:b/>
        </w:rPr>
      </w:pPr>
      <w:r>
        <w:rPr>
          <w:b/>
        </w:rPr>
        <w:br w:type="page"/>
      </w:r>
    </w:p>
    <w:p w:rsidR="00952B73" w:rsidRPr="0043459E" w:rsidRDefault="00952B73" w:rsidP="00952B73">
      <w:pPr>
        <w:rPr>
          <w:b/>
        </w:rPr>
      </w:pPr>
      <w:r>
        <w:rPr>
          <w:b/>
        </w:rPr>
        <w:lastRenderedPageBreak/>
        <w:t>Metode</w:t>
      </w:r>
    </w:p>
    <w:p w:rsidR="00952B73" w:rsidRDefault="00952B73" w:rsidP="00952B73">
      <w:r>
        <w:t xml:space="preserve">Metoden til </w:t>
      </w:r>
      <w:r w:rsidR="00B63986">
        <w:t>fremskriv</w:t>
      </w:r>
      <w:r>
        <w:t xml:space="preserve">ning af de danske priser for fossile brændsler an forbrugssted er udviklet </w:t>
      </w:r>
      <w:r w:rsidRPr="00EA4D43">
        <w:t>af Ea Energianalyse i 2013</w:t>
      </w:r>
      <w:r w:rsidRPr="00EA4D43">
        <w:rPr>
          <w:rStyle w:val="Fodnotehenvisning"/>
        </w:rPr>
        <w:footnoteReference w:id="1"/>
      </w:r>
      <w:r w:rsidRPr="00EA4D43">
        <w:t>. Metoden</w:t>
      </w:r>
      <w:r>
        <w:t xml:space="preserve"> består af tre trin:</w:t>
      </w:r>
    </w:p>
    <w:p w:rsidR="009D5F8B" w:rsidRPr="0035114D" w:rsidRDefault="009D5F8B" w:rsidP="009D5F8B">
      <w:pPr>
        <w:pStyle w:val="Listeafsnit"/>
        <w:numPr>
          <w:ilvl w:val="0"/>
          <w:numId w:val="4"/>
        </w:numPr>
      </w:pPr>
      <w:r>
        <w:t xml:space="preserve">Estimering af </w:t>
      </w:r>
      <w:r w:rsidRPr="0035114D">
        <w:t xml:space="preserve">forskel mellem historiske internationale og danske </w:t>
      </w:r>
      <w:r w:rsidR="00705588">
        <w:t>import</w:t>
      </w:r>
      <w:r w:rsidRPr="0035114D">
        <w:t>priser</w:t>
      </w:r>
      <w:r>
        <w:t xml:space="preserve">. Forskellen trækkes fra de fremskrevne internationale </w:t>
      </w:r>
      <w:r w:rsidR="00705588">
        <w:t>import</w:t>
      </w:r>
      <w:r>
        <w:t>priser for at få et langsigtet forløb for danske importpriser</w:t>
      </w:r>
      <w:r w:rsidRPr="0035114D">
        <w:t>.</w:t>
      </w:r>
    </w:p>
    <w:p w:rsidR="00952B73" w:rsidRDefault="00B63986" w:rsidP="00952B73">
      <w:pPr>
        <w:pStyle w:val="Listeafsnit"/>
        <w:numPr>
          <w:ilvl w:val="0"/>
          <w:numId w:val="4"/>
        </w:numPr>
      </w:pPr>
      <w:r>
        <w:t>Fast</w:t>
      </w:r>
      <w:r w:rsidR="009D5F8B">
        <w:t>læggelse af</w:t>
      </w:r>
      <w:r w:rsidR="00952B73">
        <w:t xml:space="preserve"> et </w:t>
      </w:r>
      <w:r w:rsidR="009D5F8B">
        <w:t>konvergen</w:t>
      </w:r>
      <w:r w:rsidR="00952B73">
        <w:t xml:space="preserve">sforløb mellem kortsigtede internationale priser </w:t>
      </w:r>
      <w:r w:rsidR="009D5F8B">
        <w:t xml:space="preserve">og langsigtede danske importpriser </w:t>
      </w:r>
      <w:r w:rsidR="00952B73">
        <w:t>på fossile brændsler.</w:t>
      </w:r>
    </w:p>
    <w:p w:rsidR="00952B73" w:rsidRPr="0035114D" w:rsidRDefault="00952B73" w:rsidP="00952B73">
      <w:pPr>
        <w:pStyle w:val="Listeafsnit"/>
        <w:numPr>
          <w:ilvl w:val="0"/>
          <w:numId w:val="4"/>
        </w:numPr>
      </w:pPr>
      <w:r w:rsidRPr="0035114D">
        <w:t>Estimering af pristillæg eller -fradrag,</w:t>
      </w:r>
      <w:r w:rsidR="009D5F8B">
        <w:t xml:space="preserve"> som skal lægges til forløbet for danske importpriser for at få priser</w:t>
      </w:r>
      <w:r>
        <w:t xml:space="preserve"> an forbrugssted</w:t>
      </w:r>
      <w:r w:rsidRPr="0035114D">
        <w:t xml:space="preserve"> (an forbruger, an værk og an kraftværk).</w:t>
      </w:r>
    </w:p>
    <w:p w:rsidR="00952B73" w:rsidRDefault="00952B73" w:rsidP="00952B73"/>
    <w:p w:rsidR="00952B73" w:rsidRDefault="00952B73" w:rsidP="00952B73">
      <w:r>
        <w:t xml:space="preserve">Trin 1 </w:t>
      </w:r>
      <w:r w:rsidR="0067486D">
        <w:t>sammenligner danske basispriser</w:t>
      </w:r>
      <w:r w:rsidR="0067486D">
        <w:rPr>
          <w:rStyle w:val="Fodnotehenvisning"/>
        </w:rPr>
        <w:footnoteReference w:id="2"/>
      </w:r>
      <w:r w:rsidR="0067486D">
        <w:t xml:space="preserve"> med IEA-priser i perioden 2001-2015 for at identificere den prisforskel, der skal lægges til IEA-prisen for at opnå danske CIF-priser. </w:t>
      </w:r>
    </w:p>
    <w:p w:rsidR="00952B73" w:rsidRDefault="00952B73" w:rsidP="00952B73">
      <w:r>
        <w:t xml:space="preserve">Trin 2 </w:t>
      </w:r>
      <w:r w:rsidR="0067486D">
        <w:t xml:space="preserve">fastsætter et forløb mellem forwardpriser og langsigtede priser fra IEA’s World Energy Outlook New Policies Scenario for at opnå en bedre sammenhæng mellem aktuelle markedsforventninger på kort til mellemlangt sigt og prisudviklingen på længere sigt. Forløbet bestemmes ved brug af en metode fastlagt af Finansministeriet. Fra 2017 til </w:t>
      </w:r>
      <w:r w:rsidR="00EF1A4B">
        <w:t xml:space="preserve">det første fremskrivningsår i IEA’s World Energy Outlook </w:t>
      </w:r>
      <w:r w:rsidR="0067486D">
        <w:t xml:space="preserve">er forløbet et vægtet gennemsnit mellem forwardpriser og IEA-priser med stigende vægt til IEA-prisen. Fra </w:t>
      </w:r>
      <w:r w:rsidR="005F7F8C">
        <w:t>første år efter fremskrivningsåret</w:t>
      </w:r>
      <w:r w:rsidR="0067486D">
        <w:t xml:space="preserve"> og </w:t>
      </w:r>
      <w:r w:rsidR="0067486D" w:rsidRPr="002D796F">
        <w:t xml:space="preserve">frem anvendes samme udviklingstakt som i IEA’s priser, men med udgangspunkt i den vægtede pris for </w:t>
      </w:r>
      <w:r w:rsidR="005F7F8C">
        <w:t>fremskrivningsåret</w:t>
      </w:r>
      <w:r w:rsidR="0067486D" w:rsidRPr="002D796F">
        <w:t>.</w:t>
      </w:r>
    </w:p>
    <w:p w:rsidR="00952B73" w:rsidRDefault="00952B73" w:rsidP="00952B73">
      <w:r>
        <w:t xml:space="preserve">Trin </w:t>
      </w:r>
      <w:r w:rsidRPr="00F93B65">
        <w:t>3 estimerer pristillæg</w:t>
      </w:r>
      <w:r>
        <w:t xml:space="preserve"> og -fradrag, fx i form af transportomkostninger, produktionsomkostninger og avancer. Disse tillæg skal lægges til den danske CIF-pris for at få den danske brændselspris an forbrugssted.</w:t>
      </w:r>
    </w:p>
    <w:p w:rsidR="005618E6" w:rsidRDefault="005618E6" w:rsidP="00952B73"/>
    <w:p w:rsidR="00F51987" w:rsidRPr="0043711D" w:rsidRDefault="0019508F" w:rsidP="002331E1">
      <w:r>
        <w:t>Trin 1 og 2 gælder for kul og naturgas, mens trin 3 gælder</w:t>
      </w:r>
      <w:r w:rsidR="002B5592">
        <w:t xml:space="preserve"> for</w:t>
      </w:r>
      <w:r>
        <w:t xml:space="preserve"> </w:t>
      </w:r>
      <w:r w:rsidR="00D425C9">
        <w:t>kul, naturgas og råolie</w:t>
      </w:r>
      <w:r>
        <w:t>.</w:t>
      </w:r>
      <w:r w:rsidR="002B5592">
        <w:t xml:space="preserve"> </w:t>
      </w:r>
      <w:r w:rsidR="00F51987">
        <w:t>Den danske importpris på råolie udgøres af Økonomi- og Indenrigsministeriets olieprisskøn, som også er baseret på data fra IEA World Energy Outlook. Se evt. metodebeskrivelse i Bilag 2 til Energistyrelsen (2017</w:t>
      </w:r>
      <w:r w:rsidR="002B5592">
        <w:t>a</w:t>
      </w:r>
      <w:r w:rsidR="00F51987">
        <w:t>).</w:t>
      </w:r>
    </w:p>
    <w:p w:rsidR="00D425C9" w:rsidRDefault="00D425C9" w:rsidP="00952B73"/>
    <w:p w:rsidR="00D425C9" w:rsidRPr="00BF0481" w:rsidRDefault="00F51987" w:rsidP="002331E1">
      <w:pPr>
        <w:pStyle w:val="Listeafsnit"/>
        <w:ind w:left="0"/>
      </w:pPr>
      <w:r>
        <w:t>Som en konsekvens af den anvendte metode, vil d</w:t>
      </w:r>
      <w:r w:rsidR="00D425C9">
        <w:t>e danske importp</w:t>
      </w:r>
      <w:r>
        <w:t>riser på naturgas og kul afvige</w:t>
      </w:r>
      <w:r w:rsidR="00D425C9">
        <w:t xml:space="preserve"> fra IEA-priserne i 2040: </w:t>
      </w:r>
      <w:r>
        <w:br/>
      </w:r>
      <w:r w:rsidR="00D425C9">
        <w:t>Trin 1 ændrer niveauet for IEA-prisen ved at korrigere for den historiske forskel mellem IEA-priser og danske importpriser på naturgas og kul.</w:t>
      </w:r>
      <w:r w:rsidR="00D425C9">
        <w:br/>
        <w:t xml:space="preserve">Trin 2 sammenvejer internationale forwardpriser og danske importpriser på kort sigt og betyder derved endnu en ændring i niveauet for de danske importpriser i forhold til IEA-priserne. Fra det første år efter fremskrivningsåret tages udgangspunkt i </w:t>
      </w:r>
      <w:r w:rsidR="00D425C9">
        <w:lastRenderedPageBreak/>
        <w:t xml:space="preserve">niveauet for den danske importpris i fremskrivningsåret, og herefter vokser importprisen med den implicitte vækstrate i IEA-prisen. De fremskrevne danske importpriser bevæger sig altså på samme måde som IEA-priserne, men ud fra et andet udgangspunkt. </w:t>
      </w:r>
    </w:p>
    <w:p w:rsidR="0019508F" w:rsidRDefault="0019508F" w:rsidP="00952B73"/>
    <w:p w:rsidR="00952B73" w:rsidRDefault="00952B73" w:rsidP="00952B73">
      <w:r>
        <w:t>Dette notat beskriver tilblivelsen og anvendelsen</w:t>
      </w:r>
      <w:r w:rsidR="00F93B65">
        <w:t xml:space="preserve"> af tillæggene i punkt 1</w:t>
      </w:r>
      <w:r>
        <w:t xml:space="preserve"> og 3</w:t>
      </w:r>
      <w:r w:rsidR="002B5592">
        <w:t xml:space="preserve"> ovenfor</w:t>
      </w:r>
      <w:r>
        <w:t xml:space="preserve">. </w:t>
      </w:r>
    </w:p>
    <w:p w:rsidR="00952B73" w:rsidRDefault="00952B73" w:rsidP="00952B73"/>
    <w:p w:rsidR="00952B73" w:rsidRDefault="00952B73" w:rsidP="00952B73">
      <w:r>
        <w:t xml:space="preserve">For at priser og tillæg kan være så opdaterede som muligt, genberegner Energistyrelsen hvert år værdier baseret på historiske tal og statistik, det vil sige </w:t>
      </w:r>
      <w:r w:rsidRPr="002E7101">
        <w:t xml:space="preserve">punkt </w:t>
      </w:r>
      <w:r w:rsidR="00F93B65">
        <w:t>1</w:t>
      </w:r>
      <w:r w:rsidRPr="002E7101">
        <w:t xml:space="preserve"> og dele af punkt 3 ovenfor. Værdier baseret på omkostninger, estimater osv. baseres</w:t>
      </w:r>
      <w:r>
        <w:t xml:space="preserve"> på Ea Energianalyses beregninger fra 2013, men fremskrives til dette års prisniveau.</w:t>
      </w:r>
    </w:p>
    <w:p w:rsidR="00952B73" w:rsidRDefault="00952B73" w:rsidP="00952B73"/>
    <w:p w:rsidR="00952B73" w:rsidRPr="00B00ECF" w:rsidRDefault="00952B73" w:rsidP="00952B73">
      <w:pPr>
        <w:rPr>
          <w:b/>
        </w:rPr>
      </w:pPr>
      <w:r>
        <w:rPr>
          <w:b/>
        </w:rPr>
        <w:t>Data</w:t>
      </w:r>
    </w:p>
    <w:p w:rsidR="00F93B65" w:rsidRDefault="00F93B65" w:rsidP="00952B73">
      <w:r>
        <w:t>IEA-priser for kul, råolie og naturgas består af både</w:t>
      </w:r>
      <w:r w:rsidR="00952B73" w:rsidRPr="007F1766">
        <w:t xml:space="preserve"> statistikker</w:t>
      </w:r>
      <w:r w:rsidR="00952B73">
        <w:t xml:space="preserve"> og fremskrivninger</w:t>
      </w:r>
      <w:r>
        <w:t>:</w:t>
      </w:r>
    </w:p>
    <w:p w:rsidR="00F93B65" w:rsidRPr="00F93B65" w:rsidRDefault="00F93B65" w:rsidP="00F93B65">
      <w:pPr>
        <w:pStyle w:val="Listeafsnit"/>
        <w:numPr>
          <w:ilvl w:val="0"/>
          <w:numId w:val="10"/>
        </w:numPr>
      </w:pPr>
      <w:r>
        <w:t>Til og med 2010 er priserne fr</w:t>
      </w:r>
      <w:r w:rsidRPr="003A635E">
        <w:t xml:space="preserve">a </w:t>
      </w:r>
      <w:r w:rsidRPr="003A635E">
        <w:rPr>
          <w:rStyle w:val="Fodnotehenvisning"/>
        </w:rPr>
        <w:t xml:space="preserve"> </w:t>
      </w:r>
      <w:r w:rsidRPr="003A635E">
        <w:t>IEA Energy Prices and Statistics</w:t>
      </w:r>
      <w:r>
        <w:t xml:space="preserve"> og baseret på de gennemsnitlige </w:t>
      </w:r>
      <w:r w:rsidRPr="00F93B65">
        <w:t xml:space="preserve">priser i OECD-medlemslande. </w:t>
      </w:r>
    </w:p>
    <w:p w:rsidR="00952B73" w:rsidRDefault="00F93B65" w:rsidP="00F93B65">
      <w:pPr>
        <w:pStyle w:val="Listeafsnit"/>
        <w:numPr>
          <w:ilvl w:val="0"/>
          <w:numId w:val="10"/>
        </w:numPr>
      </w:pPr>
      <w:r>
        <w:t>Efter</w:t>
      </w:r>
      <w:r w:rsidRPr="007F1766">
        <w:t xml:space="preserve"> 2010 er</w:t>
      </w:r>
      <w:r>
        <w:t xml:space="preserve"> priserne</w:t>
      </w:r>
      <w:r w:rsidRPr="007F1766">
        <w:t xml:space="preserve"> fra IEA’s World Energy Outlook</w:t>
      </w:r>
      <w:r>
        <w:t xml:space="preserve"> New Policies Scenario og baseret på et gennemsnit for</w:t>
      </w:r>
      <w:r w:rsidR="005B69FE">
        <w:t xml:space="preserve"> importpriser i</w:t>
      </w:r>
      <w:r>
        <w:t xml:space="preserve"> EU. </w:t>
      </w:r>
    </w:p>
    <w:p w:rsidR="00F93B65" w:rsidRDefault="00F93B65" w:rsidP="00952B73"/>
    <w:p w:rsidR="00952B73" w:rsidRPr="007F1766" w:rsidRDefault="00952B73" w:rsidP="00952B73">
      <w:pPr>
        <w:rPr>
          <w:highlight w:val="yellow"/>
        </w:rPr>
      </w:pPr>
      <w:r w:rsidRPr="003A635E">
        <w:t>De h</w:t>
      </w:r>
      <w:r w:rsidR="00F93B65">
        <w:t>istoriske danske basispriser på fossile</w:t>
      </w:r>
      <w:r w:rsidRPr="003A635E">
        <w:t xml:space="preserve"> brændsler beregnes på baggrund af data fra</w:t>
      </w:r>
      <w:r w:rsidR="00C566E8">
        <w:t xml:space="preserve"> Energiregnskabet fra</w:t>
      </w:r>
      <w:r w:rsidRPr="003A635E">
        <w:t xml:space="preserve"> </w:t>
      </w:r>
      <w:r w:rsidR="00F93B65">
        <w:t>Danmarks Statistik for 2001</w:t>
      </w:r>
      <w:r w:rsidR="00C566E8">
        <w:t>-2015</w:t>
      </w:r>
      <w:r w:rsidR="00F93B65">
        <w:t>, som angiver</w:t>
      </w:r>
      <w:r w:rsidR="003F024D">
        <w:t xml:space="preserve"> produktion og forbrug af energivarer opgjort </w:t>
      </w:r>
      <w:r w:rsidR="00F93B65">
        <w:t xml:space="preserve">i </w:t>
      </w:r>
      <w:r w:rsidR="003F024D">
        <w:t>b</w:t>
      </w:r>
      <w:r w:rsidR="00F93B65">
        <w:t>åde</w:t>
      </w:r>
      <w:r w:rsidR="003F024D">
        <w:t xml:space="preserve"> fysiske</w:t>
      </w:r>
      <w:r w:rsidR="00F93B65">
        <w:t xml:space="preserve"> mængder og værdier</w:t>
      </w:r>
      <w:r w:rsidRPr="003A635E">
        <w:rPr>
          <w:rStyle w:val="Fodnotehenvisning"/>
        </w:rPr>
        <w:footnoteReference w:id="3"/>
      </w:r>
      <w:r w:rsidRPr="003A635E">
        <w:t>. Basispriserne</w:t>
      </w:r>
      <w:r>
        <w:t xml:space="preserve"> afspejler de faktiske pengestrømme knyttet til forbrug af brændsler i den danske økonomi i et givet år.</w:t>
      </w:r>
    </w:p>
    <w:p w:rsidR="00952B73" w:rsidRDefault="00952B73" w:rsidP="00952B73"/>
    <w:p w:rsidR="00952B73" w:rsidRDefault="00952B73" w:rsidP="00952B73">
      <w:r>
        <w:t xml:space="preserve">Nedenfor gennemgås punkt </w:t>
      </w:r>
      <w:r w:rsidR="003F024D">
        <w:t>1</w:t>
      </w:r>
      <w:r>
        <w:t xml:space="preserve"> og 3 for de enkelte brændsler.</w:t>
      </w:r>
    </w:p>
    <w:p w:rsidR="00952B73" w:rsidRDefault="00952B73" w:rsidP="00952B73"/>
    <w:p w:rsidR="00952B73" w:rsidRDefault="00952B73" w:rsidP="00952B73">
      <w:pPr>
        <w:rPr>
          <w:b/>
        </w:rPr>
      </w:pPr>
      <w:r>
        <w:rPr>
          <w:b/>
        </w:rPr>
        <w:t>Kul</w:t>
      </w:r>
    </w:p>
    <w:p w:rsidR="00952B73" w:rsidRDefault="00952B73" w:rsidP="00952B73">
      <w:r>
        <w:t>Den danske basispris</w:t>
      </w:r>
      <w:r w:rsidR="00EF1A4B">
        <w:t xml:space="preserve"> </w:t>
      </w:r>
      <w:r w:rsidR="007852F4">
        <w:t xml:space="preserve">på kul </w:t>
      </w:r>
      <w:r>
        <w:t>er</w:t>
      </w:r>
      <w:r w:rsidR="007852F4">
        <w:t xml:space="preserve"> i gennemsnit</w:t>
      </w:r>
      <w:r>
        <w:t xml:space="preserve"> </w:t>
      </w:r>
      <w:r w:rsidR="00EF1A4B" w:rsidRPr="003F024D">
        <w:t>0,30</w:t>
      </w:r>
      <w:r w:rsidR="005618E6">
        <w:t xml:space="preserve"> DKK/GJ</w:t>
      </w:r>
      <w:r w:rsidR="00EF1A4B">
        <w:t xml:space="preserve"> </w:t>
      </w:r>
      <w:r w:rsidR="005618E6">
        <w:t>(</w:t>
      </w:r>
      <w:r w:rsidR="00EF1A4B">
        <w:t>2017-priser</w:t>
      </w:r>
      <w:r w:rsidR="005618E6">
        <w:t>)</w:t>
      </w:r>
      <w:r w:rsidR="00EF1A4B">
        <w:t xml:space="preserve"> større end </w:t>
      </w:r>
      <w:r>
        <w:t>IEA-</w:t>
      </w:r>
      <w:r w:rsidR="00EF1A4B">
        <w:t xml:space="preserve">prisen </w:t>
      </w:r>
      <w:r w:rsidR="003F024D">
        <w:t>for 2001</w:t>
      </w:r>
      <w:r w:rsidR="00C566E8">
        <w:t>-2015</w:t>
      </w:r>
      <w:r>
        <w:t>.</w:t>
      </w:r>
    </w:p>
    <w:p w:rsidR="00952B73" w:rsidRDefault="00952B73" w:rsidP="00952B73"/>
    <w:p w:rsidR="00952B73" w:rsidRDefault="00952B73" w:rsidP="00952B73">
      <w:r>
        <w:t>Derudover udgøres pristillægget til kul af omkostninger</w:t>
      </w:r>
      <w:r w:rsidR="0023115A">
        <w:t xml:space="preserve"> til transport fra anløbshavnen (Ensted eller Stigsnæs) og hen til det enkelte kulforbrugende kraftværk i Danmark</w:t>
      </w:r>
      <w:r>
        <w:t xml:space="preserve">. </w:t>
      </w:r>
      <w:r w:rsidR="003F024D">
        <w:t>Med udgangspunkt i omkostningsestimater</w:t>
      </w:r>
      <w:r w:rsidR="00671C48">
        <w:t xml:space="preserve"> for transport af kul med kulpram</w:t>
      </w:r>
      <w:r w:rsidR="003F024D">
        <w:t xml:space="preserve"> fra </w:t>
      </w:r>
      <w:r>
        <w:t>Ea Energianalyse</w:t>
      </w:r>
      <w:r w:rsidR="0023115A">
        <w:rPr>
          <w:rStyle w:val="Fodnotehenvisning"/>
        </w:rPr>
        <w:footnoteReference w:id="4"/>
      </w:r>
      <w:r w:rsidR="003F024D">
        <w:t xml:space="preserve"> og en estimeret gennemsnitlig transportafstand på ca. 140 sømil</w:t>
      </w:r>
      <w:r>
        <w:t xml:space="preserve"> </w:t>
      </w:r>
      <w:r w:rsidRPr="003F024D">
        <w:t>beregner</w:t>
      </w:r>
      <w:r w:rsidR="003F024D" w:rsidRPr="003F024D">
        <w:t xml:space="preserve"> Energistyrelsen</w:t>
      </w:r>
      <w:r w:rsidRPr="003F024D">
        <w:t xml:space="preserve"> transportomkostningerne for kul til at være </w:t>
      </w:r>
      <w:r w:rsidR="003F024D" w:rsidRPr="003F024D">
        <w:t>0,</w:t>
      </w:r>
      <w:r w:rsidRPr="003F024D">
        <w:t>4</w:t>
      </w:r>
      <w:r w:rsidR="003F024D" w:rsidRPr="003F024D">
        <w:t>7</w:t>
      </w:r>
      <w:r w:rsidRPr="003F024D">
        <w:t xml:space="preserve"> kr./GJ i 201</w:t>
      </w:r>
      <w:r w:rsidR="003F024D" w:rsidRPr="003F024D">
        <w:t>7</w:t>
      </w:r>
      <w:r w:rsidR="0023115A">
        <w:t>.</w:t>
      </w:r>
    </w:p>
    <w:p w:rsidR="00671C48" w:rsidRDefault="00671C48" w:rsidP="00952B73"/>
    <w:p w:rsidR="00952B73" w:rsidRDefault="00952B73" w:rsidP="00952B73">
      <w:r>
        <w:lastRenderedPageBreak/>
        <w:t>Alle tillæggene til kul holdes konstante i hele fremskrivningsperioden.</w:t>
      </w:r>
    </w:p>
    <w:p w:rsidR="00952B73" w:rsidRDefault="00952B73" w:rsidP="00952B73"/>
    <w:p w:rsidR="00952B73" w:rsidRDefault="00952B73" w:rsidP="00952B73">
      <w:r>
        <w:t>Metoden repræsenterer prisen på kul, når det når frem til kraftværket, og indeholder derfor ikke lageromkostninger, kapitalomkostninger forbundet med at opretholde lager, osv. Disse omkostninger anses som en del af kraftværkets driftsomkostninger</w:t>
      </w:r>
      <w:r>
        <w:rPr>
          <w:rStyle w:val="Fodnotehenvisning"/>
        </w:rPr>
        <w:footnoteReference w:id="5"/>
      </w:r>
      <w:r>
        <w:t xml:space="preserve">. </w:t>
      </w:r>
    </w:p>
    <w:p w:rsidR="00952B73" w:rsidRDefault="00952B73" w:rsidP="00952B73"/>
    <w:p w:rsidR="00952B73" w:rsidRDefault="00952B73" w:rsidP="00952B73">
      <w:pPr>
        <w:rPr>
          <w:b/>
        </w:rPr>
      </w:pPr>
      <w:r>
        <w:rPr>
          <w:b/>
        </w:rPr>
        <w:t>Naturgas</w:t>
      </w:r>
    </w:p>
    <w:p w:rsidR="006F152D" w:rsidRDefault="00952B73" w:rsidP="00952B73">
      <w:r>
        <w:t xml:space="preserve">Den danske basispris </w:t>
      </w:r>
      <w:r w:rsidR="007852F4">
        <w:t xml:space="preserve">på naturgas </w:t>
      </w:r>
      <w:r>
        <w:t>er</w:t>
      </w:r>
      <w:r w:rsidR="007852F4">
        <w:t xml:space="preserve"> i gennemsnit</w:t>
      </w:r>
      <w:r>
        <w:t xml:space="preserve"> </w:t>
      </w:r>
      <w:r w:rsidRPr="00F1150A">
        <w:t>1</w:t>
      </w:r>
      <w:r w:rsidR="00F1150A" w:rsidRPr="00F1150A">
        <w:t>3</w:t>
      </w:r>
      <w:r w:rsidRPr="00F1150A">
        <w:t>,</w:t>
      </w:r>
      <w:r w:rsidR="00F1150A" w:rsidRPr="00F1150A">
        <w:t>9</w:t>
      </w:r>
      <w:r w:rsidR="008A3B84">
        <w:t xml:space="preserve"> DKK/GJ </w:t>
      </w:r>
      <w:r w:rsidR="005618E6">
        <w:t>(</w:t>
      </w:r>
      <w:r w:rsidR="008A3B84">
        <w:t>2017</w:t>
      </w:r>
      <w:r w:rsidR="007852F4">
        <w:t>-priser</w:t>
      </w:r>
      <w:r w:rsidR="005618E6">
        <w:t>)</w:t>
      </w:r>
      <w:r w:rsidR="007852F4">
        <w:t xml:space="preserve"> lavere end IEA-prisen for 2001-2015, hvilket </w:t>
      </w:r>
      <w:r>
        <w:t>peger på, at prisniveauet i Danmark</w:t>
      </w:r>
      <w:r w:rsidR="006F152D">
        <w:t xml:space="preserve"> historisk set</w:t>
      </w:r>
      <w:r>
        <w:t xml:space="preserve"> generelt </w:t>
      </w:r>
      <w:r w:rsidR="006F152D">
        <w:t>ha</w:t>
      </w:r>
      <w:r>
        <w:t>r</w:t>
      </w:r>
      <w:r w:rsidR="006F152D">
        <w:t xml:space="preserve"> været</w:t>
      </w:r>
      <w:r>
        <w:t xml:space="preserve"> lavere end det eu</w:t>
      </w:r>
      <w:r w:rsidR="00BF471B">
        <w:t>ropæiske gennemsnit.</w:t>
      </w:r>
    </w:p>
    <w:p w:rsidR="006F152D" w:rsidRDefault="006F152D" w:rsidP="00952B73"/>
    <w:p w:rsidR="00C22054" w:rsidRDefault="00C22054" w:rsidP="002331E1">
      <w:r w:rsidRPr="00933922">
        <w:t xml:space="preserve">For at sikre konsistens mellem </w:t>
      </w:r>
      <w:r>
        <w:t xml:space="preserve">de fremskrevne </w:t>
      </w:r>
      <w:r w:rsidRPr="00933922">
        <w:t>priser på de forskelige brændsler</w:t>
      </w:r>
      <w:r>
        <w:t xml:space="preserve"> </w:t>
      </w:r>
      <w:r w:rsidRPr="00933922">
        <w:t>er det vigtigt at basere alle priser på den samme kilde</w:t>
      </w:r>
      <w:r w:rsidR="00A43751">
        <w:t>, da</w:t>
      </w:r>
      <w:r w:rsidR="00A43751" w:rsidRPr="00A43751">
        <w:t xml:space="preserve"> </w:t>
      </w:r>
      <w:r w:rsidR="00A43751">
        <w:t>d</w:t>
      </w:r>
      <w:r w:rsidR="00A43751" w:rsidRPr="00933922">
        <w:t xml:space="preserve">et er den relative pris mellem brændslerne, som er vigtig i </w:t>
      </w:r>
      <w:r w:rsidR="00A43751">
        <w:t xml:space="preserve">fremskrivningen af brændselspriser og i </w:t>
      </w:r>
      <w:r w:rsidR="00A43751" w:rsidRPr="00933922">
        <w:t>de samfundsøkon</w:t>
      </w:r>
      <w:r w:rsidR="00A43751">
        <w:t>omiske beregningsforudsætninger</w:t>
      </w:r>
      <w:r w:rsidRPr="00933922">
        <w:t xml:space="preserve">. IEA’s World Energy Outlook er kilde til importpriser på kul og olie, så derfor skal IEA WEO også være kilde til importpriser på naturgas. </w:t>
      </w:r>
    </w:p>
    <w:p w:rsidR="00C22054" w:rsidRDefault="00C22054" w:rsidP="002331E1"/>
    <w:p w:rsidR="00FB38EC" w:rsidRDefault="00FB38EC" w:rsidP="00C22054">
      <w:r>
        <w:t>Aktuelt ses visse regionale forskelle i de europæiske gaspriser. Efterhånden som mere og mere gas i Europa handles på børser, vil gaspriser i Europa konvergere mod et fælles niveau. Fuld konvergens af europæiske gaspriser ventes dog at ske på så lang sigt, at det er uden for dette notats tidshorisont.</w:t>
      </w:r>
    </w:p>
    <w:p w:rsidR="00FB38EC" w:rsidRDefault="00FB38EC" w:rsidP="00C22054"/>
    <w:p w:rsidR="006F152D" w:rsidRDefault="00C22054" w:rsidP="006F152D">
      <w:r w:rsidRPr="00933922">
        <w:t>Det er korrekt, at importpriser</w:t>
      </w:r>
      <w:r>
        <w:t xml:space="preserve"> fra</w:t>
      </w:r>
      <w:r w:rsidRPr="00933922">
        <w:t xml:space="preserve"> </w:t>
      </w:r>
      <w:r>
        <w:t>IEA</w:t>
      </w:r>
      <w:r w:rsidRPr="00933922">
        <w:t xml:space="preserve"> WEO er opgjort som gennemsnitspriser for hele EU. Desværre opgør IEA ikke fremskrivninger af importpriser på et mere detaljeret niveau.</w:t>
      </w:r>
      <w:r>
        <w:t xml:space="preserve"> Man kan derfor overveje, om der bør ske en fuldstændig udligning med IEA’s pris på lang sigt. </w:t>
      </w:r>
      <w:r w:rsidR="006F152D">
        <w:t>I takt med at gasproduktionen fra Nordsøen falder, vil Danmark i stigende grad købe gas i udlandet, formentlig fra Tyskland. Så det langsigtede niveau for den danske importpris på naturgas vil være et niveau svarende til den tyske pris på naturgas.</w:t>
      </w:r>
    </w:p>
    <w:p w:rsidR="006F152D" w:rsidRDefault="006F152D" w:rsidP="006F152D"/>
    <w:p w:rsidR="006F152D" w:rsidRDefault="006F152D" w:rsidP="006F152D">
      <w:r>
        <w:t>I 2015 er importprisen på naturgas i EU 7,0 USD/MBtu i</w:t>
      </w:r>
      <w:r w:rsidR="000954C1">
        <w:t>følge</w:t>
      </w:r>
      <w:r>
        <w:t xml:space="preserve"> IEA WEO2016. Dette svarer til 44,6 kr./GJ. Gennemsnittet af den daglige referencepris fra den tyske børs NetConnect Germany (NCG) for 2015 er 20,0 EUR/MWh, svarende til 41,4 kr./GJ</w:t>
      </w:r>
      <w:r w:rsidRPr="002331E1">
        <w:rPr>
          <w:rStyle w:val="Fodnotehenvisning"/>
        </w:rPr>
        <w:footnoteReference w:id="6"/>
      </w:r>
      <w:r>
        <w:t xml:space="preserve">. I 2015 er den tyske naturgaspris således ca. 7 pct. lavere end det europæiske gennemsnit fra IEA WEO2016. </w:t>
      </w:r>
    </w:p>
    <w:p w:rsidR="006F152D" w:rsidRDefault="006F152D" w:rsidP="006F152D"/>
    <w:p w:rsidR="00C22054" w:rsidRDefault="006F152D" w:rsidP="00C22054">
      <w:r>
        <w:t xml:space="preserve">Ifølge Energistyrelsen (2017) skønnes Danmark at være nettoeksportør af naturgas til efter 2035, hvis både de teknologiske ressourcer og efterforskningsressourcerne </w:t>
      </w:r>
      <w:r>
        <w:lastRenderedPageBreak/>
        <w:t xml:space="preserve">medtages. </w:t>
      </w:r>
      <w:r w:rsidR="00C22054">
        <w:t>I 2020 og 2021 forventes et markant fald i gasproduktionen på grund af renoveringen af Tyra-feltets anlæg, sådan at forbruget forventes at overstige produktionen. I forhold til fremskrivningen af brændselspriserne må det forventes at brugen af forwardpriserne i konvergensforløbet mellem priser på kort sigt og på længere sigt tager højde for denne situation.</w:t>
      </w:r>
    </w:p>
    <w:p w:rsidR="006F152D" w:rsidRDefault="006F152D" w:rsidP="006F152D"/>
    <w:p w:rsidR="006F152D" w:rsidRDefault="000954C1" w:rsidP="006F152D">
      <w:r>
        <w:t xml:space="preserve">Som </w:t>
      </w:r>
      <w:r w:rsidR="006F152D">
        <w:t xml:space="preserve">ny metode til udligning af forskellen mellem den danske importpris og IEA-prisen på naturgas </w:t>
      </w:r>
      <w:r>
        <w:t>er det valgt</w:t>
      </w:r>
      <w:r w:rsidR="006F152D">
        <w:t xml:space="preserve"> at sætte den danske importpris til at </w:t>
      </w:r>
      <w:r w:rsidR="00D12126">
        <w:t xml:space="preserve">nå </w:t>
      </w:r>
      <w:r w:rsidR="006F152D">
        <w:t>samme niveau som den tyske naturgaspris, dvs. ca. 7 pct. lavere end IEA-prisen, i 2036. Fra 2017 og til 2036 sker en lineær reduktion af prisforskellen.</w:t>
      </w:r>
      <w:r w:rsidR="00CA046D">
        <w:t xml:space="preserve"> Reduktionen af prisforskellen og tilnærmelsen til det tyske gasprisniveau betyder, at naturgasprisen ikke vokser med den implicitte vækstrate fra IEA-prisen, men derimod med en tilpasset vækstrate, som følger udligningen. </w:t>
      </w:r>
    </w:p>
    <w:p w:rsidR="00952B73" w:rsidRDefault="00952B73" w:rsidP="00952B73"/>
    <w:p w:rsidR="00952B73" w:rsidRDefault="00952B73" w:rsidP="00952B73">
      <w:r>
        <w:t xml:space="preserve">Ud over forskellen mellem danske basispriser og IEA-priser består tillægget til naturgas af </w:t>
      </w:r>
      <w:r w:rsidR="000954C1">
        <w:t>t</w:t>
      </w:r>
      <w:r>
        <w:t>re elementer. Disse tillæg holdes konstante i hele fremskrivningsperioden.</w:t>
      </w:r>
    </w:p>
    <w:p w:rsidR="00952B73" w:rsidRDefault="00952B73" w:rsidP="00952B73"/>
    <w:p w:rsidR="00952B73" w:rsidRDefault="00952B73" w:rsidP="00952B73">
      <w:pPr>
        <w:pStyle w:val="Listeafsnit"/>
        <w:numPr>
          <w:ilvl w:val="0"/>
          <w:numId w:val="2"/>
        </w:numPr>
      </w:pPr>
      <w:r>
        <w:t>Transmission.</w:t>
      </w:r>
    </w:p>
    <w:p w:rsidR="00952B73" w:rsidRPr="00853B77" w:rsidRDefault="00952B73" w:rsidP="00952B73">
      <w:pPr>
        <w:pStyle w:val="Listeafsnit"/>
        <w:ind w:left="360"/>
      </w:pPr>
      <w:r>
        <w:t>Entrytariffen er inkluderet i den danske bas</w:t>
      </w:r>
      <w:r w:rsidR="00A66297">
        <w:t>ispris på</w:t>
      </w:r>
      <w:r>
        <w:t xml:space="preserve"> naturgas, da gassen er købt på Gas Point Nordic</w:t>
      </w:r>
      <w:r w:rsidR="00A66297">
        <w:t xml:space="preserve"> og dermed allerede er inde i det danske gassystem. T</w:t>
      </w:r>
      <w:r>
        <w:t>illægget for transmission omfatter</w:t>
      </w:r>
      <w:r w:rsidR="00A66297">
        <w:t xml:space="preserve"> derfor</w:t>
      </w:r>
      <w:r>
        <w:t xml:space="preserve"> blot exittarif, volumentarif og nødforsyning. Energistyrelsen beregner transmissionstillægget t</w:t>
      </w:r>
      <w:r w:rsidRPr="00A66297">
        <w:t>il 2,3</w:t>
      </w:r>
      <w:r>
        <w:t xml:space="preserve"> DKK/GJ for forbrugere </w:t>
      </w:r>
      <w:r w:rsidRPr="00A66297">
        <w:t>og 2,</w:t>
      </w:r>
      <w:r w:rsidR="00A66297" w:rsidRPr="00A66297">
        <w:t>4</w:t>
      </w:r>
      <w:r>
        <w:t xml:space="preserve"> DKK/GJ for værker og kraftværker i 201</w:t>
      </w:r>
      <w:r w:rsidR="008A3B84">
        <w:t>7</w:t>
      </w:r>
      <w:r>
        <w:t>.</w:t>
      </w:r>
      <w:r>
        <w:rPr>
          <w:rStyle w:val="Fodnotehenvisning"/>
        </w:rPr>
        <w:footnoteReference w:id="7"/>
      </w:r>
    </w:p>
    <w:p w:rsidR="00952B73" w:rsidRPr="00853B77" w:rsidRDefault="00952B73" w:rsidP="00952B73">
      <w:pPr>
        <w:pStyle w:val="Listeafsnit"/>
        <w:ind w:left="360"/>
      </w:pPr>
    </w:p>
    <w:p w:rsidR="00952B73" w:rsidRPr="00400F55" w:rsidRDefault="00952B73" w:rsidP="00952B73">
      <w:pPr>
        <w:pStyle w:val="Listeafsnit"/>
        <w:numPr>
          <w:ilvl w:val="0"/>
          <w:numId w:val="2"/>
        </w:numPr>
      </w:pPr>
      <w:r w:rsidRPr="00400F55">
        <w:t>Distribution.</w:t>
      </w:r>
    </w:p>
    <w:p w:rsidR="00952B73" w:rsidRDefault="00952B73" w:rsidP="00952B73">
      <w:pPr>
        <w:pStyle w:val="Listeafsnit"/>
        <w:ind w:left="360"/>
      </w:pPr>
      <w:r w:rsidRPr="00C15716">
        <w:t xml:space="preserve">Omkostninger til distribution beregnes som en vægtet pris ud fra de tre </w:t>
      </w:r>
      <w:r>
        <w:t>distributionsselskabers markedsandele og distributionstariffer fratrukket energispareaktiviteter. Energistyr</w:t>
      </w:r>
      <w:r w:rsidRPr="002278B1">
        <w:t>elsen beregner distributionstillægget til 22,2 DKK/GJ for husholdninger</w:t>
      </w:r>
      <w:r w:rsidR="008A3B84" w:rsidRPr="002278B1">
        <w:t xml:space="preserve"> og</w:t>
      </w:r>
      <w:r w:rsidRPr="002278B1">
        <w:t xml:space="preserve"> 5,</w:t>
      </w:r>
      <w:r w:rsidR="002278B1" w:rsidRPr="002278B1">
        <w:t>8</w:t>
      </w:r>
      <w:r w:rsidR="008A3B84">
        <w:t xml:space="preserve"> DKK/GJ for værker i 2017</w:t>
      </w:r>
      <w:r>
        <w:t>.</w:t>
      </w:r>
      <w:r>
        <w:rPr>
          <w:rStyle w:val="Fodnotehenvisning"/>
        </w:rPr>
        <w:footnoteReference w:id="8"/>
      </w:r>
      <w:r>
        <w:t xml:space="preserve"> </w:t>
      </w:r>
    </w:p>
    <w:p w:rsidR="008A3B84" w:rsidRDefault="008A3B84" w:rsidP="00952B73">
      <w:pPr>
        <w:pStyle w:val="Listeafsnit"/>
        <w:ind w:left="360"/>
      </w:pPr>
    </w:p>
    <w:p w:rsidR="008A3B84" w:rsidRPr="00C15716" w:rsidRDefault="008A3B84" w:rsidP="008A3B84">
      <w:pPr>
        <w:pStyle w:val="Listeafsnit"/>
        <w:ind w:left="360"/>
      </w:pPr>
      <w:r w:rsidRPr="00FA7EB2">
        <w:t>Kraftvær</w:t>
      </w:r>
      <w:r>
        <w:t>k</w:t>
      </w:r>
      <w:r w:rsidRPr="00FA7EB2">
        <w:t xml:space="preserve">er </w:t>
      </w:r>
      <w:r>
        <w:t>benytter ikke distributionsnettet for naturgas</w:t>
      </w:r>
      <w:r w:rsidRPr="00FA7EB2">
        <w:t xml:space="preserve"> </w:t>
      </w:r>
      <w:r>
        <w:t>og betaler derfor ikke distributionstariffer.</w:t>
      </w:r>
    </w:p>
    <w:p w:rsidR="00952B73" w:rsidRPr="00C15716" w:rsidRDefault="00952B73" w:rsidP="00952B73">
      <w:pPr>
        <w:pStyle w:val="Listeafsnit"/>
        <w:ind w:left="360"/>
      </w:pPr>
    </w:p>
    <w:p w:rsidR="00952B73" w:rsidRPr="002331E1" w:rsidRDefault="00C22054" w:rsidP="00952B73">
      <w:pPr>
        <w:pStyle w:val="Listeafsnit"/>
        <w:numPr>
          <w:ilvl w:val="0"/>
          <w:numId w:val="2"/>
        </w:numPr>
      </w:pPr>
      <w:r w:rsidRPr="002331E1">
        <w:t xml:space="preserve">Avance </w:t>
      </w:r>
      <w:r>
        <w:t>ved</w:t>
      </w:r>
      <w:r w:rsidRPr="002331E1">
        <w:t xml:space="preserve"> salg af gas t</w:t>
      </w:r>
      <w:r>
        <w:t>i</w:t>
      </w:r>
      <w:r w:rsidRPr="002331E1">
        <w:t>l husholdninger</w:t>
      </w:r>
      <w:r w:rsidR="000638FF">
        <w:t xml:space="preserve"> og værker</w:t>
      </w:r>
      <w:r w:rsidR="00952B73" w:rsidRPr="002331E1">
        <w:t>.</w:t>
      </w:r>
    </w:p>
    <w:p w:rsidR="00FB38EC" w:rsidRDefault="00C22054" w:rsidP="00952B73">
      <w:pPr>
        <w:pStyle w:val="Listeafsnit"/>
        <w:ind w:left="360"/>
      </w:pPr>
      <w:r>
        <w:t xml:space="preserve">Tidligere anvendtes en avance, som var opgjort af Ea Energianalyse i 2014. Fremover opdateres avancen ved salg af gas til husholdninger hvert år i forbindelse med fremskrivningen af brændselspriserne. </w:t>
      </w:r>
    </w:p>
    <w:p w:rsidR="00DB1E7D" w:rsidRDefault="00C22054" w:rsidP="00952B73">
      <w:pPr>
        <w:pStyle w:val="Listeafsnit"/>
        <w:ind w:left="360"/>
      </w:pPr>
      <w:r>
        <w:lastRenderedPageBreak/>
        <w:t>Avancen ved salg af gas til</w:t>
      </w:r>
      <w:r w:rsidR="00DB1E7D">
        <w:t xml:space="preserve"> husholdninger estimeres af</w:t>
      </w:r>
      <w:r w:rsidR="00DD13E6">
        <w:t xml:space="preserve"> Energistyrelsen på baggrund af</w:t>
      </w:r>
      <w:r w:rsidR="00DB1E7D">
        <w:t xml:space="preserve"> Energitilsynet</w:t>
      </w:r>
      <w:r w:rsidR="00DD13E6">
        <w:t>s naturgasprisstatistik</w:t>
      </w:r>
      <w:r w:rsidR="00DD13E6">
        <w:rPr>
          <w:rStyle w:val="Fodnotehenvisning"/>
        </w:rPr>
        <w:footnoteReference w:id="9"/>
      </w:r>
      <w:r w:rsidR="00DB1E7D">
        <w:t xml:space="preserve"> fratrukket spotprisen fra Gas Point Nordic</w:t>
      </w:r>
      <w:r w:rsidR="00622EB1">
        <w:t>.</w:t>
      </w:r>
      <w:r w:rsidRPr="00C22054">
        <w:t xml:space="preserve"> </w:t>
      </w:r>
      <w:r>
        <w:t>For at ensarte metoden for estimering af avancer an husholdning anvendes et gennemsnit for de seneste fem år, som der findes data for.</w:t>
      </w:r>
      <w:r w:rsidR="00622EB1">
        <w:t xml:space="preserve"> Estimatet for </w:t>
      </w:r>
      <w:r>
        <w:t xml:space="preserve">avancen </w:t>
      </w:r>
      <w:r w:rsidR="00622EB1">
        <w:t>udgøres af et gennemsnit for perioden 2012-2016, og udgør 8,1 DKK/GJ i 2017.</w:t>
      </w:r>
    </w:p>
    <w:p w:rsidR="00DB1E7D" w:rsidRDefault="00DB1E7D" w:rsidP="00952B73">
      <w:pPr>
        <w:pStyle w:val="Listeafsnit"/>
        <w:ind w:left="360"/>
      </w:pPr>
    </w:p>
    <w:p w:rsidR="00952B73" w:rsidRPr="00804AEA" w:rsidRDefault="000638FF" w:rsidP="00952B73">
      <w:pPr>
        <w:pStyle w:val="Listeafsnit"/>
        <w:ind w:left="360"/>
      </w:pPr>
      <w:r>
        <w:t>Avanc</w:t>
      </w:r>
      <w:r w:rsidRPr="00DB1E7D">
        <w:t>en</w:t>
      </w:r>
      <w:r>
        <w:t xml:space="preserve"> ved salg af gas til</w:t>
      </w:r>
      <w:r w:rsidR="00DB1E7D" w:rsidRPr="00DB1E7D">
        <w:t xml:space="preserve"> værker estimeres</w:t>
      </w:r>
      <w:r w:rsidR="00952B73" w:rsidRPr="00DB1E7D">
        <w:t xml:space="preserve"> af Ea Energianalyse til at være 0,8 DKK/GJ i 2013. Opregnet til 201</w:t>
      </w:r>
      <w:r w:rsidR="008A3B84" w:rsidRPr="00DB1E7D">
        <w:t>7</w:t>
      </w:r>
      <w:r w:rsidR="00952B73" w:rsidRPr="00DB1E7D">
        <w:t xml:space="preserve">-priser er </w:t>
      </w:r>
      <w:r>
        <w:t>avanc</w:t>
      </w:r>
      <w:r w:rsidRPr="00DB1E7D">
        <w:t xml:space="preserve">en </w:t>
      </w:r>
      <w:r w:rsidR="00952B73" w:rsidRPr="00DB1E7D">
        <w:t>0,8 DKK/GJ for værker.</w:t>
      </w:r>
    </w:p>
    <w:p w:rsidR="00952B73" w:rsidRPr="00804AEA" w:rsidRDefault="00952B73" w:rsidP="00952B73">
      <w:pPr>
        <w:pStyle w:val="Listeafsnit"/>
        <w:ind w:left="360"/>
      </w:pPr>
    </w:p>
    <w:p w:rsidR="00952B73" w:rsidRPr="00FA7EB2" w:rsidRDefault="00952B73" w:rsidP="00952B73">
      <w:pPr>
        <w:pStyle w:val="Listeafsnit"/>
        <w:ind w:left="360"/>
      </w:pPr>
      <w:r w:rsidRPr="00FA7EB2">
        <w:t>Kraftvær</w:t>
      </w:r>
      <w:r>
        <w:t>k</w:t>
      </w:r>
      <w:r w:rsidRPr="00FA7EB2">
        <w:t xml:space="preserve">er kan købe gas direkte på </w:t>
      </w:r>
      <w:r>
        <w:t>e</w:t>
      </w:r>
      <w:r w:rsidRPr="00FA7EB2">
        <w:t xml:space="preserve">ngrosmarkedet </w:t>
      </w:r>
      <w:r>
        <w:t xml:space="preserve">og pådrager sig derfor ikke </w:t>
      </w:r>
      <w:r w:rsidR="000638FF">
        <w:t xml:space="preserve">avancer </w:t>
      </w:r>
      <w:r>
        <w:t>fra detailleddet.</w:t>
      </w:r>
    </w:p>
    <w:p w:rsidR="00EF1A4B" w:rsidRDefault="00EF1A4B" w:rsidP="00EF1A4B"/>
    <w:p w:rsidR="00EF1A4B" w:rsidRDefault="00EF1A4B" w:rsidP="00EF1A4B">
      <w:pPr>
        <w:rPr>
          <w:b/>
        </w:rPr>
      </w:pPr>
      <w:r w:rsidRPr="00D11290">
        <w:rPr>
          <w:b/>
        </w:rPr>
        <w:t>Olieprodukter</w:t>
      </w:r>
    </w:p>
    <w:p w:rsidR="005618E6" w:rsidRDefault="005618E6" w:rsidP="00EF1A4B">
      <w:r>
        <w:t>Økonomi- og Indenrigsministeriet leverer en fremskrivning af den danske CIF-pris på råolie</w:t>
      </w:r>
      <w:r w:rsidR="00FB38EC">
        <w:t xml:space="preserve"> baseret på data fra IEA WEO</w:t>
      </w:r>
      <w:r>
        <w:t>. Energistyrelsen fastsætter tillæg til CIF-prisen.</w:t>
      </w:r>
    </w:p>
    <w:p w:rsidR="005618E6" w:rsidRDefault="005618E6" w:rsidP="00EF1A4B"/>
    <w:p w:rsidR="00EF1A4B" w:rsidRDefault="00EF1A4B" w:rsidP="00EF1A4B">
      <w:r>
        <w:t>Pristillægge</w:t>
      </w:r>
      <w:r w:rsidR="005618E6">
        <w:t>ne</w:t>
      </w:r>
      <w:r>
        <w:t xml:space="preserve"> til olieprodukter består af seks elementer. Raffineringsomkostninger og raffineringsmargener er ens for alle olieprodukter, mens de resterende elementer varierer fra produkt til produkt. En oversigt over alle priselementer fremgår af tabel 1</w:t>
      </w:r>
      <w:r w:rsidRPr="00870ED3">
        <w:t xml:space="preserve"> </w:t>
      </w:r>
      <w:r>
        <w:t xml:space="preserve">i bilag 1. </w:t>
      </w:r>
    </w:p>
    <w:p w:rsidR="00EF1A4B" w:rsidRDefault="00EF1A4B" w:rsidP="00EF1A4B">
      <w:r>
        <w:t>Alle tillæggene til olieprodukter holdes konstante i hele fremskrivningsperioden.</w:t>
      </w:r>
    </w:p>
    <w:p w:rsidR="00EF1A4B" w:rsidRDefault="00EF1A4B" w:rsidP="00EF1A4B">
      <w:r>
        <w:t xml:space="preserve"> </w:t>
      </w:r>
    </w:p>
    <w:p w:rsidR="00EF1A4B" w:rsidRDefault="00EF1A4B" w:rsidP="00EF1A4B">
      <w:pPr>
        <w:pStyle w:val="Listeafsnit"/>
        <w:numPr>
          <w:ilvl w:val="0"/>
          <w:numId w:val="1"/>
        </w:numPr>
      </w:pPr>
      <w:r>
        <w:t>Raffineringsmargen.</w:t>
      </w:r>
    </w:p>
    <w:p w:rsidR="00EF1A4B" w:rsidRDefault="00EF1A4B" w:rsidP="00EF1A4B">
      <w:pPr>
        <w:pStyle w:val="Listeafsnit"/>
        <w:ind w:left="360"/>
      </w:pPr>
      <w:r w:rsidRPr="00F71D2F">
        <w:t>Raffineringsmargen er forskellen mellem engrossalgsværdien af olieprodukter og værdien af den råolie, som produkterne er lavet af. Ea</w:t>
      </w:r>
      <w:r>
        <w:t xml:space="preserve"> Energianalyse beregner raffineringsmargenen til at være 4,1 kr./GJ</w:t>
      </w:r>
      <w:r w:rsidRPr="00211C6B">
        <w:t xml:space="preserve"> </w:t>
      </w:r>
      <w:r>
        <w:t>i 2013</w:t>
      </w:r>
      <w:r>
        <w:rPr>
          <w:rStyle w:val="Fodnotehenvisning"/>
        </w:rPr>
        <w:footnoteReference w:id="10"/>
      </w:r>
      <w:r>
        <w:t xml:space="preserve">. Beregningen er baseret på data for kvartalsvise raffineringsmargener fra BP’s Statistical Review of World Energy 2013. Opregnet til 2017-priser er raffineringsmargenen </w:t>
      </w:r>
      <w:r w:rsidRPr="0023115A">
        <w:t>4,3</w:t>
      </w:r>
      <w:r>
        <w:t xml:space="preserve"> kr./GJ. </w:t>
      </w:r>
    </w:p>
    <w:p w:rsidR="00EF1A4B" w:rsidRDefault="00EF1A4B" w:rsidP="00EF1A4B">
      <w:pPr>
        <w:pStyle w:val="Listeafsnit"/>
        <w:ind w:left="360"/>
      </w:pPr>
    </w:p>
    <w:p w:rsidR="00EF1A4B" w:rsidRDefault="00EF1A4B" w:rsidP="00EF1A4B">
      <w:pPr>
        <w:pStyle w:val="Listeafsnit"/>
        <w:numPr>
          <w:ilvl w:val="0"/>
          <w:numId w:val="1"/>
        </w:numPr>
      </w:pPr>
      <w:r>
        <w:t>Omkostninger til raffinering.</w:t>
      </w:r>
    </w:p>
    <w:p w:rsidR="00EF1A4B" w:rsidRDefault="00EF1A4B" w:rsidP="00EF1A4B">
      <w:pPr>
        <w:pStyle w:val="Listeafsnit"/>
        <w:ind w:left="360"/>
      </w:pPr>
      <w:r w:rsidRPr="00656363">
        <w:t>Omkostninger til raffinering beregnes som refinery spread fratrukket raffineringsmargenen. Refinery spread beregnes</w:t>
      </w:r>
      <w:r>
        <w:t xml:space="preserve"> af Energistyrelsen</w:t>
      </w:r>
      <w:r w:rsidRPr="00656363">
        <w:t xml:space="preserve"> for hvert år som den gennemsnitlige danske</w:t>
      </w:r>
      <w:r>
        <w:t xml:space="preserve"> basispris på olieprodukter fratrukket basisprisen på råolie. Et simpelt gennemsnit for den årlige prisforskel for perioden 2001-2015 er </w:t>
      </w:r>
      <w:r w:rsidRPr="0023115A">
        <w:t>13,4</w:t>
      </w:r>
      <w:r>
        <w:t xml:space="preserve"> DKK/GJ i 2017-priser. Omkostninger til raffinering er således lig 9,1 kr./GJ i 2017-priser.</w:t>
      </w:r>
    </w:p>
    <w:p w:rsidR="00EF1A4B" w:rsidRDefault="00EF1A4B" w:rsidP="00EF1A4B"/>
    <w:p w:rsidR="00EF1A4B" w:rsidRDefault="00EF1A4B" w:rsidP="00EF1A4B">
      <w:pPr>
        <w:pStyle w:val="Listeafsnit"/>
        <w:numPr>
          <w:ilvl w:val="0"/>
          <w:numId w:val="1"/>
        </w:numPr>
      </w:pPr>
      <w:r>
        <w:lastRenderedPageBreak/>
        <w:t>Produktpræmie.</w:t>
      </w:r>
    </w:p>
    <w:p w:rsidR="00EF1A4B" w:rsidRDefault="00EF1A4B" w:rsidP="00EF1A4B">
      <w:pPr>
        <w:pStyle w:val="Listeafsnit"/>
        <w:ind w:left="360"/>
      </w:pPr>
      <w:r>
        <w:t>Beregnes af Energistyrelsen for hvert år som basisprisen på det individuelle olieprodukt fratrukket den gennemsnitlige danske basispris på alle olieprodukter. Derefter beregnes en gennemsnitlig produktpræmie for 2001</w:t>
      </w:r>
      <w:r w:rsidRPr="00E36B48">
        <w:t>-201</w:t>
      </w:r>
      <w:r>
        <w:t>5, som anvendes som et estimat for den fremtidige årlige produktpræmie.</w:t>
      </w:r>
      <w:r>
        <w:rPr>
          <w:rStyle w:val="Fodnotehenvisning"/>
        </w:rPr>
        <w:footnoteReference w:id="11"/>
      </w:r>
    </w:p>
    <w:p w:rsidR="00EF1A4B" w:rsidRDefault="00EF1A4B" w:rsidP="00EF1A4B">
      <w:pPr>
        <w:pStyle w:val="Listeafsnit"/>
        <w:ind w:left="360"/>
      </w:pPr>
    </w:p>
    <w:p w:rsidR="00EF1A4B" w:rsidRDefault="00EF1A4B" w:rsidP="00EF1A4B">
      <w:pPr>
        <w:pStyle w:val="Listeafsnit"/>
        <w:numPr>
          <w:ilvl w:val="0"/>
          <w:numId w:val="1"/>
        </w:numPr>
      </w:pPr>
      <w:r>
        <w:t>Distributionsomkostninger.</w:t>
      </w:r>
    </w:p>
    <w:p w:rsidR="00EF1A4B" w:rsidRDefault="00EF1A4B" w:rsidP="00EF1A4B">
      <w:pPr>
        <w:pStyle w:val="Listeafsnit"/>
        <w:ind w:left="360"/>
      </w:pPr>
      <w:r>
        <w:t>Estimeres af Ea Energianalyse i 2013 for hvert enkelt olieprodukt på baggrund af en tidligere rapport</w:t>
      </w:r>
      <w:r>
        <w:rPr>
          <w:rStyle w:val="Fodnotehenvisning"/>
        </w:rPr>
        <w:footnoteReference w:id="12"/>
      </w:r>
      <w:r>
        <w:t xml:space="preserve">. Estimatet baseres på data for et repræsentativt selskab, der distribuerer benzin og diesel til tankstationer og fyringsolie til husholdninger, samt på andre relevante faktorer som omkostninger til terminal og depot. Energistyrelsen opregner distributionsomkostningerne til 2017-priser. </w:t>
      </w:r>
    </w:p>
    <w:p w:rsidR="00EF1A4B" w:rsidRDefault="00EF1A4B" w:rsidP="00EF1A4B">
      <w:pPr>
        <w:pStyle w:val="Listeafsnit"/>
        <w:ind w:left="360"/>
      </w:pPr>
    </w:p>
    <w:p w:rsidR="00EF1A4B" w:rsidRDefault="00C22054" w:rsidP="00EF1A4B">
      <w:pPr>
        <w:pStyle w:val="Listeafsnit"/>
        <w:numPr>
          <w:ilvl w:val="0"/>
          <w:numId w:val="1"/>
        </w:numPr>
      </w:pPr>
      <w:r>
        <w:t>Avance ved salg til forbrugere</w:t>
      </w:r>
      <w:r w:rsidR="00FB38EC">
        <w:t xml:space="preserve"> og værker</w:t>
      </w:r>
      <w:r w:rsidR="00EF1A4B">
        <w:t>.</w:t>
      </w:r>
    </w:p>
    <w:p w:rsidR="00FB38EC" w:rsidRDefault="00732068" w:rsidP="00EF1A4B">
      <w:pPr>
        <w:pStyle w:val="Listeafsnit"/>
        <w:ind w:left="360"/>
      </w:pPr>
      <w:r>
        <w:t xml:space="preserve">Avancen </w:t>
      </w:r>
      <w:r w:rsidR="000638FF">
        <w:t xml:space="preserve">estimeres </w:t>
      </w:r>
      <w:r w:rsidR="00EF1A4B">
        <w:t xml:space="preserve">af Energistyrelsen som den gennemsnitlige basispris for det enkelte olieprodukt fratrukket </w:t>
      </w:r>
      <w:r w:rsidR="00EF1A4B" w:rsidRPr="008D228E">
        <w:t>distributionsomkostninger.</w:t>
      </w:r>
      <w:r>
        <w:t xml:space="preserve"> Tidligere anvendtes </w:t>
      </w:r>
      <w:r w:rsidR="00E36C34">
        <w:t xml:space="preserve">et gennemsnit for </w:t>
      </w:r>
      <w:r>
        <w:t xml:space="preserve">en periode på femten år for alle olieprodukter. </w:t>
      </w:r>
    </w:p>
    <w:p w:rsidR="00FB38EC" w:rsidRDefault="00FB38EC" w:rsidP="00EF1A4B">
      <w:pPr>
        <w:pStyle w:val="Listeafsnit"/>
        <w:ind w:left="360"/>
      </w:pPr>
    </w:p>
    <w:p w:rsidR="00E36C34" w:rsidRDefault="00732068" w:rsidP="00EF1A4B">
      <w:pPr>
        <w:pStyle w:val="Listeafsnit"/>
        <w:ind w:left="360"/>
      </w:pPr>
      <w:r>
        <w:t>For at ensarte metoden for estimering af avancer an forbruger anvendes et gennemsnit for de seneste fem år, som der findes data for.</w:t>
      </w:r>
      <w:r w:rsidR="000638FF">
        <w:t xml:space="preserve"> </w:t>
      </w:r>
      <w:r w:rsidR="000638FF" w:rsidRPr="00160D57">
        <w:rPr>
          <w:szCs w:val="20"/>
        </w:rPr>
        <w:t xml:space="preserve">Det vurderes, at en periode på fem år vil kunne forudsige den fremtidige avance i tilfredsstillende grad, og samtidig sikre den rette balance mellem at afspejle det aktuelle marked og udgøre et tilstrækkeligt stort datagrundlag for estimatet for avancen. </w:t>
      </w:r>
      <w:r w:rsidR="00EF1A4B" w:rsidRPr="008D228E">
        <w:t>For benzin, diesel og fyringsolie betragtes</w:t>
      </w:r>
      <w:r w:rsidR="00E36C34">
        <w:t xml:space="preserve"> et gennemsnit for</w:t>
      </w:r>
      <w:r w:rsidR="00EF1A4B" w:rsidRPr="008D228E">
        <w:t xml:space="preserve"> periode</w:t>
      </w:r>
      <w:r w:rsidR="00E36C34">
        <w:t>n</w:t>
      </w:r>
      <w:r w:rsidR="00EF1A4B" w:rsidRPr="008D228E">
        <w:t xml:space="preserve"> fra 2011</w:t>
      </w:r>
      <w:r w:rsidR="00EF1A4B">
        <w:t xml:space="preserve"> til </w:t>
      </w:r>
      <w:r w:rsidR="00EF1A4B" w:rsidRPr="008D228E">
        <w:t>2015</w:t>
      </w:r>
      <w:r w:rsidR="00E36C34">
        <w:t xml:space="preserve">. </w:t>
      </w:r>
    </w:p>
    <w:p w:rsidR="00FB38EC" w:rsidRDefault="00FB38EC" w:rsidP="00EF1A4B">
      <w:pPr>
        <w:pStyle w:val="Listeafsnit"/>
        <w:ind w:left="360"/>
      </w:pPr>
    </w:p>
    <w:p w:rsidR="00EF1A4B" w:rsidRDefault="00E36C34" w:rsidP="00EF1A4B">
      <w:pPr>
        <w:pStyle w:val="Listeafsnit"/>
        <w:ind w:left="360"/>
      </w:pPr>
      <w:r>
        <w:t>F</w:t>
      </w:r>
      <w:r w:rsidR="00EF1A4B" w:rsidRPr="008D228E">
        <w:t>or gasolie an værk betragtes</w:t>
      </w:r>
      <w:r>
        <w:t xml:space="preserve"> stadig</w:t>
      </w:r>
      <w:r w:rsidR="00EF1A4B" w:rsidRPr="008D228E">
        <w:t xml:space="preserve"> en periode på 15 år fra</w:t>
      </w:r>
      <w:r w:rsidR="00EF1A4B">
        <w:t xml:space="preserve"> </w:t>
      </w:r>
      <w:r w:rsidR="00EF1A4B" w:rsidRPr="008D228E">
        <w:t>2001</w:t>
      </w:r>
      <w:r w:rsidR="00EF1A4B">
        <w:t xml:space="preserve"> til </w:t>
      </w:r>
      <w:r w:rsidR="00EF1A4B" w:rsidRPr="008D228E">
        <w:t>2015.</w:t>
      </w:r>
      <w:r w:rsidR="00EF1A4B">
        <w:t xml:space="preserve"> </w:t>
      </w:r>
    </w:p>
    <w:p w:rsidR="00EF1A4B" w:rsidRDefault="00EF1A4B" w:rsidP="00EF1A4B"/>
    <w:p w:rsidR="00EF1A4B" w:rsidRPr="00D83DCE" w:rsidRDefault="00EF1A4B" w:rsidP="00EF1A4B">
      <w:pPr>
        <w:pStyle w:val="Listeafsnit"/>
        <w:numPr>
          <w:ilvl w:val="0"/>
          <w:numId w:val="1"/>
        </w:numPr>
      </w:pPr>
      <w:r w:rsidRPr="00D83DCE">
        <w:t>Biobrændsler</w:t>
      </w:r>
      <w:r>
        <w:t>.</w:t>
      </w:r>
    </w:p>
    <w:p w:rsidR="00EF1A4B" w:rsidRDefault="00EF1A4B" w:rsidP="00EF1A4B">
      <w:pPr>
        <w:pStyle w:val="Listeafsnit"/>
        <w:ind w:left="360"/>
      </w:pPr>
      <w:r w:rsidRPr="00916D76">
        <w:t>Pristillægget til benzin som følge af iblanding af bioethanol be</w:t>
      </w:r>
      <w:r>
        <w:t>stemmes af Energistyrelsen</w:t>
      </w:r>
      <w:r w:rsidRPr="00916D76">
        <w:t xml:space="preserve"> ud fra en prisfor</w:t>
      </w:r>
      <w:r w:rsidRPr="009C7684">
        <w:t>skel på 3,9 DKK/L benzinækvivalent, svarende til ca. 119 DKK/GJ i 2017-priser</w:t>
      </w:r>
      <w:r>
        <w:t xml:space="preserve">, </w:t>
      </w:r>
      <w:r w:rsidRPr="00916D76">
        <w:t xml:space="preserve">og en </w:t>
      </w:r>
      <w:r>
        <w:t>energiprocent</w:t>
      </w:r>
      <w:r w:rsidRPr="00916D76">
        <w:t xml:space="preserve"> på </w:t>
      </w:r>
      <w:r>
        <w:t>3,27</w:t>
      </w:r>
      <w:r w:rsidRPr="00916D76">
        <w:t xml:space="preserve"> pct.</w:t>
      </w:r>
      <w:r>
        <w:t xml:space="preserve"> Pristillægget til </w:t>
      </w:r>
      <w:r w:rsidRPr="00916D76">
        <w:t>benzin</w:t>
      </w:r>
      <w:r>
        <w:t xml:space="preserve"> bliver således </w:t>
      </w:r>
      <w:r w:rsidRPr="00914664">
        <w:t>3,9</w:t>
      </w:r>
      <w:r w:rsidRPr="00916D76">
        <w:t xml:space="preserve"> DKK/GJ</w:t>
      </w:r>
      <w:r>
        <w:t xml:space="preserve"> i 2017-priser</w:t>
      </w:r>
      <w:r w:rsidRPr="00916D76">
        <w:t>.</w:t>
      </w:r>
    </w:p>
    <w:p w:rsidR="00EF1A4B" w:rsidRDefault="00EF1A4B" w:rsidP="00EF1A4B">
      <w:pPr>
        <w:pStyle w:val="Listeafsnit"/>
        <w:ind w:left="360"/>
      </w:pPr>
    </w:p>
    <w:p w:rsidR="00EF1A4B" w:rsidRDefault="00EF1A4B" w:rsidP="00EF1A4B">
      <w:pPr>
        <w:pStyle w:val="Listeafsnit"/>
        <w:ind w:left="360"/>
      </w:pPr>
      <w:r w:rsidRPr="00916D76">
        <w:t xml:space="preserve">Pristillægget til </w:t>
      </w:r>
      <w:r>
        <w:t>diesel</w:t>
      </w:r>
      <w:r w:rsidRPr="00916D76">
        <w:t xml:space="preserve"> som følge af iblanding af bio</w:t>
      </w:r>
      <w:r>
        <w:t>diesel</w:t>
      </w:r>
      <w:r w:rsidRPr="00916D76">
        <w:t xml:space="preserve"> </w:t>
      </w:r>
      <w:r>
        <w:t>bestemmes</w:t>
      </w:r>
      <w:r w:rsidRPr="00101496">
        <w:t xml:space="preserve"> </w:t>
      </w:r>
      <w:r>
        <w:t>af Energistyrelsen</w:t>
      </w:r>
      <w:r w:rsidRPr="00916D76">
        <w:t xml:space="preserve"> ud fra en prisforskel på </w:t>
      </w:r>
      <w:r>
        <w:t>4,0</w:t>
      </w:r>
      <w:r w:rsidRPr="00916D76">
        <w:t xml:space="preserve"> DKK/L </w:t>
      </w:r>
      <w:r>
        <w:t>diesel</w:t>
      </w:r>
      <w:r w:rsidRPr="00916D76">
        <w:t>ækvivalent</w:t>
      </w:r>
      <w:r>
        <w:t xml:space="preserve">, svarende </w:t>
      </w:r>
      <w:r>
        <w:lastRenderedPageBreak/>
        <w:t>til ca. 112 DKK/GJ</w:t>
      </w:r>
      <w:r w:rsidRPr="00914664">
        <w:t xml:space="preserve"> </w:t>
      </w:r>
      <w:r w:rsidRPr="009C7684">
        <w:t>i 2017-priser</w:t>
      </w:r>
      <w:r>
        <w:t>,</w:t>
      </w:r>
      <w:r w:rsidRPr="00916D76">
        <w:t xml:space="preserve"> og en </w:t>
      </w:r>
      <w:r>
        <w:t>energiprocent</w:t>
      </w:r>
      <w:r w:rsidRPr="00916D76">
        <w:t xml:space="preserve"> på </w:t>
      </w:r>
      <w:r>
        <w:t>6</w:t>
      </w:r>
      <w:r w:rsidRPr="00916D76">
        <w:t>,5</w:t>
      </w:r>
      <w:r>
        <w:t>6</w:t>
      </w:r>
      <w:r w:rsidRPr="00916D76">
        <w:t xml:space="preserve"> pct. </w:t>
      </w:r>
      <w:r>
        <w:t>Pristillægget til diesel bliver således 7,3</w:t>
      </w:r>
      <w:r w:rsidRPr="00916D76">
        <w:t xml:space="preserve"> DKK/GJ</w:t>
      </w:r>
      <w:r w:rsidRPr="00914664">
        <w:t xml:space="preserve"> </w:t>
      </w:r>
      <w:r w:rsidRPr="009C7684">
        <w:t>i 2017-priser</w:t>
      </w:r>
      <w:r w:rsidRPr="00916D76">
        <w:t>.</w:t>
      </w:r>
    </w:p>
    <w:p w:rsidR="00952B73" w:rsidRDefault="00952B73" w:rsidP="00317949">
      <w:pPr>
        <w:pStyle w:val="Listeafsnit"/>
        <w:ind w:left="360"/>
        <w:rPr>
          <w:b/>
        </w:rPr>
      </w:pPr>
      <w:r>
        <w:rPr>
          <w:b/>
        </w:rPr>
        <w:br w:type="page"/>
      </w:r>
    </w:p>
    <w:p w:rsidR="00952B73" w:rsidRPr="00515E4A" w:rsidRDefault="00952B73" w:rsidP="00952B73">
      <w:pPr>
        <w:rPr>
          <w:b/>
        </w:rPr>
      </w:pPr>
      <w:r w:rsidRPr="00515E4A">
        <w:rPr>
          <w:b/>
        </w:rPr>
        <w:lastRenderedPageBreak/>
        <w:t>Litteratur og datagrundlag</w:t>
      </w:r>
    </w:p>
    <w:p w:rsidR="00952B73" w:rsidRPr="00AB4964" w:rsidRDefault="00952B73" w:rsidP="00952B73">
      <w:pPr>
        <w:rPr>
          <w:lang w:val="en-US"/>
        </w:rPr>
      </w:pPr>
      <w:r w:rsidRPr="00AB4964">
        <w:t xml:space="preserve">Ea Energianalyse </w:t>
      </w:r>
      <w:r>
        <w:t>&amp;</w:t>
      </w:r>
      <w:r w:rsidRPr="00AB4964">
        <w:t xml:space="preserve"> Wazee</w:t>
      </w:r>
      <w:r>
        <w:t xml:space="preserve"> (2011):</w:t>
      </w:r>
      <w:r w:rsidRPr="00AB4964">
        <w:t xml:space="preserve"> Opdatering af samfundsøkonomiske brændselspriser</w:t>
      </w:r>
      <w:r>
        <w:t xml:space="preserve">. </w:t>
      </w:r>
      <w:r w:rsidRPr="00AB4964">
        <w:rPr>
          <w:lang w:val="en-US"/>
        </w:rPr>
        <w:t>KUL, OLIEPRODUKTER OG NATURGAS</w:t>
      </w:r>
      <w:r w:rsidR="003B7286">
        <w:rPr>
          <w:lang w:val="en-US"/>
        </w:rPr>
        <w:t>. Marts 2011.</w:t>
      </w:r>
    </w:p>
    <w:p w:rsidR="00952B73" w:rsidRPr="00AB4964" w:rsidRDefault="00952B73" w:rsidP="00952B73">
      <w:pPr>
        <w:rPr>
          <w:lang w:val="en-US"/>
        </w:rPr>
      </w:pPr>
    </w:p>
    <w:p w:rsidR="00952B73" w:rsidRPr="005977F4" w:rsidRDefault="00952B73" w:rsidP="00952B73">
      <w:pPr>
        <w:rPr>
          <w:lang w:val="en-US"/>
        </w:rPr>
      </w:pPr>
      <w:r w:rsidRPr="00AB4964">
        <w:rPr>
          <w:lang w:val="en-US"/>
        </w:rPr>
        <w:t>Ea</w:t>
      </w:r>
      <w:r w:rsidRPr="00E10EA9">
        <w:rPr>
          <w:lang w:val="en-US"/>
        </w:rPr>
        <w:t xml:space="preserve"> Energianalyse</w:t>
      </w:r>
      <w:r w:rsidRPr="00AB4964">
        <w:rPr>
          <w:lang w:val="en-US"/>
        </w:rPr>
        <w:t xml:space="preserve"> (2014a): Update of fossil fuel and CO2 price projection assumptions. CONVERGENCE </w:t>
      </w:r>
      <w:r w:rsidRPr="00515E4A">
        <w:rPr>
          <w:lang w:val="en-US"/>
        </w:rPr>
        <w:t>PATHWAY.</w:t>
      </w:r>
      <w:r>
        <w:rPr>
          <w:lang w:val="en-US"/>
        </w:rPr>
        <w:t xml:space="preserve"> Januar 2014.</w:t>
      </w:r>
    </w:p>
    <w:p w:rsidR="00952B73" w:rsidRDefault="00952B73" w:rsidP="00952B73">
      <w:pPr>
        <w:rPr>
          <w:lang w:val="en-US"/>
        </w:rPr>
      </w:pPr>
    </w:p>
    <w:p w:rsidR="00952B73" w:rsidRPr="007834EB" w:rsidRDefault="00952B73" w:rsidP="00952B73">
      <w:r>
        <w:rPr>
          <w:lang w:val="en-US"/>
        </w:rPr>
        <w:t xml:space="preserve">Ea Energianalyse (2014b): </w:t>
      </w:r>
      <w:r w:rsidRPr="00B00DB8">
        <w:rPr>
          <w:lang w:val="en-US"/>
        </w:rPr>
        <w:t>Welfare economic prices of coal, pet</w:t>
      </w:r>
      <w:r>
        <w:rPr>
          <w:lang w:val="en-US"/>
        </w:rPr>
        <w:t xml:space="preserve">roleum products and natural gas. </w:t>
      </w:r>
      <w:r w:rsidRPr="007B46FC">
        <w:rPr>
          <w:lang w:val="en-US"/>
        </w:rPr>
        <w:t>UPDATE OF ADD-ONS TO INTERNATIONAL FORECASTS</w:t>
      </w:r>
      <w:r>
        <w:rPr>
          <w:lang w:val="en-US"/>
        </w:rPr>
        <w:t xml:space="preserve"> </w:t>
      </w:r>
      <w:r w:rsidRPr="00B00DB8">
        <w:rPr>
          <w:lang w:val="en-US"/>
        </w:rPr>
        <w:t>FOR PROJECTION O</w:t>
      </w:r>
      <w:r>
        <w:rPr>
          <w:lang w:val="en-US"/>
        </w:rPr>
        <w:t xml:space="preserve">F DANISH PRICES AT CONSUMPTION. </w:t>
      </w:r>
      <w:r w:rsidRPr="007834EB">
        <w:t>Marts 2014.</w:t>
      </w:r>
    </w:p>
    <w:p w:rsidR="00952B73" w:rsidRPr="007834EB" w:rsidRDefault="00952B73" w:rsidP="00952B73"/>
    <w:p w:rsidR="00952B73" w:rsidRDefault="00AE00E4" w:rsidP="00952B73">
      <w:r>
        <w:t>Energinet</w:t>
      </w:r>
      <w:r w:rsidR="00952B73" w:rsidRPr="006909A3">
        <w:t xml:space="preserve"> (201</w:t>
      </w:r>
      <w:r>
        <w:t>7</w:t>
      </w:r>
      <w:r w:rsidR="00952B73" w:rsidRPr="006909A3">
        <w:t>): Betalinger for transport i gastransmissionsnettet, gældende fra 1.</w:t>
      </w:r>
      <w:r>
        <w:t xml:space="preserve"> oktober 2017</w:t>
      </w:r>
      <w:r w:rsidR="00952B73">
        <w:t>.</w:t>
      </w:r>
    </w:p>
    <w:p w:rsidR="006F152D" w:rsidRDefault="006F152D" w:rsidP="00952B73"/>
    <w:p w:rsidR="002B5592" w:rsidRDefault="002B5592" w:rsidP="002B5592">
      <w:r>
        <w:t xml:space="preserve">Energistyrelsen (2017a): </w:t>
      </w:r>
      <w:r w:rsidRPr="00C54E4F">
        <w:t>Baggrundsrapport til Basisfremskrivning 2017</w:t>
      </w:r>
      <w:r>
        <w:t>. Marts 2017</w:t>
      </w:r>
    </w:p>
    <w:p w:rsidR="002B5592" w:rsidRDefault="002B5592" w:rsidP="00952B73"/>
    <w:p w:rsidR="006F152D" w:rsidRDefault="006F152D" w:rsidP="00952B73">
      <w:r>
        <w:t>Energistyrelsen</w:t>
      </w:r>
      <w:r w:rsidR="003B7286">
        <w:t xml:space="preserve"> (2017</w:t>
      </w:r>
      <w:r w:rsidR="002B5592">
        <w:t>b</w:t>
      </w:r>
      <w:r w:rsidR="003B7286">
        <w:t>):</w:t>
      </w:r>
      <w:r>
        <w:t xml:space="preserve"> </w:t>
      </w:r>
      <w:r w:rsidRPr="006F152D">
        <w:t>Ressourcer og prognoser</w:t>
      </w:r>
      <w:r w:rsidR="003B7286">
        <w:t>. A</w:t>
      </w:r>
      <w:r>
        <w:t>pril 2017</w:t>
      </w:r>
    </w:p>
    <w:p w:rsidR="00DD13E6" w:rsidRDefault="00DD13E6" w:rsidP="00952B73"/>
    <w:p w:rsidR="00431511" w:rsidRPr="006909A3" w:rsidRDefault="00431511" w:rsidP="00431511">
      <w:r>
        <w:t>Energitilsynet (2013):</w:t>
      </w:r>
      <w:r w:rsidRPr="006909A3">
        <w:t xml:space="preserve"> Indtægtsrammer </w:t>
      </w:r>
      <w:r>
        <w:t>for naturgasdistributionsselska</w:t>
      </w:r>
      <w:r w:rsidRPr="006909A3">
        <w:t>berne 2014-2017</w:t>
      </w:r>
      <w:r>
        <w:t>.</w:t>
      </w:r>
    </w:p>
    <w:p w:rsidR="00431511" w:rsidRDefault="00431511" w:rsidP="00DD13E6"/>
    <w:p w:rsidR="00DD13E6" w:rsidRPr="00DD13E6" w:rsidRDefault="00DD13E6" w:rsidP="00DD13E6">
      <w:pPr>
        <w:rPr>
          <w:rFonts w:ascii="Calibri" w:eastAsia="Times New Roman" w:hAnsi="Calibri" w:cs="Times New Roman"/>
          <w:color w:val="FF0000"/>
          <w:sz w:val="22"/>
          <w:lang w:eastAsia="da-DK"/>
        </w:rPr>
      </w:pPr>
      <w:r>
        <w:t xml:space="preserve">Energitilsynet (2017): </w:t>
      </w:r>
      <w:r w:rsidRPr="00DD13E6">
        <w:rPr>
          <w:rStyle w:val="Hyperlink"/>
          <w:lang w:eastAsia="da-DK"/>
        </w:rPr>
        <w:t>http://energitilsynet.dk/gas/priser/statistik-om-gaspriser/</w:t>
      </w:r>
    </w:p>
    <w:p w:rsidR="00952B73" w:rsidRDefault="00952B73" w:rsidP="00952B73"/>
    <w:p w:rsidR="00AE00E4" w:rsidRDefault="00952B73" w:rsidP="00AE00E4">
      <w:r>
        <w:t>Nettariffer fra distributionsselskabernes hjemmesider:</w:t>
      </w:r>
    </w:p>
    <w:p w:rsidR="00E46006" w:rsidRDefault="00952B73" w:rsidP="00E46006">
      <w:pPr>
        <w:pStyle w:val="Listeafsnit"/>
        <w:numPr>
          <w:ilvl w:val="0"/>
          <w:numId w:val="9"/>
        </w:numPr>
      </w:pPr>
      <w:r w:rsidRPr="00AE00E4">
        <w:rPr>
          <w:lang w:eastAsia="da-DK"/>
        </w:rPr>
        <w:t>D</w:t>
      </w:r>
      <w:r w:rsidR="00AE00E4" w:rsidRPr="00AE00E4">
        <w:rPr>
          <w:lang w:eastAsia="da-DK"/>
        </w:rPr>
        <w:t xml:space="preserve">ansk </w:t>
      </w:r>
      <w:r w:rsidRPr="00AE00E4">
        <w:rPr>
          <w:lang w:eastAsia="da-DK"/>
        </w:rPr>
        <w:t>G</w:t>
      </w:r>
      <w:r w:rsidR="00E46006">
        <w:rPr>
          <w:lang w:eastAsia="da-DK"/>
        </w:rPr>
        <w:t>as Distribut</w:t>
      </w:r>
      <w:r w:rsidR="00AE00E4">
        <w:rPr>
          <w:lang w:eastAsia="da-DK"/>
        </w:rPr>
        <w:t>ion</w:t>
      </w:r>
      <w:r w:rsidRPr="00AE00E4">
        <w:rPr>
          <w:lang w:eastAsia="da-DK"/>
        </w:rPr>
        <w:t xml:space="preserve">: </w:t>
      </w:r>
      <w:hyperlink r:id="rId9" w:history="1">
        <w:r w:rsidR="00E46006" w:rsidRPr="002818B8">
          <w:rPr>
            <w:rStyle w:val="Hyperlink"/>
            <w:lang w:eastAsia="da-DK"/>
          </w:rPr>
          <w:t>http://www.danskgasdistribution.dk/gaskunder/tariffer-afgifter-og-vilkaar/tariffer-og-afgifter/</w:t>
        </w:r>
      </w:hyperlink>
      <w:r w:rsidR="00E46006">
        <w:rPr>
          <w:lang w:eastAsia="da-DK"/>
        </w:rPr>
        <w:t xml:space="preserve"> </w:t>
      </w:r>
    </w:p>
    <w:p w:rsidR="00E46006" w:rsidRPr="00E46006" w:rsidRDefault="00952B73" w:rsidP="00E46006">
      <w:pPr>
        <w:pStyle w:val="Listeafsnit"/>
        <w:numPr>
          <w:ilvl w:val="0"/>
          <w:numId w:val="9"/>
        </w:numPr>
        <w:rPr>
          <w:lang w:val="en-US"/>
        </w:rPr>
      </w:pPr>
      <w:r w:rsidRPr="00E46006">
        <w:rPr>
          <w:lang w:val="en-US" w:eastAsia="da-DK"/>
        </w:rPr>
        <w:t xml:space="preserve">HMN: </w:t>
      </w:r>
      <w:hyperlink r:id="rId10" w:history="1">
        <w:r w:rsidR="00E46006" w:rsidRPr="002818B8">
          <w:rPr>
            <w:rStyle w:val="Hyperlink"/>
            <w:rFonts w:ascii="Calibri" w:eastAsia="Times New Roman" w:hAnsi="Calibri" w:cs="Times New Roman"/>
            <w:sz w:val="22"/>
            <w:lang w:val="en-US" w:eastAsia="da-DK"/>
          </w:rPr>
          <w:t>https://gasnet.dk/priserogbetingelser/distributionstariffer/2017/</w:t>
        </w:r>
      </w:hyperlink>
    </w:p>
    <w:p w:rsidR="00952B73" w:rsidRPr="00E46006" w:rsidRDefault="00952B73" w:rsidP="00E46006">
      <w:pPr>
        <w:pStyle w:val="Listeafsnit"/>
        <w:numPr>
          <w:ilvl w:val="0"/>
          <w:numId w:val="9"/>
        </w:numPr>
      </w:pPr>
      <w:r w:rsidRPr="00E46006">
        <w:rPr>
          <w:color w:val="000000"/>
          <w:lang w:eastAsia="da-DK"/>
        </w:rPr>
        <w:t xml:space="preserve">NGF Nature energy: </w:t>
      </w:r>
      <w:hyperlink r:id="rId11" w:history="1">
        <w:r w:rsidR="00E46006" w:rsidRPr="00E46006">
          <w:rPr>
            <w:rFonts w:ascii="Calibri" w:eastAsia="Times New Roman" w:hAnsi="Calibri" w:cs="Times New Roman"/>
            <w:color w:val="0000FF"/>
            <w:sz w:val="22"/>
            <w:u w:val="single"/>
            <w:lang w:eastAsia="da-DK"/>
          </w:rPr>
          <w:t>http://www.natureenergy-distribution.dk/kunde-info/priser-og-betingelser/distributionstariffer/</w:t>
        </w:r>
      </w:hyperlink>
    </w:p>
    <w:p w:rsidR="00952B73" w:rsidRPr="006909A3" w:rsidRDefault="00952B73" w:rsidP="00952B73"/>
    <w:p w:rsidR="00952B73" w:rsidRPr="00431511" w:rsidRDefault="00952B73" w:rsidP="00952B73">
      <w:pPr>
        <w:rPr>
          <w:lang w:val="en-US"/>
        </w:rPr>
      </w:pPr>
      <w:r w:rsidRPr="00431511">
        <w:rPr>
          <w:lang w:val="en-US"/>
        </w:rPr>
        <w:t>IEA Energy Prices and Statistics.</w:t>
      </w:r>
    </w:p>
    <w:p w:rsidR="00952B73" w:rsidRPr="00431511" w:rsidRDefault="00952B73" w:rsidP="00952B73">
      <w:pPr>
        <w:rPr>
          <w:lang w:val="en-US"/>
        </w:rPr>
      </w:pPr>
    </w:p>
    <w:p w:rsidR="00952B73" w:rsidRDefault="00952B73" w:rsidP="00952B73">
      <w:pPr>
        <w:rPr>
          <w:lang w:val="en-US"/>
        </w:rPr>
      </w:pPr>
      <w:r>
        <w:rPr>
          <w:lang w:val="en-US"/>
        </w:rPr>
        <w:t>IEA World Energy Outlook (2011, 2012, 2013, 2014, 2015</w:t>
      </w:r>
      <w:r w:rsidR="00E46006">
        <w:rPr>
          <w:lang w:val="en-US"/>
        </w:rPr>
        <w:t>, 2016</w:t>
      </w:r>
      <w:r>
        <w:rPr>
          <w:lang w:val="en-US"/>
        </w:rPr>
        <w:t>).</w:t>
      </w:r>
    </w:p>
    <w:p w:rsidR="00952B73" w:rsidRDefault="00952B73" w:rsidP="00952B73">
      <w:pPr>
        <w:rPr>
          <w:lang w:val="en-US"/>
        </w:rPr>
      </w:pPr>
    </w:p>
    <w:p w:rsidR="00952B73" w:rsidRPr="00B04274" w:rsidRDefault="00952B73" w:rsidP="00952B73">
      <w:pPr>
        <w:rPr>
          <w:lang w:val="en-US"/>
        </w:rPr>
      </w:pPr>
      <w:r w:rsidRPr="00B04274">
        <w:rPr>
          <w:lang w:val="en-US"/>
        </w:rPr>
        <w:t xml:space="preserve">Danmarks Statistik: </w:t>
      </w:r>
    </w:p>
    <w:p w:rsidR="00952B73" w:rsidRDefault="00952B73" w:rsidP="00952B73">
      <w:pPr>
        <w:pStyle w:val="Listeafsnit"/>
        <w:numPr>
          <w:ilvl w:val="0"/>
          <w:numId w:val="3"/>
        </w:numPr>
      </w:pPr>
      <w:r w:rsidRPr="00624E2D">
        <w:t>ENE2HA Energiregnskab i fælles enheder (detaljeret) efter anvendelse, energitype og tid</w:t>
      </w:r>
      <w:r>
        <w:t xml:space="preserve">. </w:t>
      </w:r>
      <w:hyperlink r:id="rId12" w:history="1">
        <w:r w:rsidRPr="00E10496">
          <w:rPr>
            <w:rStyle w:val="Hyperlink"/>
          </w:rPr>
          <w:t>http://www.statistikbanken.dk/ENE2HA</w:t>
        </w:r>
      </w:hyperlink>
      <w:r>
        <w:t>.</w:t>
      </w:r>
    </w:p>
    <w:p w:rsidR="00952B73" w:rsidRPr="00B00DB8" w:rsidRDefault="00952B73" w:rsidP="00952B73">
      <w:pPr>
        <w:pStyle w:val="Listeafsnit"/>
        <w:numPr>
          <w:ilvl w:val="0"/>
          <w:numId w:val="3"/>
        </w:numPr>
      </w:pPr>
      <w:r w:rsidRPr="00624E2D">
        <w:t>ENE4HA Energiregnskab i værdier. Anvendelse af energi, detaljeret efter enhed, anvendelse, energitype og tid</w:t>
      </w:r>
      <w:r>
        <w:t xml:space="preserve">. </w:t>
      </w:r>
      <w:hyperlink r:id="rId13" w:history="1">
        <w:r w:rsidRPr="00E10496">
          <w:rPr>
            <w:rStyle w:val="Hyperlink"/>
          </w:rPr>
          <w:t>http://www.statistikbanken.dk/ENE4HA</w:t>
        </w:r>
      </w:hyperlink>
      <w:r>
        <w:t>.</w:t>
      </w:r>
    </w:p>
    <w:p w:rsidR="00952B73" w:rsidRDefault="00952B73" w:rsidP="00952B73"/>
    <w:p w:rsidR="00E46006" w:rsidRPr="00B00DB8" w:rsidRDefault="00E46006" w:rsidP="00952B73">
      <w:pPr>
        <w:sectPr w:rsidR="00E46006" w:rsidRPr="00B00DB8" w:rsidSect="000A08E2">
          <w:headerReference w:type="default" r:id="rId14"/>
          <w:footerReference w:type="default" r:id="rId15"/>
          <w:headerReference w:type="first" r:id="rId16"/>
          <w:footerReference w:type="first" r:id="rId17"/>
          <w:pgSz w:w="11906" w:h="16838" w:code="9"/>
          <w:pgMar w:top="2767" w:right="3260" w:bottom="1701" w:left="1247" w:header="709" w:footer="709" w:gutter="0"/>
          <w:cols w:space="708"/>
          <w:titlePg/>
          <w:docGrid w:linePitch="360"/>
        </w:sectPr>
      </w:pPr>
    </w:p>
    <w:p w:rsidR="00952B73" w:rsidRPr="00F27EFB" w:rsidRDefault="00952B73" w:rsidP="00952B73">
      <w:pPr>
        <w:spacing w:after="200" w:line="276" w:lineRule="auto"/>
        <w:rPr>
          <w:b/>
        </w:rPr>
      </w:pPr>
      <w:r w:rsidRPr="00D10F9D">
        <w:rPr>
          <w:b/>
        </w:rPr>
        <w:lastRenderedPageBreak/>
        <w:t>Bilag 1 - Oversigt over tillæg til brændselspriser</w:t>
      </w:r>
    </w:p>
    <w:p w:rsidR="00952B73" w:rsidRDefault="00CE4039" w:rsidP="00952B73">
      <w:r>
        <w:t xml:space="preserve">Tabel 1 </w:t>
      </w:r>
      <w:r w:rsidR="00952B73">
        <w:t xml:space="preserve">sammenfatter tillæg til de </w:t>
      </w:r>
      <w:r w:rsidR="00E46006">
        <w:t>fossile brændselspriser for 2017</w:t>
      </w:r>
      <w:r w:rsidR="00952B73">
        <w:t>.</w:t>
      </w:r>
    </w:p>
    <w:p w:rsidR="009478E8" w:rsidRDefault="009478E8" w:rsidP="00952B73"/>
    <w:p w:rsidR="00952B73" w:rsidRDefault="00952B73" w:rsidP="00952B73">
      <w:pPr>
        <w:pStyle w:val="Billedtekst"/>
        <w:keepNext/>
      </w:pPr>
      <w:r>
        <w:t xml:space="preserve">Tabel </w:t>
      </w:r>
      <w:r w:rsidR="00E10EA9">
        <w:fldChar w:fldCharType="begin"/>
      </w:r>
      <w:r w:rsidR="00E10EA9">
        <w:instrText xml:space="preserve"> SEQ Tabel \* ARABIC </w:instrText>
      </w:r>
      <w:r w:rsidR="00E10EA9">
        <w:fldChar w:fldCharType="separate"/>
      </w:r>
      <w:r w:rsidR="00CE4039">
        <w:rPr>
          <w:noProof/>
        </w:rPr>
        <w:t>1</w:t>
      </w:r>
      <w:r w:rsidR="00E10EA9">
        <w:rPr>
          <w:noProof/>
        </w:rPr>
        <w:fldChar w:fldCharType="end"/>
      </w:r>
      <w:r>
        <w:t xml:space="preserve">. Tillæg til </w:t>
      </w:r>
      <w:r w:rsidR="00E46006">
        <w:t>fossile brændselspriser for 2017</w:t>
      </w:r>
      <w:r>
        <w:t>.</w:t>
      </w:r>
    </w:p>
    <w:tbl>
      <w:tblPr>
        <w:tblStyle w:val="Tabel-Gitter"/>
        <w:tblW w:w="15417" w:type="dxa"/>
        <w:tblInd w:w="-524" w:type="dxa"/>
        <w:tblLayout w:type="fixed"/>
        <w:tblLook w:val="04A0" w:firstRow="1" w:lastRow="0" w:firstColumn="1" w:lastColumn="0" w:noHBand="0" w:noVBand="1"/>
      </w:tblPr>
      <w:tblGrid>
        <w:gridCol w:w="1242"/>
        <w:gridCol w:w="1418"/>
        <w:gridCol w:w="1276"/>
        <w:gridCol w:w="1701"/>
        <w:gridCol w:w="1559"/>
        <w:gridCol w:w="992"/>
        <w:gridCol w:w="1701"/>
        <w:gridCol w:w="1559"/>
        <w:gridCol w:w="1800"/>
        <w:gridCol w:w="2169"/>
      </w:tblGrid>
      <w:tr w:rsidR="00952B73" w:rsidTr="005C5897">
        <w:tc>
          <w:tcPr>
            <w:tcW w:w="1242" w:type="dxa"/>
            <w:tcBorders>
              <w:bottom w:val="single" w:sz="4" w:space="0" w:color="auto"/>
            </w:tcBorders>
            <w:shd w:val="clear" w:color="auto" w:fill="C6D9F1" w:themeFill="text2" w:themeFillTint="33"/>
          </w:tcPr>
          <w:p w:rsidR="00952B73" w:rsidRPr="00211C6B" w:rsidRDefault="00952B73" w:rsidP="00E46006">
            <w:pPr>
              <w:rPr>
                <w:i/>
              </w:rPr>
            </w:pPr>
            <w:r>
              <w:rPr>
                <w:i/>
                <w:sz w:val="16"/>
              </w:rPr>
              <w:t>DKK</w:t>
            </w:r>
            <w:r w:rsidRPr="00211C6B">
              <w:rPr>
                <w:i/>
                <w:sz w:val="16"/>
              </w:rPr>
              <w:t>201</w:t>
            </w:r>
            <w:r w:rsidR="00E46006">
              <w:rPr>
                <w:i/>
                <w:sz w:val="16"/>
              </w:rPr>
              <w:t>7</w:t>
            </w:r>
            <w:r>
              <w:rPr>
                <w:i/>
                <w:sz w:val="16"/>
              </w:rPr>
              <w:t>/GJ</w:t>
            </w:r>
          </w:p>
        </w:tc>
        <w:tc>
          <w:tcPr>
            <w:tcW w:w="1418" w:type="dxa"/>
            <w:shd w:val="clear" w:color="auto" w:fill="C6D9F1" w:themeFill="text2" w:themeFillTint="33"/>
          </w:tcPr>
          <w:p w:rsidR="00952B73" w:rsidRPr="00F27EFB" w:rsidRDefault="00952B73" w:rsidP="00FB6F9F">
            <w:pPr>
              <w:jc w:val="center"/>
              <w:rPr>
                <w:b/>
              </w:rPr>
            </w:pPr>
          </w:p>
        </w:tc>
        <w:tc>
          <w:tcPr>
            <w:tcW w:w="1276" w:type="dxa"/>
            <w:shd w:val="clear" w:color="auto" w:fill="C6D9F1" w:themeFill="text2" w:themeFillTint="33"/>
            <w:vAlign w:val="center"/>
          </w:tcPr>
          <w:p w:rsidR="00952B73" w:rsidRPr="00F27EFB" w:rsidRDefault="00952B73" w:rsidP="00FB6F9F">
            <w:pPr>
              <w:jc w:val="center"/>
              <w:rPr>
                <w:b/>
              </w:rPr>
            </w:pPr>
            <w:r>
              <w:rPr>
                <w:b/>
              </w:rPr>
              <w:t>F</w:t>
            </w:r>
            <w:r w:rsidRPr="00F27EFB">
              <w:rPr>
                <w:b/>
              </w:rPr>
              <w:t>orskel til IEA</w:t>
            </w:r>
            <w:r>
              <w:rPr>
                <w:b/>
              </w:rPr>
              <w:t>-priser</w:t>
            </w:r>
          </w:p>
        </w:tc>
        <w:tc>
          <w:tcPr>
            <w:tcW w:w="1701" w:type="dxa"/>
            <w:shd w:val="clear" w:color="auto" w:fill="C6D9F1" w:themeFill="text2" w:themeFillTint="33"/>
            <w:vAlign w:val="center"/>
          </w:tcPr>
          <w:p w:rsidR="00952B73" w:rsidRPr="00F27EFB" w:rsidRDefault="00952B73" w:rsidP="00FB6F9F">
            <w:pPr>
              <w:jc w:val="center"/>
              <w:rPr>
                <w:b/>
              </w:rPr>
            </w:pPr>
            <w:proofErr w:type="spellStart"/>
            <w:r w:rsidRPr="00F27EFB">
              <w:rPr>
                <w:b/>
              </w:rPr>
              <w:t>Transport</w:t>
            </w:r>
            <w:r>
              <w:rPr>
                <w:b/>
              </w:rPr>
              <w:t>-</w:t>
            </w:r>
            <w:r w:rsidRPr="00F27EFB">
              <w:rPr>
                <w:b/>
              </w:rPr>
              <w:t>omkostninger</w:t>
            </w:r>
            <w:bookmarkStart w:id="0" w:name="_GoBack"/>
            <w:bookmarkEnd w:id="0"/>
            <w:proofErr w:type="spellEnd"/>
          </w:p>
        </w:tc>
        <w:tc>
          <w:tcPr>
            <w:tcW w:w="1559" w:type="dxa"/>
            <w:shd w:val="clear" w:color="auto" w:fill="C6D9F1" w:themeFill="text2" w:themeFillTint="33"/>
            <w:vAlign w:val="center"/>
          </w:tcPr>
          <w:p w:rsidR="00952B73" w:rsidRPr="00F27EFB" w:rsidRDefault="00952B73" w:rsidP="00FB6F9F">
            <w:pPr>
              <w:jc w:val="center"/>
              <w:rPr>
                <w:b/>
              </w:rPr>
            </w:pPr>
          </w:p>
        </w:tc>
        <w:tc>
          <w:tcPr>
            <w:tcW w:w="992" w:type="dxa"/>
            <w:shd w:val="clear" w:color="auto" w:fill="C6D9F1" w:themeFill="text2" w:themeFillTint="33"/>
            <w:vAlign w:val="center"/>
          </w:tcPr>
          <w:p w:rsidR="00952B73" w:rsidRPr="00F27EFB" w:rsidRDefault="00952B73" w:rsidP="00FB6F9F">
            <w:pPr>
              <w:jc w:val="center"/>
              <w:rPr>
                <w:b/>
              </w:rPr>
            </w:pPr>
          </w:p>
        </w:tc>
        <w:tc>
          <w:tcPr>
            <w:tcW w:w="1701" w:type="dxa"/>
            <w:shd w:val="clear" w:color="auto" w:fill="C6D9F1" w:themeFill="text2" w:themeFillTint="33"/>
            <w:vAlign w:val="center"/>
          </w:tcPr>
          <w:p w:rsidR="00952B73" w:rsidRPr="00F27EFB" w:rsidRDefault="00952B73" w:rsidP="00FB6F9F">
            <w:pPr>
              <w:jc w:val="center"/>
              <w:rPr>
                <w:b/>
              </w:rPr>
            </w:pPr>
          </w:p>
        </w:tc>
        <w:tc>
          <w:tcPr>
            <w:tcW w:w="1559" w:type="dxa"/>
            <w:shd w:val="clear" w:color="auto" w:fill="C6D9F1" w:themeFill="text2" w:themeFillTint="33"/>
            <w:vAlign w:val="center"/>
          </w:tcPr>
          <w:p w:rsidR="00952B73" w:rsidRPr="00F27EFB" w:rsidRDefault="00952B73" w:rsidP="00FB6F9F">
            <w:pPr>
              <w:jc w:val="center"/>
              <w:rPr>
                <w:b/>
              </w:rPr>
            </w:pPr>
          </w:p>
        </w:tc>
        <w:tc>
          <w:tcPr>
            <w:tcW w:w="1800" w:type="dxa"/>
            <w:shd w:val="clear" w:color="auto" w:fill="C6D9F1" w:themeFill="text2" w:themeFillTint="33"/>
            <w:vAlign w:val="center"/>
          </w:tcPr>
          <w:p w:rsidR="00952B73" w:rsidRPr="00F27EFB" w:rsidRDefault="00952B73" w:rsidP="00FB6F9F">
            <w:pPr>
              <w:jc w:val="center"/>
              <w:rPr>
                <w:b/>
              </w:rPr>
            </w:pPr>
          </w:p>
        </w:tc>
        <w:tc>
          <w:tcPr>
            <w:tcW w:w="2169" w:type="dxa"/>
            <w:shd w:val="clear" w:color="auto" w:fill="C6D9F1" w:themeFill="text2" w:themeFillTint="33"/>
            <w:vAlign w:val="center"/>
          </w:tcPr>
          <w:p w:rsidR="00952B73" w:rsidRPr="00F27EFB" w:rsidRDefault="00952B73" w:rsidP="00FB6F9F">
            <w:pPr>
              <w:jc w:val="center"/>
              <w:rPr>
                <w:b/>
              </w:rPr>
            </w:pPr>
            <w:r>
              <w:rPr>
                <w:b/>
              </w:rPr>
              <w:t>Tillæg i</w:t>
            </w:r>
            <w:r w:rsidRPr="00F27EFB">
              <w:rPr>
                <w:b/>
              </w:rPr>
              <w:t xml:space="preserve"> alt</w:t>
            </w:r>
          </w:p>
        </w:tc>
      </w:tr>
      <w:tr w:rsidR="00952B73" w:rsidTr="005C5897">
        <w:tc>
          <w:tcPr>
            <w:tcW w:w="1242" w:type="dxa"/>
            <w:tcBorders>
              <w:bottom w:val="single" w:sz="4" w:space="0" w:color="auto"/>
            </w:tcBorders>
            <w:shd w:val="clear" w:color="auto" w:fill="C6D9F1" w:themeFill="text2" w:themeFillTint="33"/>
          </w:tcPr>
          <w:p w:rsidR="00952B73" w:rsidRPr="00F855B8" w:rsidRDefault="00952B73" w:rsidP="00FB6F9F">
            <w:pPr>
              <w:rPr>
                <w:b/>
              </w:rPr>
            </w:pPr>
            <w:r w:rsidRPr="00F855B8">
              <w:rPr>
                <w:b/>
              </w:rPr>
              <w:t>Kul</w:t>
            </w:r>
          </w:p>
        </w:tc>
        <w:tc>
          <w:tcPr>
            <w:tcW w:w="1418" w:type="dxa"/>
            <w:tcBorders>
              <w:bottom w:val="single" w:sz="4" w:space="0" w:color="auto"/>
            </w:tcBorders>
          </w:tcPr>
          <w:p w:rsidR="00952B73" w:rsidRDefault="00952B73" w:rsidP="00FB6F9F">
            <w:r>
              <w:t>an kraftværk</w:t>
            </w:r>
          </w:p>
        </w:tc>
        <w:tc>
          <w:tcPr>
            <w:tcW w:w="1276" w:type="dxa"/>
            <w:tcBorders>
              <w:bottom w:val="single" w:sz="4" w:space="0" w:color="auto"/>
            </w:tcBorders>
            <w:vAlign w:val="center"/>
          </w:tcPr>
          <w:p w:rsidR="00952B73" w:rsidRDefault="00952B73" w:rsidP="00501169">
            <w:pPr>
              <w:jc w:val="center"/>
            </w:pPr>
            <w:r>
              <w:t>0,</w:t>
            </w:r>
            <w:r w:rsidR="00501169">
              <w:t>30</w:t>
            </w:r>
          </w:p>
        </w:tc>
        <w:tc>
          <w:tcPr>
            <w:tcW w:w="1701" w:type="dxa"/>
            <w:tcBorders>
              <w:bottom w:val="single" w:sz="4" w:space="0" w:color="auto"/>
            </w:tcBorders>
            <w:vAlign w:val="center"/>
          </w:tcPr>
          <w:p w:rsidR="00952B73" w:rsidRDefault="00952B73" w:rsidP="00501169">
            <w:pPr>
              <w:jc w:val="center"/>
            </w:pPr>
            <w:r>
              <w:t>0,</w:t>
            </w:r>
            <w:r w:rsidR="00501169">
              <w:t>47</w:t>
            </w:r>
          </w:p>
        </w:tc>
        <w:tc>
          <w:tcPr>
            <w:tcW w:w="1559" w:type="dxa"/>
            <w:tcBorders>
              <w:bottom w:val="single" w:sz="4" w:space="0" w:color="auto"/>
            </w:tcBorders>
            <w:vAlign w:val="center"/>
          </w:tcPr>
          <w:p w:rsidR="00952B73" w:rsidRDefault="00952B73" w:rsidP="00FB6F9F">
            <w:pPr>
              <w:jc w:val="center"/>
            </w:pPr>
            <w:r>
              <w:t>-</w:t>
            </w:r>
          </w:p>
        </w:tc>
        <w:tc>
          <w:tcPr>
            <w:tcW w:w="992" w:type="dxa"/>
            <w:tcBorders>
              <w:bottom w:val="single" w:sz="4" w:space="0" w:color="auto"/>
            </w:tcBorders>
            <w:vAlign w:val="center"/>
          </w:tcPr>
          <w:p w:rsidR="00952B73" w:rsidRDefault="00952B73" w:rsidP="00FB6F9F">
            <w:pPr>
              <w:jc w:val="center"/>
            </w:pPr>
            <w:r>
              <w:t>-</w:t>
            </w:r>
          </w:p>
        </w:tc>
        <w:tc>
          <w:tcPr>
            <w:tcW w:w="1701" w:type="dxa"/>
            <w:tcBorders>
              <w:bottom w:val="single" w:sz="4" w:space="0" w:color="auto"/>
            </w:tcBorders>
            <w:vAlign w:val="center"/>
          </w:tcPr>
          <w:p w:rsidR="00952B73" w:rsidRDefault="00952B73" w:rsidP="00FB6F9F">
            <w:pPr>
              <w:jc w:val="center"/>
            </w:pPr>
            <w:r>
              <w:t>-</w:t>
            </w:r>
          </w:p>
        </w:tc>
        <w:tc>
          <w:tcPr>
            <w:tcW w:w="1559" w:type="dxa"/>
            <w:tcBorders>
              <w:bottom w:val="single" w:sz="4" w:space="0" w:color="auto"/>
            </w:tcBorders>
            <w:vAlign w:val="center"/>
          </w:tcPr>
          <w:p w:rsidR="00952B73" w:rsidRDefault="00952B73" w:rsidP="00FB6F9F">
            <w:pPr>
              <w:jc w:val="center"/>
            </w:pPr>
            <w:r>
              <w:t>-</w:t>
            </w:r>
          </w:p>
        </w:tc>
        <w:tc>
          <w:tcPr>
            <w:tcW w:w="1800" w:type="dxa"/>
            <w:tcBorders>
              <w:bottom w:val="single" w:sz="4" w:space="0" w:color="auto"/>
            </w:tcBorders>
            <w:vAlign w:val="center"/>
          </w:tcPr>
          <w:p w:rsidR="00952B73" w:rsidRDefault="00952B73" w:rsidP="00FB6F9F">
            <w:pPr>
              <w:jc w:val="center"/>
            </w:pPr>
            <w:r>
              <w:t>-</w:t>
            </w:r>
          </w:p>
        </w:tc>
        <w:tc>
          <w:tcPr>
            <w:tcW w:w="2169" w:type="dxa"/>
            <w:tcBorders>
              <w:bottom w:val="single" w:sz="4" w:space="0" w:color="auto"/>
            </w:tcBorders>
            <w:vAlign w:val="center"/>
          </w:tcPr>
          <w:p w:rsidR="00952B73" w:rsidRPr="00092731" w:rsidRDefault="00501169" w:rsidP="00FB6F9F">
            <w:pPr>
              <w:jc w:val="center"/>
              <w:rPr>
                <w:b/>
              </w:rPr>
            </w:pPr>
            <w:r>
              <w:rPr>
                <w:b/>
              </w:rPr>
              <w:t>0,77</w:t>
            </w:r>
          </w:p>
        </w:tc>
      </w:tr>
      <w:tr w:rsidR="00952B73" w:rsidTr="005C5897">
        <w:tc>
          <w:tcPr>
            <w:tcW w:w="1242" w:type="dxa"/>
            <w:tcBorders>
              <w:bottom w:val="single" w:sz="4" w:space="0" w:color="auto"/>
            </w:tcBorders>
            <w:shd w:val="clear" w:color="auto" w:fill="BFBFBF" w:themeFill="background1" w:themeFillShade="BF"/>
          </w:tcPr>
          <w:p w:rsidR="00952B73" w:rsidRPr="00F855B8" w:rsidRDefault="00952B73" w:rsidP="00FB6F9F">
            <w:pPr>
              <w:rPr>
                <w:b/>
              </w:rPr>
            </w:pPr>
          </w:p>
        </w:tc>
        <w:tc>
          <w:tcPr>
            <w:tcW w:w="1418" w:type="dxa"/>
            <w:tcBorders>
              <w:bottom w:val="single" w:sz="4" w:space="0" w:color="auto"/>
            </w:tcBorders>
            <w:shd w:val="clear" w:color="auto" w:fill="BFBFBF" w:themeFill="background1" w:themeFillShade="BF"/>
          </w:tcPr>
          <w:p w:rsidR="00952B73" w:rsidRDefault="00952B73" w:rsidP="00FB6F9F"/>
        </w:tc>
        <w:tc>
          <w:tcPr>
            <w:tcW w:w="1276" w:type="dxa"/>
            <w:tcBorders>
              <w:bottom w:val="single" w:sz="4" w:space="0" w:color="auto"/>
            </w:tcBorders>
            <w:shd w:val="clear" w:color="auto" w:fill="BFBFBF" w:themeFill="background1" w:themeFillShade="BF"/>
          </w:tcPr>
          <w:p w:rsidR="00952B73" w:rsidRDefault="00952B73" w:rsidP="00FB6F9F">
            <w:pPr>
              <w:jc w:val="right"/>
            </w:pPr>
          </w:p>
        </w:tc>
        <w:tc>
          <w:tcPr>
            <w:tcW w:w="1701" w:type="dxa"/>
            <w:tcBorders>
              <w:bottom w:val="single" w:sz="4" w:space="0" w:color="auto"/>
            </w:tcBorders>
            <w:shd w:val="clear" w:color="auto" w:fill="BFBFBF" w:themeFill="background1" w:themeFillShade="BF"/>
          </w:tcPr>
          <w:p w:rsidR="00952B73" w:rsidRDefault="00952B73" w:rsidP="00FB6F9F">
            <w:pPr>
              <w:jc w:val="right"/>
            </w:pPr>
          </w:p>
        </w:tc>
        <w:tc>
          <w:tcPr>
            <w:tcW w:w="1559" w:type="dxa"/>
            <w:tcBorders>
              <w:bottom w:val="single" w:sz="4" w:space="0" w:color="auto"/>
            </w:tcBorders>
            <w:shd w:val="clear" w:color="auto" w:fill="BFBFBF" w:themeFill="background1" w:themeFillShade="BF"/>
          </w:tcPr>
          <w:p w:rsidR="00952B73" w:rsidRDefault="00952B73" w:rsidP="00FB6F9F">
            <w:pPr>
              <w:jc w:val="right"/>
            </w:pPr>
          </w:p>
        </w:tc>
        <w:tc>
          <w:tcPr>
            <w:tcW w:w="992" w:type="dxa"/>
            <w:tcBorders>
              <w:bottom w:val="single" w:sz="4" w:space="0" w:color="auto"/>
            </w:tcBorders>
            <w:shd w:val="clear" w:color="auto" w:fill="BFBFBF" w:themeFill="background1" w:themeFillShade="BF"/>
          </w:tcPr>
          <w:p w:rsidR="00952B73" w:rsidRDefault="00952B73" w:rsidP="00FB6F9F">
            <w:pPr>
              <w:jc w:val="right"/>
            </w:pPr>
          </w:p>
        </w:tc>
        <w:tc>
          <w:tcPr>
            <w:tcW w:w="1701" w:type="dxa"/>
            <w:tcBorders>
              <w:bottom w:val="single" w:sz="4" w:space="0" w:color="auto"/>
            </w:tcBorders>
            <w:shd w:val="clear" w:color="auto" w:fill="BFBFBF" w:themeFill="background1" w:themeFillShade="BF"/>
          </w:tcPr>
          <w:p w:rsidR="00952B73" w:rsidRDefault="00952B73" w:rsidP="00FB6F9F">
            <w:pPr>
              <w:jc w:val="right"/>
            </w:pPr>
          </w:p>
        </w:tc>
        <w:tc>
          <w:tcPr>
            <w:tcW w:w="1559" w:type="dxa"/>
            <w:tcBorders>
              <w:bottom w:val="single" w:sz="4" w:space="0" w:color="auto"/>
            </w:tcBorders>
            <w:shd w:val="clear" w:color="auto" w:fill="BFBFBF" w:themeFill="background1" w:themeFillShade="BF"/>
          </w:tcPr>
          <w:p w:rsidR="00952B73" w:rsidRDefault="00952B73" w:rsidP="00FB6F9F">
            <w:pPr>
              <w:jc w:val="right"/>
            </w:pPr>
          </w:p>
        </w:tc>
        <w:tc>
          <w:tcPr>
            <w:tcW w:w="1800" w:type="dxa"/>
            <w:tcBorders>
              <w:bottom w:val="single" w:sz="4" w:space="0" w:color="auto"/>
            </w:tcBorders>
            <w:shd w:val="clear" w:color="auto" w:fill="BFBFBF" w:themeFill="background1" w:themeFillShade="BF"/>
          </w:tcPr>
          <w:p w:rsidR="00952B73" w:rsidRDefault="00952B73" w:rsidP="00FB6F9F">
            <w:pPr>
              <w:jc w:val="right"/>
            </w:pPr>
          </w:p>
        </w:tc>
        <w:tc>
          <w:tcPr>
            <w:tcW w:w="2169" w:type="dxa"/>
            <w:tcBorders>
              <w:bottom w:val="single" w:sz="4" w:space="0" w:color="auto"/>
            </w:tcBorders>
            <w:shd w:val="clear" w:color="auto" w:fill="BFBFBF" w:themeFill="background1" w:themeFillShade="BF"/>
          </w:tcPr>
          <w:p w:rsidR="00952B73" w:rsidRPr="00092731" w:rsidRDefault="00952B73" w:rsidP="00FB6F9F">
            <w:pPr>
              <w:jc w:val="right"/>
              <w:rPr>
                <w:b/>
              </w:rPr>
            </w:pPr>
          </w:p>
        </w:tc>
      </w:tr>
      <w:tr w:rsidR="00952B73" w:rsidTr="005C5897">
        <w:tc>
          <w:tcPr>
            <w:tcW w:w="1242" w:type="dxa"/>
            <w:shd w:val="clear" w:color="auto" w:fill="C6D9F1" w:themeFill="text2" w:themeFillTint="33"/>
          </w:tcPr>
          <w:p w:rsidR="00952B73" w:rsidRPr="00F855B8" w:rsidRDefault="00952B73" w:rsidP="00FB6F9F">
            <w:pPr>
              <w:rPr>
                <w:b/>
              </w:rPr>
            </w:pPr>
            <w:proofErr w:type="spellStart"/>
            <w:r w:rsidRPr="00F855B8">
              <w:rPr>
                <w:b/>
              </w:rPr>
              <w:t>Olie</w:t>
            </w:r>
            <w:r>
              <w:rPr>
                <w:b/>
              </w:rPr>
              <w:t>-</w:t>
            </w:r>
            <w:r w:rsidRPr="00F855B8">
              <w:rPr>
                <w:b/>
              </w:rPr>
              <w:t>produkter</w:t>
            </w:r>
            <w:proofErr w:type="spellEnd"/>
          </w:p>
        </w:tc>
        <w:tc>
          <w:tcPr>
            <w:tcW w:w="1418" w:type="dxa"/>
            <w:shd w:val="clear" w:color="auto" w:fill="C6D9F1" w:themeFill="text2" w:themeFillTint="33"/>
          </w:tcPr>
          <w:p w:rsidR="00952B73" w:rsidRPr="00F27EFB" w:rsidRDefault="00952B73" w:rsidP="00FB6F9F">
            <w:pPr>
              <w:rPr>
                <w:b/>
              </w:rPr>
            </w:pPr>
          </w:p>
        </w:tc>
        <w:tc>
          <w:tcPr>
            <w:tcW w:w="1276" w:type="dxa"/>
            <w:shd w:val="clear" w:color="auto" w:fill="C6D9F1" w:themeFill="text2" w:themeFillTint="33"/>
            <w:vAlign w:val="center"/>
          </w:tcPr>
          <w:p w:rsidR="00952B73" w:rsidRPr="00F27EFB" w:rsidRDefault="00952B73" w:rsidP="00FB6F9F">
            <w:pPr>
              <w:pStyle w:val="Listeafsnit"/>
              <w:ind w:left="0"/>
              <w:jc w:val="center"/>
              <w:rPr>
                <w:b/>
              </w:rPr>
            </w:pPr>
            <w:r>
              <w:rPr>
                <w:b/>
              </w:rPr>
              <w:t>F</w:t>
            </w:r>
            <w:r w:rsidRPr="00F27EFB">
              <w:rPr>
                <w:b/>
              </w:rPr>
              <w:t>orskel til IEA</w:t>
            </w:r>
            <w:r>
              <w:rPr>
                <w:b/>
              </w:rPr>
              <w:t>-priser</w:t>
            </w:r>
          </w:p>
        </w:tc>
        <w:tc>
          <w:tcPr>
            <w:tcW w:w="1701" w:type="dxa"/>
            <w:shd w:val="clear" w:color="auto" w:fill="C6D9F1" w:themeFill="text2" w:themeFillTint="33"/>
            <w:vAlign w:val="center"/>
          </w:tcPr>
          <w:p w:rsidR="00952B73" w:rsidRPr="00F27EFB" w:rsidRDefault="005C5897" w:rsidP="00FB6F9F">
            <w:pPr>
              <w:pStyle w:val="Listeafsnit"/>
              <w:ind w:left="0"/>
              <w:jc w:val="center"/>
              <w:rPr>
                <w:b/>
              </w:rPr>
            </w:pPr>
            <w:r>
              <w:rPr>
                <w:b/>
              </w:rPr>
              <w:t>Raffinerings-omkostning</w:t>
            </w:r>
          </w:p>
        </w:tc>
        <w:tc>
          <w:tcPr>
            <w:tcW w:w="1559" w:type="dxa"/>
            <w:shd w:val="clear" w:color="auto" w:fill="C6D9F1" w:themeFill="text2" w:themeFillTint="33"/>
            <w:vAlign w:val="center"/>
          </w:tcPr>
          <w:p w:rsidR="00952B73" w:rsidRPr="00F27EFB" w:rsidRDefault="00952B73" w:rsidP="00FB6F9F">
            <w:pPr>
              <w:pStyle w:val="Listeafsnit"/>
              <w:ind w:left="0"/>
              <w:jc w:val="center"/>
              <w:rPr>
                <w:b/>
              </w:rPr>
            </w:pPr>
            <w:r>
              <w:rPr>
                <w:b/>
              </w:rPr>
              <w:t>Raffinerings-margen</w:t>
            </w:r>
          </w:p>
        </w:tc>
        <w:tc>
          <w:tcPr>
            <w:tcW w:w="992" w:type="dxa"/>
            <w:shd w:val="clear" w:color="auto" w:fill="C6D9F1" w:themeFill="text2" w:themeFillTint="33"/>
            <w:vAlign w:val="center"/>
          </w:tcPr>
          <w:p w:rsidR="00952B73" w:rsidRPr="00F27EFB" w:rsidRDefault="00952B73" w:rsidP="00FB6F9F">
            <w:pPr>
              <w:pStyle w:val="Listeafsnit"/>
              <w:ind w:left="0"/>
              <w:jc w:val="center"/>
              <w:rPr>
                <w:b/>
              </w:rPr>
            </w:pPr>
            <w:r w:rsidRPr="00F27EFB">
              <w:rPr>
                <w:b/>
              </w:rPr>
              <w:t>Produktpræmie</w:t>
            </w:r>
          </w:p>
        </w:tc>
        <w:tc>
          <w:tcPr>
            <w:tcW w:w="1701" w:type="dxa"/>
            <w:shd w:val="clear" w:color="auto" w:fill="C6D9F1" w:themeFill="text2" w:themeFillTint="33"/>
            <w:vAlign w:val="center"/>
          </w:tcPr>
          <w:p w:rsidR="00952B73" w:rsidRPr="00F27EFB" w:rsidRDefault="00952B73" w:rsidP="00FB6F9F">
            <w:pPr>
              <w:pStyle w:val="Listeafsnit"/>
              <w:ind w:left="0"/>
              <w:jc w:val="center"/>
              <w:rPr>
                <w:b/>
              </w:rPr>
            </w:pPr>
            <w:proofErr w:type="spellStart"/>
            <w:r w:rsidRPr="00F27EFB">
              <w:rPr>
                <w:b/>
              </w:rPr>
              <w:t>Distributions</w:t>
            </w:r>
            <w:r>
              <w:rPr>
                <w:b/>
              </w:rPr>
              <w:t>-</w:t>
            </w:r>
            <w:r w:rsidRPr="00F27EFB">
              <w:rPr>
                <w:b/>
              </w:rPr>
              <w:t>omkostninger</w:t>
            </w:r>
            <w:proofErr w:type="spellEnd"/>
          </w:p>
        </w:tc>
        <w:tc>
          <w:tcPr>
            <w:tcW w:w="1559" w:type="dxa"/>
            <w:shd w:val="clear" w:color="auto" w:fill="C6D9F1" w:themeFill="text2" w:themeFillTint="33"/>
            <w:vAlign w:val="center"/>
          </w:tcPr>
          <w:p w:rsidR="00952B73" w:rsidRPr="00F27EFB" w:rsidRDefault="000638FF" w:rsidP="00FB6F9F">
            <w:pPr>
              <w:pStyle w:val="Listeafsnit"/>
              <w:ind w:left="0"/>
              <w:jc w:val="center"/>
              <w:rPr>
                <w:b/>
              </w:rPr>
            </w:pPr>
            <w:r>
              <w:rPr>
                <w:b/>
              </w:rPr>
              <w:t>Avance</w:t>
            </w:r>
          </w:p>
        </w:tc>
        <w:tc>
          <w:tcPr>
            <w:tcW w:w="1800" w:type="dxa"/>
            <w:shd w:val="clear" w:color="auto" w:fill="C6D9F1" w:themeFill="text2" w:themeFillTint="33"/>
            <w:vAlign w:val="center"/>
          </w:tcPr>
          <w:p w:rsidR="00952B73" w:rsidRPr="00F27EFB" w:rsidRDefault="005C5897" w:rsidP="005C5897">
            <w:pPr>
              <w:pStyle w:val="Listeafsnit"/>
              <w:ind w:left="0"/>
              <w:jc w:val="center"/>
              <w:rPr>
                <w:b/>
              </w:rPr>
            </w:pPr>
            <w:r>
              <w:rPr>
                <w:b/>
              </w:rPr>
              <w:t>Prist</w:t>
            </w:r>
            <w:r w:rsidR="00952B73" w:rsidRPr="00F27EFB">
              <w:rPr>
                <w:b/>
              </w:rPr>
              <w:t xml:space="preserve">illæg </w:t>
            </w:r>
            <w:r>
              <w:rPr>
                <w:b/>
              </w:rPr>
              <w:t>til</w:t>
            </w:r>
            <w:r w:rsidR="00952B73" w:rsidRPr="00F27EFB">
              <w:rPr>
                <w:b/>
              </w:rPr>
              <w:t xml:space="preserve"> </w:t>
            </w:r>
            <w:r w:rsidR="00952B73">
              <w:rPr>
                <w:b/>
              </w:rPr>
              <w:t>biobrænds</w:t>
            </w:r>
            <w:r>
              <w:rPr>
                <w:b/>
              </w:rPr>
              <w:t>toffer</w:t>
            </w:r>
          </w:p>
        </w:tc>
        <w:tc>
          <w:tcPr>
            <w:tcW w:w="2169" w:type="dxa"/>
            <w:shd w:val="clear" w:color="auto" w:fill="C6D9F1" w:themeFill="text2" w:themeFillTint="33"/>
            <w:vAlign w:val="center"/>
          </w:tcPr>
          <w:p w:rsidR="005C5897" w:rsidRDefault="00952B73" w:rsidP="00FB6F9F">
            <w:pPr>
              <w:pStyle w:val="Listeafsnit"/>
              <w:ind w:left="0"/>
              <w:jc w:val="center"/>
              <w:rPr>
                <w:b/>
              </w:rPr>
            </w:pPr>
            <w:r>
              <w:rPr>
                <w:b/>
              </w:rPr>
              <w:t>Tillæg i</w:t>
            </w:r>
            <w:r w:rsidRPr="00092731">
              <w:rPr>
                <w:b/>
              </w:rPr>
              <w:t xml:space="preserve"> alt</w:t>
            </w:r>
            <w:r w:rsidR="005C5897">
              <w:rPr>
                <w:b/>
              </w:rPr>
              <w:t xml:space="preserve"> </w:t>
            </w:r>
          </w:p>
          <w:p w:rsidR="00952B73" w:rsidRPr="00092731" w:rsidRDefault="005C5897" w:rsidP="00FB6F9F">
            <w:pPr>
              <w:pStyle w:val="Listeafsnit"/>
              <w:ind w:left="0"/>
              <w:jc w:val="center"/>
              <w:rPr>
                <w:b/>
              </w:rPr>
            </w:pPr>
            <w:r>
              <w:rPr>
                <w:b/>
              </w:rPr>
              <w:t>(ekskl. pristillæg til biobrændstoffer)</w:t>
            </w:r>
          </w:p>
        </w:tc>
      </w:tr>
      <w:tr w:rsidR="00952B73" w:rsidTr="005C5897">
        <w:tc>
          <w:tcPr>
            <w:tcW w:w="1242" w:type="dxa"/>
          </w:tcPr>
          <w:p w:rsidR="00952B73" w:rsidRPr="00EA43B2" w:rsidRDefault="00952B73" w:rsidP="00FB6F9F">
            <w:r w:rsidRPr="00EA43B2">
              <w:t>Benzin</w:t>
            </w:r>
          </w:p>
        </w:tc>
        <w:tc>
          <w:tcPr>
            <w:tcW w:w="1418" w:type="dxa"/>
          </w:tcPr>
          <w:p w:rsidR="00952B73" w:rsidRPr="00B21504" w:rsidRDefault="00952B73" w:rsidP="00FB6F9F">
            <w:r w:rsidRPr="00B21504">
              <w:t>an forbruger</w:t>
            </w:r>
          </w:p>
        </w:tc>
        <w:tc>
          <w:tcPr>
            <w:tcW w:w="1276" w:type="dxa"/>
            <w:vAlign w:val="center"/>
          </w:tcPr>
          <w:p w:rsidR="00952B73" w:rsidRPr="00EA43B2" w:rsidRDefault="00501169" w:rsidP="00FB6F9F">
            <w:pPr>
              <w:jc w:val="center"/>
            </w:pPr>
            <w:r>
              <w:t>5,0</w:t>
            </w:r>
          </w:p>
        </w:tc>
        <w:tc>
          <w:tcPr>
            <w:tcW w:w="1701" w:type="dxa"/>
            <w:vAlign w:val="center"/>
          </w:tcPr>
          <w:p w:rsidR="00952B73" w:rsidRPr="00EA43B2" w:rsidRDefault="00501169" w:rsidP="00FB6F9F">
            <w:pPr>
              <w:jc w:val="center"/>
            </w:pPr>
            <w:r>
              <w:t>9,1</w:t>
            </w:r>
          </w:p>
        </w:tc>
        <w:tc>
          <w:tcPr>
            <w:tcW w:w="1559" w:type="dxa"/>
            <w:vAlign w:val="center"/>
          </w:tcPr>
          <w:p w:rsidR="00952B73" w:rsidRPr="00EA43B2" w:rsidRDefault="00501169" w:rsidP="00FB6F9F">
            <w:pPr>
              <w:jc w:val="center"/>
            </w:pPr>
            <w:r>
              <w:t>4,3</w:t>
            </w:r>
          </w:p>
        </w:tc>
        <w:tc>
          <w:tcPr>
            <w:tcW w:w="992" w:type="dxa"/>
            <w:vAlign w:val="center"/>
          </w:tcPr>
          <w:p w:rsidR="00952B73" w:rsidRPr="00EA43B2" w:rsidRDefault="00501169" w:rsidP="00FB6F9F">
            <w:pPr>
              <w:jc w:val="center"/>
            </w:pPr>
            <w:r>
              <w:t>6,7</w:t>
            </w:r>
          </w:p>
        </w:tc>
        <w:tc>
          <w:tcPr>
            <w:tcW w:w="1701" w:type="dxa"/>
            <w:vAlign w:val="center"/>
          </w:tcPr>
          <w:p w:rsidR="00952B73" w:rsidRPr="00EA43B2" w:rsidRDefault="00BD6922" w:rsidP="00FB6F9F">
            <w:pPr>
              <w:jc w:val="center"/>
            </w:pPr>
            <w:r>
              <w:t>16,6</w:t>
            </w:r>
          </w:p>
        </w:tc>
        <w:tc>
          <w:tcPr>
            <w:tcW w:w="1559" w:type="dxa"/>
            <w:vAlign w:val="center"/>
          </w:tcPr>
          <w:p w:rsidR="00952B73" w:rsidRPr="00EA43B2" w:rsidRDefault="00BD6922" w:rsidP="00FB6F9F">
            <w:pPr>
              <w:jc w:val="center"/>
            </w:pPr>
            <w:r>
              <w:t>14,6</w:t>
            </w:r>
          </w:p>
        </w:tc>
        <w:tc>
          <w:tcPr>
            <w:tcW w:w="1800" w:type="dxa"/>
            <w:vAlign w:val="center"/>
          </w:tcPr>
          <w:p w:rsidR="00952B73" w:rsidRPr="00EA43B2" w:rsidRDefault="00BD6922" w:rsidP="00FB6F9F">
            <w:pPr>
              <w:jc w:val="center"/>
            </w:pPr>
            <w:r>
              <w:t>3,9</w:t>
            </w:r>
          </w:p>
        </w:tc>
        <w:tc>
          <w:tcPr>
            <w:tcW w:w="2169" w:type="dxa"/>
            <w:vAlign w:val="center"/>
          </w:tcPr>
          <w:p w:rsidR="00952B73" w:rsidRPr="00092731" w:rsidRDefault="005C5897" w:rsidP="00FB6F9F">
            <w:pPr>
              <w:jc w:val="center"/>
              <w:rPr>
                <w:b/>
              </w:rPr>
            </w:pPr>
            <w:r>
              <w:rPr>
                <w:b/>
              </w:rPr>
              <w:t>56,3</w:t>
            </w:r>
          </w:p>
        </w:tc>
      </w:tr>
      <w:tr w:rsidR="00501169" w:rsidTr="005C5897">
        <w:tc>
          <w:tcPr>
            <w:tcW w:w="1242" w:type="dxa"/>
          </w:tcPr>
          <w:p w:rsidR="00501169" w:rsidRPr="00EA43B2" w:rsidRDefault="00501169" w:rsidP="00FB6F9F">
            <w:r w:rsidRPr="00EA43B2">
              <w:t>Diesel</w:t>
            </w:r>
          </w:p>
        </w:tc>
        <w:tc>
          <w:tcPr>
            <w:tcW w:w="1418" w:type="dxa"/>
          </w:tcPr>
          <w:p w:rsidR="00501169" w:rsidRPr="00B21504" w:rsidRDefault="00501169" w:rsidP="00FB6F9F">
            <w:r w:rsidRPr="00B21504">
              <w:t>an forbruger</w:t>
            </w:r>
          </w:p>
        </w:tc>
        <w:tc>
          <w:tcPr>
            <w:tcW w:w="1276" w:type="dxa"/>
          </w:tcPr>
          <w:p w:rsidR="00501169" w:rsidRDefault="00501169" w:rsidP="00501169">
            <w:pPr>
              <w:jc w:val="center"/>
            </w:pPr>
            <w:r w:rsidRPr="001A3730">
              <w:t>5,0</w:t>
            </w:r>
          </w:p>
        </w:tc>
        <w:tc>
          <w:tcPr>
            <w:tcW w:w="1701" w:type="dxa"/>
          </w:tcPr>
          <w:p w:rsidR="00501169" w:rsidRDefault="00501169" w:rsidP="00501169">
            <w:pPr>
              <w:jc w:val="center"/>
            </w:pPr>
            <w:r w:rsidRPr="005E05F7">
              <w:t>9,1</w:t>
            </w:r>
          </w:p>
        </w:tc>
        <w:tc>
          <w:tcPr>
            <w:tcW w:w="1559" w:type="dxa"/>
          </w:tcPr>
          <w:p w:rsidR="00501169" w:rsidRDefault="00501169" w:rsidP="00501169">
            <w:pPr>
              <w:jc w:val="center"/>
            </w:pPr>
            <w:r w:rsidRPr="00C70DD0">
              <w:t>4,3</w:t>
            </w:r>
          </w:p>
        </w:tc>
        <w:tc>
          <w:tcPr>
            <w:tcW w:w="992" w:type="dxa"/>
            <w:vAlign w:val="center"/>
          </w:tcPr>
          <w:p w:rsidR="00501169" w:rsidRPr="00EA43B2" w:rsidRDefault="00501169" w:rsidP="00FB6F9F">
            <w:pPr>
              <w:jc w:val="center"/>
            </w:pPr>
            <w:r>
              <w:t>5,9</w:t>
            </w:r>
          </w:p>
        </w:tc>
        <w:tc>
          <w:tcPr>
            <w:tcW w:w="1701" w:type="dxa"/>
            <w:vAlign w:val="center"/>
          </w:tcPr>
          <w:p w:rsidR="00501169" w:rsidRPr="00EA43B2" w:rsidRDefault="00BD6922" w:rsidP="00FB6F9F">
            <w:pPr>
              <w:jc w:val="center"/>
            </w:pPr>
            <w:r>
              <w:t>15,2</w:t>
            </w:r>
          </w:p>
        </w:tc>
        <w:tc>
          <w:tcPr>
            <w:tcW w:w="1559" w:type="dxa"/>
            <w:vAlign w:val="center"/>
          </w:tcPr>
          <w:p w:rsidR="00501169" w:rsidRPr="00EA43B2" w:rsidRDefault="00BD6922" w:rsidP="00FB6F9F">
            <w:pPr>
              <w:jc w:val="center"/>
            </w:pPr>
            <w:r>
              <w:t>15,4</w:t>
            </w:r>
          </w:p>
        </w:tc>
        <w:tc>
          <w:tcPr>
            <w:tcW w:w="1800" w:type="dxa"/>
            <w:vAlign w:val="center"/>
          </w:tcPr>
          <w:p w:rsidR="00501169" w:rsidRPr="00EA43B2" w:rsidRDefault="00BD6922" w:rsidP="00FB6F9F">
            <w:pPr>
              <w:jc w:val="center"/>
            </w:pPr>
            <w:r>
              <w:t>7,</w:t>
            </w:r>
            <w:r w:rsidR="00501169" w:rsidRPr="00EA43B2">
              <w:t>3</w:t>
            </w:r>
          </w:p>
        </w:tc>
        <w:tc>
          <w:tcPr>
            <w:tcW w:w="2169" w:type="dxa"/>
            <w:vAlign w:val="center"/>
          </w:tcPr>
          <w:p w:rsidR="00501169" w:rsidRPr="00092731" w:rsidRDefault="00501169" w:rsidP="005C5897">
            <w:pPr>
              <w:jc w:val="center"/>
              <w:rPr>
                <w:b/>
              </w:rPr>
            </w:pPr>
            <w:r>
              <w:rPr>
                <w:b/>
              </w:rPr>
              <w:t>5</w:t>
            </w:r>
            <w:r w:rsidR="005C5897">
              <w:rPr>
                <w:b/>
              </w:rPr>
              <w:t>4,9</w:t>
            </w:r>
          </w:p>
        </w:tc>
      </w:tr>
      <w:tr w:rsidR="00501169" w:rsidTr="005C5897">
        <w:tc>
          <w:tcPr>
            <w:tcW w:w="1242" w:type="dxa"/>
          </w:tcPr>
          <w:p w:rsidR="00501169" w:rsidRPr="00EA43B2" w:rsidRDefault="00501169" w:rsidP="00FB6F9F">
            <w:r w:rsidRPr="00EA43B2">
              <w:t>Fyringsolie</w:t>
            </w:r>
          </w:p>
        </w:tc>
        <w:tc>
          <w:tcPr>
            <w:tcW w:w="1418" w:type="dxa"/>
          </w:tcPr>
          <w:p w:rsidR="00501169" w:rsidRPr="00B21504" w:rsidRDefault="00501169" w:rsidP="00FB6F9F">
            <w:r w:rsidRPr="00B21504">
              <w:t>an forbruger</w:t>
            </w:r>
          </w:p>
        </w:tc>
        <w:tc>
          <w:tcPr>
            <w:tcW w:w="1276" w:type="dxa"/>
          </w:tcPr>
          <w:p w:rsidR="00501169" w:rsidRDefault="00501169" w:rsidP="00501169">
            <w:pPr>
              <w:jc w:val="center"/>
            </w:pPr>
            <w:r w:rsidRPr="001A3730">
              <w:t>5,0</w:t>
            </w:r>
          </w:p>
        </w:tc>
        <w:tc>
          <w:tcPr>
            <w:tcW w:w="1701" w:type="dxa"/>
          </w:tcPr>
          <w:p w:rsidR="00501169" w:rsidRDefault="00501169" w:rsidP="00501169">
            <w:pPr>
              <w:jc w:val="center"/>
            </w:pPr>
            <w:r w:rsidRPr="005E05F7">
              <w:t>9,1</w:t>
            </w:r>
          </w:p>
        </w:tc>
        <w:tc>
          <w:tcPr>
            <w:tcW w:w="1559" w:type="dxa"/>
          </w:tcPr>
          <w:p w:rsidR="00501169" w:rsidRDefault="00501169" w:rsidP="00501169">
            <w:pPr>
              <w:jc w:val="center"/>
            </w:pPr>
            <w:r w:rsidRPr="00C70DD0">
              <w:t>4,3</w:t>
            </w:r>
          </w:p>
        </w:tc>
        <w:tc>
          <w:tcPr>
            <w:tcW w:w="992" w:type="dxa"/>
            <w:vAlign w:val="center"/>
          </w:tcPr>
          <w:p w:rsidR="00501169" w:rsidRPr="00EA43B2" w:rsidRDefault="00501169" w:rsidP="00FB6F9F">
            <w:pPr>
              <w:jc w:val="center"/>
            </w:pPr>
            <w:r>
              <w:t>5,9</w:t>
            </w:r>
          </w:p>
        </w:tc>
        <w:tc>
          <w:tcPr>
            <w:tcW w:w="1701" w:type="dxa"/>
            <w:vAlign w:val="center"/>
          </w:tcPr>
          <w:p w:rsidR="00501169" w:rsidRPr="00EA43B2" w:rsidRDefault="00501169" w:rsidP="00FB6F9F">
            <w:pPr>
              <w:jc w:val="center"/>
            </w:pPr>
            <w:r w:rsidRPr="00EA43B2">
              <w:t>5,1</w:t>
            </w:r>
          </w:p>
        </w:tc>
        <w:tc>
          <w:tcPr>
            <w:tcW w:w="1559" w:type="dxa"/>
            <w:vAlign w:val="center"/>
          </w:tcPr>
          <w:p w:rsidR="00501169" w:rsidRPr="00EA43B2" w:rsidRDefault="00BD6922" w:rsidP="00BD6922">
            <w:pPr>
              <w:jc w:val="center"/>
            </w:pPr>
            <w:r>
              <w:t>25</w:t>
            </w:r>
            <w:r w:rsidR="00501169">
              <w:t>,</w:t>
            </w:r>
            <w:r>
              <w:t>5</w:t>
            </w:r>
          </w:p>
        </w:tc>
        <w:tc>
          <w:tcPr>
            <w:tcW w:w="1800" w:type="dxa"/>
          </w:tcPr>
          <w:p w:rsidR="00501169" w:rsidRDefault="00501169" w:rsidP="00FB6F9F">
            <w:pPr>
              <w:jc w:val="center"/>
            </w:pPr>
            <w:r w:rsidRPr="00797B9A">
              <w:t>-</w:t>
            </w:r>
          </w:p>
        </w:tc>
        <w:tc>
          <w:tcPr>
            <w:tcW w:w="2169" w:type="dxa"/>
            <w:vAlign w:val="center"/>
          </w:tcPr>
          <w:p w:rsidR="00501169" w:rsidRPr="00092731" w:rsidRDefault="005C5897" w:rsidP="00FB6F9F">
            <w:pPr>
              <w:jc w:val="center"/>
              <w:rPr>
                <w:b/>
              </w:rPr>
            </w:pPr>
            <w:r>
              <w:rPr>
                <w:b/>
              </w:rPr>
              <w:t>54,9</w:t>
            </w:r>
          </w:p>
        </w:tc>
      </w:tr>
      <w:tr w:rsidR="00501169" w:rsidTr="005C5897">
        <w:tc>
          <w:tcPr>
            <w:tcW w:w="1242" w:type="dxa"/>
          </w:tcPr>
          <w:p w:rsidR="00501169" w:rsidRPr="00EA43B2" w:rsidRDefault="00501169" w:rsidP="00FB6F9F">
            <w:r w:rsidRPr="00EA43B2">
              <w:t>Gasolie</w:t>
            </w:r>
          </w:p>
        </w:tc>
        <w:tc>
          <w:tcPr>
            <w:tcW w:w="1418" w:type="dxa"/>
          </w:tcPr>
          <w:p w:rsidR="00501169" w:rsidRPr="00B21504" w:rsidRDefault="00501169" w:rsidP="00FB6F9F">
            <w:r w:rsidRPr="00B21504">
              <w:t>an værk</w:t>
            </w:r>
          </w:p>
        </w:tc>
        <w:tc>
          <w:tcPr>
            <w:tcW w:w="1276" w:type="dxa"/>
          </w:tcPr>
          <w:p w:rsidR="00501169" w:rsidRDefault="00501169" w:rsidP="00501169">
            <w:pPr>
              <w:jc w:val="center"/>
            </w:pPr>
            <w:r w:rsidRPr="001A3730">
              <w:t>5,0</w:t>
            </w:r>
          </w:p>
        </w:tc>
        <w:tc>
          <w:tcPr>
            <w:tcW w:w="1701" w:type="dxa"/>
          </w:tcPr>
          <w:p w:rsidR="00501169" w:rsidRDefault="00501169" w:rsidP="00501169">
            <w:pPr>
              <w:jc w:val="center"/>
            </w:pPr>
            <w:r w:rsidRPr="005E05F7">
              <w:t>9,1</w:t>
            </w:r>
          </w:p>
        </w:tc>
        <w:tc>
          <w:tcPr>
            <w:tcW w:w="1559" w:type="dxa"/>
          </w:tcPr>
          <w:p w:rsidR="00501169" w:rsidRDefault="00501169" w:rsidP="00501169">
            <w:pPr>
              <w:jc w:val="center"/>
            </w:pPr>
            <w:r w:rsidRPr="00C70DD0">
              <w:t>4,3</w:t>
            </w:r>
          </w:p>
        </w:tc>
        <w:tc>
          <w:tcPr>
            <w:tcW w:w="992" w:type="dxa"/>
            <w:vAlign w:val="center"/>
          </w:tcPr>
          <w:p w:rsidR="00501169" w:rsidRPr="00EA43B2" w:rsidRDefault="00501169" w:rsidP="00FB6F9F">
            <w:pPr>
              <w:jc w:val="center"/>
            </w:pPr>
            <w:r>
              <w:t>5,9</w:t>
            </w:r>
          </w:p>
        </w:tc>
        <w:tc>
          <w:tcPr>
            <w:tcW w:w="1701" w:type="dxa"/>
            <w:vAlign w:val="center"/>
          </w:tcPr>
          <w:p w:rsidR="00501169" w:rsidRPr="00EA43B2" w:rsidRDefault="00501169" w:rsidP="00FB6F9F">
            <w:pPr>
              <w:jc w:val="center"/>
            </w:pPr>
            <w:r w:rsidRPr="00EA43B2">
              <w:t>3,3</w:t>
            </w:r>
          </w:p>
        </w:tc>
        <w:tc>
          <w:tcPr>
            <w:tcW w:w="1559" w:type="dxa"/>
            <w:vAlign w:val="center"/>
          </w:tcPr>
          <w:p w:rsidR="00501169" w:rsidRPr="00EA43B2" w:rsidRDefault="00BD6922" w:rsidP="00BD6922">
            <w:pPr>
              <w:jc w:val="center"/>
            </w:pPr>
            <w:r>
              <w:t>10</w:t>
            </w:r>
            <w:r w:rsidR="00501169" w:rsidRPr="00EA43B2">
              <w:t>,</w:t>
            </w:r>
            <w:r>
              <w:t>8</w:t>
            </w:r>
          </w:p>
        </w:tc>
        <w:tc>
          <w:tcPr>
            <w:tcW w:w="1800" w:type="dxa"/>
          </w:tcPr>
          <w:p w:rsidR="00501169" w:rsidRDefault="00501169" w:rsidP="00FB6F9F">
            <w:pPr>
              <w:jc w:val="center"/>
            </w:pPr>
            <w:r w:rsidRPr="00797B9A">
              <w:t>-</w:t>
            </w:r>
          </w:p>
        </w:tc>
        <w:tc>
          <w:tcPr>
            <w:tcW w:w="2169" w:type="dxa"/>
            <w:vAlign w:val="center"/>
          </w:tcPr>
          <w:p w:rsidR="00501169" w:rsidRPr="00092731" w:rsidRDefault="00501169" w:rsidP="005C5897">
            <w:pPr>
              <w:jc w:val="center"/>
              <w:rPr>
                <w:b/>
              </w:rPr>
            </w:pPr>
            <w:r>
              <w:rPr>
                <w:b/>
              </w:rPr>
              <w:t>3</w:t>
            </w:r>
            <w:r w:rsidR="005C5897">
              <w:rPr>
                <w:b/>
              </w:rPr>
              <w:t>8,4</w:t>
            </w:r>
          </w:p>
        </w:tc>
      </w:tr>
      <w:tr w:rsidR="00501169" w:rsidTr="005C5897">
        <w:tc>
          <w:tcPr>
            <w:tcW w:w="1242" w:type="dxa"/>
          </w:tcPr>
          <w:p w:rsidR="00501169" w:rsidRPr="00EA43B2" w:rsidRDefault="00501169" w:rsidP="00FB6F9F">
            <w:r w:rsidRPr="00EA43B2">
              <w:t>Gasolie</w:t>
            </w:r>
          </w:p>
        </w:tc>
        <w:tc>
          <w:tcPr>
            <w:tcW w:w="1418" w:type="dxa"/>
          </w:tcPr>
          <w:p w:rsidR="00501169" w:rsidRPr="00B21504" w:rsidRDefault="00501169" w:rsidP="00FB6F9F">
            <w:r w:rsidRPr="00B21504">
              <w:t>an kraftværk</w:t>
            </w:r>
          </w:p>
        </w:tc>
        <w:tc>
          <w:tcPr>
            <w:tcW w:w="1276" w:type="dxa"/>
          </w:tcPr>
          <w:p w:rsidR="00501169" w:rsidRDefault="00501169" w:rsidP="00501169">
            <w:pPr>
              <w:jc w:val="center"/>
            </w:pPr>
            <w:r w:rsidRPr="001A3730">
              <w:t>5,0</w:t>
            </w:r>
          </w:p>
        </w:tc>
        <w:tc>
          <w:tcPr>
            <w:tcW w:w="1701" w:type="dxa"/>
          </w:tcPr>
          <w:p w:rsidR="00501169" w:rsidRDefault="00501169" w:rsidP="00501169">
            <w:pPr>
              <w:jc w:val="center"/>
            </w:pPr>
            <w:r w:rsidRPr="005E05F7">
              <w:t>9,1</w:t>
            </w:r>
          </w:p>
        </w:tc>
        <w:tc>
          <w:tcPr>
            <w:tcW w:w="1559" w:type="dxa"/>
          </w:tcPr>
          <w:p w:rsidR="00501169" w:rsidRDefault="00501169" w:rsidP="00501169">
            <w:pPr>
              <w:jc w:val="center"/>
            </w:pPr>
            <w:r w:rsidRPr="00C70DD0">
              <w:t>4,3</w:t>
            </w:r>
          </w:p>
        </w:tc>
        <w:tc>
          <w:tcPr>
            <w:tcW w:w="992" w:type="dxa"/>
            <w:vAlign w:val="center"/>
          </w:tcPr>
          <w:p w:rsidR="00501169" w:rsidRPr="00EA43B2" w:rsidRDefault="00501169" w:rsidP="00FB6F9F">
            <w:pPr>
              <w:jc w:val="center"/>
            </w:pPr>
            <w:r>
              <w:t>5,9</w:t>
            </w:r>
          </w:p>
        </w:tc>
        <w:tc>
          <w:tcPr>
            <w:tcW w:w="1701" w:type="dxa"/>
            <w:vAlign w:val="center"/>
          </w:tcPr>
          <w:p w:rsidR="00501169" w:rsidRPr="00EA43B2" w:rsidRDefault="00501169" w:rsidP="00FB6F9F">
            <w:pPr>
              <w:jc w:val="center"/>
            </w:pPr>
            <w:r w:rsidRPr="00EA43B2">
              <w:t>2,2</w:t>
            </w:r>
          </w:p>
        </w:tc>
        <w:tc>
          <w:tcPr>
            <w:tcW w:w="1559" w:type="dxa"/>
          </w:tcPr>
          <w:p w:rsidR="00501169" w:rsidRDefault="00501169" w:rsidP="00FB6F9F">
            <w:pPr>
              <w:jc w:val="center"/>
            </w:pPr>
            <w:r w:rsidRPr="00A02FE2">
              <w:t>-</w:t>
            </w:r>
          </w:p>
        </w:tc>
        <w:tc>
          <w:tcPr>
            <w:tcW w:w="1800" w:type="dxa"/>
          </w:tcPr>
          <w:p w:rsidR="00501169" w:rsidRDefault="00501169" w:rsidP="00FB6F9F">
            <w:pPr>
              <w:jc w:val="center"/>
            </w:pPr>
            <w:r w:rsidRPr="00797B9A">
              <w:t>-</w:t>
            </w:r>
          </w:p>
        </w:tc>
        <w:tc>
          <w:tcPr>
            <w:tcW w:w="2169" w:type="dxa"/>
            <w:vAlign w:val="center"/>
          </w:tcPr>
          <w:p w:rsidR="00501169" w:rsidRPr="00092731" w:rsidRDefault="005C5897" w:rsidP="00FB6F9F">
            <w:pPr>
              <w:jc w:val="center"/>
              <w:rPr>
                <w:b/>
              </w:rPr>
            </w:pPr>
            <w:r>
              <w:rPr>
                <w:b/>
              </w:rPr>
              <w:t>26,4</w:t>
            </w:r>
          </w:p>
        </w:tc>
      </w:tr>
      <w:tr w:rsidR="00501169" w:rsidTr="005C5897">
        <w:tc>
          <w:tcPr>
            <w:tcW w:w="1242" w:type="dxa"/>
          </w:tcPr>
          <w:p w:rsidR="00501169" w:rsidRPr="00EA43B2" w:rsidRDefault="00501169" w:rsidP="00FB6F9F">
            <w:r w:rsidRPr="00EA43B2">
              <w:t>Fuelolie</w:t>
            </w:r>
          </w:p>
        </w:tc>
        <w:tc>
          <w:tcPr>
            <w:tcW w:w="1418" w:type="dxa"/>
          </w:tcPr>
          <w:p w:rsidR="00501169" w:rsidRPr="00B21504" w:rsidRDefault="00501169" w:rsidP="00FB6F9F">
            <w:r w:rsidRPr="00B21504">
              <w:t>an kraftværk</w:t>
            </w:r>
          </w:p>
        </w:tc>
        <w:tc>
          <w:tcPr>
            <w:tcW w:w="1276" w:type="dxa"/>
          </w:tcPr>
          <w:p w:rsidR="00501169" w:rsidRDefault="00501169" w:rsidP="00501169">
            <w:pPr>
              <w:jc w:val="center"/>
            </w:pPr>
            <w:r w:rsidRPr="001A3730">
              <w:t>5,0</w:t>
            </w:r>
          </w:p>
        </w:tc>
        <w:tc>
          <w:tcPr>
            <w:tcW w:w="1701" w:type="dxa"/>
          </w:tcPr>
          <w:p w:rsidR="00501169" w:rsidRDefault="00501169" w:rsidP="00501169">
            <w:pPr>
              <w:jc w:val="center"/>
            </w:pPr>
            <w:r w:rsidRPr="005E05F7">
              <w:t>9,1</w:t>
            </w:r>
          </w:p>
        </w:tc>
        <w:tc>
          <w:tcPr>
            <w:tcW w:w="1559" w:type="dxa"/>
          </w:tcPr>
          <w:p w:rsidR="00501169" w:rsidRDefault="00501169" w:rsidP="00501169">
            <w:pPr>
              <w:jc w:val="center"/>
            </w:pPr>
            <w:r w:rsidRPr="00C70DD0">
              <w:t>4,3</w:t>
            </w:r>
          </w:p>
        </w:tc>
        <w:tc>
          <w:tcPr>
            <w:tcW w:w="992" w:type="dxa"/>
            <w:vAlign w:val="center"/>
          </w:tcPr>
          <w:p w:rsidR="00501169" w:rsidRPr="00EA43B2" w:rsidRDefault="00501169" w:rsidP="00FB6F9F">
            <w:pPr>
              <w:jc w:val="center"/>
            </w:pPr>
            <w:r>
              <w:t>-29</w:t>
            </w:r>
            <w:r w:rsidRPr="00EA43B2">
              <w:t>,0</w:t>
            </w:r>
          </w:p>
        </w:tc>
        <w:tc>
          <w:tcPr>
            <w:tcW w:w="1701" w:type="dxa"/>
            <w:vAlign w:val="center"/>
          </w:tcPr>
          <w:p w:rsidR="00501169" w:rsidRPr="00EA43B2" w:rsidRDefault="00501169" w:rsidP="00FB6F9F">
            <w:pPr>
              <w:jc w:val="center"/>
            </w:pPr>
            <w:r w:rsidRPr="00EA43B2">
              <w:t>2,2</w:t>
            </w:r>
          </w:p>
        </w:tc>
        <w:tc>
          <w:tcPr>
            <w:tcW w:w="1559" w:type="dxa"/>
          </w:tcPr>
          <w:p w:rsidR="00501169" w:rsidRDefault="00501169" w:rsidP="00FB6F9F">
            <w:pPr>
              <w:jc w:val="center"/>
            </w:pPr>
            <w:r w:rsidRPr="00A02FE2">
              <w:t>-</w:t>
            </w:r>
          </w:p>
        </w:tc>
        <w:tc>
          <w:tcPr>
            <w:tcW w:w="1800" w:type="dxa"/>
          </w:tcPr>
          <w:p w:rsidR="00501169" w:rsidRDefault="00501169" w:rsidP="00FB6F9F">
            <w:pPr>
              <w:jc w:val="center"/>
            </w:pPr>
            <w:r w:rsidRPr="00797B9A">
              <w:t>-</w:t>
            </w:r>
          </w:p>
        </w:tc>
        <w:tc>
          <w:tcPr>
            <w:tcW w:w="2169" w:type="dxa"/>
            <w:vAlign w:val="center"/>
          </w:tcPr>
          <w:p w:rsidR="00501169" w:rsidRPr="00092731" w:rsidRDefault="005C5897" w:rsidP="00FB6F9F">
            <w:pPr>
              <w:jc w:val="center"/>
              <w:rPr>
                <w:b/>
              </w:rPr>
            </w:pPr>
            <w:r>
              <w:rPr>
                <w:b/>
              </w:rPr>
              <w:t>-8</w:t>
            </w:r>
            <w:r w:rsidR="00501169" w:rsidRPr="00092731">
              <w:rPr>
                <w:b/>
              </w:rPr>
              <w:t>,5</w:t>
            </w:r>
          </w:p>
        </w:tc>
      </w:tr>
      <w:tr w:rsidR="00501169" w:rsidTr="005C5897">
        <w:tc>
          <w:tcPr>
            <w:tcW w:w="1242" w:type="dxa"/>
            <w:tcBorders>
              <w:bottom w:val="single" w:sz="4" w:space="0" w:color="auto"/>
            </w:tcBorders>
          </w:tcPr>
          <w:p w:rsidR="00501169" w:rsidRPr="00EA43B2" w:rsidRDefault="00501169" w:rsidP="00FB6F9F">
            <w:r w:rsidRPr="00EA43B2">
              <w:t>JP1</w:t>
            </w:r>
          </w:p>
        </w:tc>
        <w:tc>
          <w:tcPr>
            <w:tcW w:w="1418" w:type="dxa"/>
            <w:tcBorders>
              <w:bottom w:val="single" w:sz="4" w:space="0" w:color="auto"/>
            </w:tcBorders>
          </w:tcPr>
          <w:p w:rsidR="00501169" w:rsidRDefault="00501169" w:rsidP="00FB6F9F">
            <w:r w:rsidRPr="00B21504">
              <w:t>an lufthavn</w:t>
            </w:r>
          </w:p>
        </w:tc>
        <w:tc>
          <w:tcPr>
            <w:tcW w:w="1276" w:type="dxa"/>
            <w:tcBorders>
              <w:bottom w:val="single" w:sz="4" w:space="0" w:color="auto"/>
            </w:tcBorders>
          </w:tcPr>
          <w:p w:rsidR="00501169" w:rsidRDefault="00501169" w:rsidP="00501169">
            <w:pPr>
              <w:jc w:val="center"/>
            </w:pPr>
            <w:r w:rsidRPr="001A3730">
              <w:t>5,0</w:t>
            </w:r>
          </w:p>
        </w:tc>
        <w:tc>
          <w:tcPr>
            <w:tcW w:w="1701" w:type="dxa"/>
            <w:tcBorders>
              <w:bottom w:val="single" w:sz="4" w:space="0" w:color="auto"/>
            </w:tcBorders>
          </w:tcPr>
          <w:p w:rsidR="00501169" w:rsidRDefault="00501169" w:rsidP="00501169">
            <w:pPr>
              <w:jc w:val="center"/>
            </w:pPr>
            <w:r w:rsidRPr="005E05F7">
              <w:t>9,1</w:t>
            </w:r>
          </w:p>
        </w:tc>
        <w:tc>
          <w:tcPr>
            <w:tcW w:w="1559" w:type="dxa"/>
            <w:tcBorders>
              <w:bottom w:val="single" w:sz="4" w:space="0" w:color="auto"/>
            </w:tcBorders>
          </w:tcPr>
          <w:p w:rsidR="00501169" w:rsidRDefault="00501169" w:rsidP="00501169">
            <w:pPr>
              <w:jc w:val="center"/>
            </w:pPr>
            <w:r w:rsidRPr="00C70DD0">
              <w:t>4,3</w:t>
            </w:r>
          </w:p>
        </w:tc>
        <w:tc>
          <w:tcPr>
            <w:tcW w:w="992" w:type="dxa"/>
            <w:tcBorders>
              <w:bottom w:val="single" w:sz="4" w:space="0" w:color="auto"/>
            </w:tcBorders>
            <w:vAlign w:val="center"/>
          </w:tcPr>
          <w:p w:rsidR="00501169" w:rsidRPr="00EA43B2" w:rsidRDefault="00501169" w:rsidP="00FB6F9F">
            <w:pPr>
              <w:jc w:val="center"/>
            </w:pPr>
            <w:r>
              <w:t>3,9</w:t>
            </w:r>
          </w:p>
        </w:tc>
        <w:tc>
          <w:tcPr>
            <w:tcW w:w="1701" w:type="dxa"/>
            <w:tcBorders>
              <w:bottom w:val="single" w:sz="4" w:space="0" w:color="auto"/>
            </w:tcBorders>
            <w:vAlign w:val="center"/>
          </w:tcPr>
          <w:p w:rsidR="00501169" w:rsidRPr="00EA43B2" w:rsidRDefault="00501169" w:rsidP="00FB6F9F">
            <w:pPr>
              <w:jc w:val="center"/>
            </w:pPr>
            <w:r w:rsidRPr="00EA43B2">
              <w:t>2,2</w:t>
            </w:r>
          </w:p>
        </w:tc>
        <w:tc>
          <w:tcPr>
            <w:tcW w:w="1559" w:type="dxa"/>
            <w:tcBorders>
              <w:bottom w:val="single" w:sz="4" w:space="0" w:color="auto"/>
            </w:tcBorders>
          </w:tcPr>
          <w:p w:rsidR="00501169" w:rsidRDefault="00501169" w:rsidP="00FB6F9F">
            <w:pPr>
              <w:jc w:val="center"/>
            </w:pPr>
            <w:r w:rsidRPr="00A02FE2">
              <w:t>-</w:t>
            </w:r>
          </w:p>
        </w:tc>
        <w:tc>
          <w:tcPr>
            <w:tcW w:w="1800" w:type="dxa"/>
            <w:tcBorders>
              <w:bottom w:val="single" w:sz="4" w:space="0" w:color="auto"/>
            </w:tcBorders>
          </w:tcPr>
          <w:p w:rsidR="00501169" w:rsidRDefault="00501169" w:rsidP="00FB6F9F">
            <w:pPr>
              <w:jc w:val="center"/>
            </w:pPr>
            <w:r w:rsidRPr="00797B9A">
              <w:t>-</w:t>
            </w:r>
          </w:p>
        </w:tc>
        <w:tc>
          <w:tcPr>
            <w:tcW w:w="2169" w:type="dxa"/>
            <w:tcBorders>
              <w:bottom w:val="single" w:sz="4" w:space="0" w:color="auto"/>
            </w:tcBorders>
            <w:vAlign w:val="center"/>
          </w:tcPr>
          <w:p w:rsidR="00501169" w:rsidRPr="00092731" w:rsidRDefault="005C5897" w:rsidP="005C5897">
            <w:pPr>
              <w:jc w:val="center"/>
              <w:rPr>
                <w:b/>
              </w:rPr>
            </w:pPr>
            <w:r>
              <w:rPr>
                <w:b/>
              </w:rPr>
              <w:t>24</w:t>
            </w:r>
            <w:r w:rsidR="00501169" w:rsidRPr="00092731">
              <w:rPr>
                <w:b/>
              </w:rPr>
              <w:t>,</w:t>
            </w:r>
            <w:r>
              <w:rPr>
                <w:b/>
              </w:rPr>
              <w:t>4</w:t>
            </w:r>
          </w:p>
        </w:tc>
      </w:tr>
      <w:tr w:rsidR="00952B73" w:rsidTr="005C5897">
        <w:tc>
          <w:tcPr>
            <w:tcW w:w="1242" w:type="dxa"/>
            <w:tcBorders>
              <w:bottom w:val="single" w:sz="4" w:space="0" w:color="auto"/>
            </w:tcBorders>
            <w:shd w:val="clear" w:color="auto" w:fill="BFBFBF" w:themeFill="background1" w:themeFillShade="BF"/>
          </w:tcPr>
          <w:p w:rsidR="00952B73" w:rsidRPr="00F855B8" w:rsidRDefault="00952B73" w:rsidP="00FB6F9F">
            <w:pPr>
              <w:rPr>
                <w:b/>
              </w:rPr>
            </w:pPr>
          </w:p>
        </w:tc>
        <w:tc>
          <w:tcPr>
            <w:tcW w:w="1418" w:type="dxa"/>
            <w:tcBorders>
              <w:bottom w:val="single" w:sz="4" w:space="0" w:color="auto"/>
            </w:tcBorders>
            <w:shd w:val="clear" w:color="auto" w:fill="BFBFBF" w:themeFill="background1" w:themeFillShade="BF"/>
          </w:tcPr>
          <w:p w:rsidR="00952B73" w:rsidRPr="00B21504" w:rsidRDefault="00952B73" w:rsidP="00FB6F9F"/>
        </w:tc>
        <w:tc>
          <w:tcPr>
            <w:tcW w:w="1276" w:type="dxa"/>
            <w:tcBorders>
              <w:bottom w:val="single" w:sz="4" w:space="0" w:color="auto"/>
            </w:tcBorders>
            <w:shd w:val="clear" w:color="auto" w:fill="BFBFBF" w:themeFill="background1" w:themeFillShade="BF"/>
          </w:tcPr>
          <w:p w:rsidR="00952B73" w:rsidRPr="00795B57" w:rsidRDefault="00952B73" w:rsidP="00FB6F9F">
            <w:pPr>
              <w:jc w:val="right"/>
            </w:pPr>
          </w:p>
        </w:tc>
        <w:tc>
          <w:tcPr>
            <w:tcW w:w="1701" w:type="dxa"/>
            <w:tcBorders>
              <w:bottom w:val="single" w:sz="4" w:space="0" w:color="auto"/>
            </w:tcBorders>
            <w:shd w:val="clear" w:color="auto" w:fill="BFBFBF" w:themeFill="background1" w:themeFillShade="BF"/>
          </w:tcPr>
          <w:p w:rsidR="00952B73" w:rsidRPr="00795B57" w:rsidRDefault="00952B73" w:rsidP="00FB6F9F">
            <w:pPr>
              <w:jc w:val="right"/>
            </w:pPr>
          </w:p>
        </w:tc>
        <w:tc>
          <w:tcPr>
            <w:tcW w:w="1559" w:type="dxa"/>
            <w:tcBorders>
              <w:bottom w:val="single" w:sz="4" w:space="0" w:color="auto"/>
            </w:tcBorders>
            <w:shd w:val="clear" w:color="auto" w:fill="BFBFBF" w:themeFill="background1" w:themeFillShade="BF"/>
          </w:tcPr>
          <w:p w:rsidR="00952B73" w:rsidRPr="00795B57" w:rsidRDefault="00952B73" w:rsidP="00FB6F9F">
            <w:pPr>
              <w:jc w:val="right"/>
            </w:pPr>
          </w:p>
        </w:tc>
        <w:tc>
          <w:tcPr>
            <w:tcW w:w="992" w:type="dxa"/>
            <w:tcBorders>
              <w:bottom w:val="single" w:sz="4" w:space="0" w:color="auto"/>
            </w:tcBorders>
            <w:shd w:val="clear" w:color="auto" w:fill="BFBFBF" w:themeFill="background1" w:themeFillShade="BF"/>
          </w:tcPr>
          <w:p w:rsidR="00952B73" w:rsidRPr="00795B57" w:rsidRDefault="00952B73" w:rsidP="00FB6F9F">
            <w:pPr>
              <w:jc w:val="right"/>
            </w:pPr>
          </w:p>
        </w:tc>
        <w:tc>
          <w:tcPr>
            <w:tcW w:w="1701" w:type="dxa"/>
            <w:tcBorders>
              <w:bottom w:val="single" w:sz="4" w:space="0" w:color="auto"/>
            </w:tcBorders>
            <w:shd w:val="clear" w:color="auto" w:fill="BFBFBF" w:themeFill="background1" w:themeFillShade="BF"/>
          </w:tcPr>
          <w:p w:rsidR="00952B73" w:rsidRDefault="00952B73" w:rsidP="00FB6F9F">
            <w:pPr>
              <w:jc w:val="center"/>
            </w:pPr>
          </w:p>
        </w:tc>
        <w:tc>
          <w:tcPr>
            <w:tcW w:w="1559" w:type="dxa"/>
            <w:tcBorders>
              <w:bottom w:val="single" w:sz="4" w:space="0" w:color="auto"/>
            </w:tcBorders>
            <w:shd w:val="clear" w:color="auto" w:fill="BFBFBF" w:themeFill="background1" w:themeFillShade="BF"/>
          </w:tcPr>
          <w:p w:rsidR="00952B73" w:rsidRDefault="00952B73" w:rsidP="00FB6F9F">
            <w:pPr>
              <w:jc w:val="right"/>
            </w:pPr>
          </w:p>
        </w:tc>
        <w:tc>
          <w:tcPr>
            <w:tcW w:w="1800" w:type="dxa"/>
            <w:tcBorders>
              <w:bottom w:val="single" w:sz="4" w:space="0" w:color="auto"/>
            </w:tcBorders>
            <w:shd w:val="clear" w:color="auto" w:fill="BFBFBF" w:themeFill="background1" w:themeFillShade="BF"/>
          </w:tcPr>
          <w:p w:rsidR="00952B73" w:rsidRDefault="00952B73" w:rsidP="00FB6F9F">
            <w:pPr>
              <w:jc w:val="right"/>
            </w:pPr>
          </w:p>
        </w:tc>
        <w:tc>
          <w:tcPr>
            <w:tcW w:w="2169" w:type="dxa"/>
            <w:tcBorders>
              <w:bottom w:val="single" w:sz="4" w:space="0" w:color="auto"/>
            </w:tcBorders>
            <w:shd w:val="clear" w:color="auto" w:fill="BFBFBF" w:themeFill="background1" w:themeFillShade="BF"/>
          </w:tcPr>
          <w:p w:rsidR="00952B73" w:rsidRPr="00092731" w:rsidRDefault="00952B73" w:rsidP="00FB6F9F">
            <w:pPr>
              <w:jc w:val="right"/>
              <w:rPr>
                <w:b/>
              </w:rPr>
            </w:pPr>
          </w:p>
        </w:tc>
      </w:tr>
      <w:tr w:rsidR="00A20C1A" w:rsidTr="005C5897">
        <w:tc>
          <w:tcPr>
            <w:tcW w:w="1242" w:type="dxa"/>
            <w:tcBorders>
              <w:bottom w:val="single" w:sz="4" w:space="0" w:color="auto"/>
            </w:tcBorders>
            <w:shd w:val="clear" w:color="auto" w:fill="C6D9F1" w:themeFill="text2" w:themeFillTint="33"/>
          </w:tcPr>
          <w:p w:rsidR="00A20C1A" w:rsidRPr="00F855B8" w:rsidRDefault="00A20C1A" w:rsidP="00FB6F9F">
            <w:pPr>
              <w:rPr>
                <w:b/>
              </w:rPr>
            </w:pPr>
          </w:p>
        </w:tc>
        <w:tc>
          <w:tcPr>
            <w:tcW w:w="1418" w:type="dxa"/>
            <w:shd w:val="clear" w:color="auto" w:fill="C6D9F1" w:themeFill="text2" w:themeFillTint="33"/>
          </w:tcPr>
          <w:p w:rsidR="00A20C1A" w:rsidRPr="00B21504" w:rsidRDefault="00A20C1A" w:rsidP="00FB6F9F"/>
        </w:tc>
        <w:tc>
          <w:tcPr>
            <w:tcW w:w="1276" w:type="dxa"/>
            <w:shd w:val="clear" w:color="auto" w:fill="C6D9F1" w:themeFill="text2" w:themeFillTint="33"/>
            <w:vAlign w:val="center"/>
          </w:tcPr>
          <w:p w:rsidR="00A20C1A" w:rsidRPr="00F855B8" w:rsidRDefault="00A20C1A" w:rsidP="00FB6F9F">
            <w:pPr>
              <w:jc w:val="center"/>
              <w:rPr>
                <w:b/>
              </w:rPr>
            </w:pPr>
            <w:r>
              <w:rPr>
                <w:b/>
              </w:rPr>
              <w:t>F</w:t>
            </w:r>
            <w:r w:rsidRPr="00F855B8">
              <w:rPr>
                <w:b/>
              </w:rPr>
              <w:t>orskel til IEA</w:t>
            </w:r>
            <w:r>
              <w:rPr>
                <w:b/>
              </w:rPr>
              <w:t>-priser</w:t>
            </w:r>
          </w:p>
        </w:tc>
        <w:tc>
          <w:tcPr>
            <w:tcW w:w="1701" w:type="dxa"/>
            <w:shd w:val="clear" w:color="auto" w:fill="C6D9F1" w:themeFill="text2" w:themeFillTint="33"/>
            <w:vAlign w:val="center"/>
          </w:tcPr>
          <w:p w:rsidR="00A20C1A" w:rsidRPr="00F855B8" w:rsidRDefault="00A20C1A" w:rsidP="00FB6F9F">
            <w:pPr>
              <w:jc w:val="center"/>
              <w:rPr>
                <w:b/>
              </w:rPr>
            </w:pPr>
            <w:r w:rsidRPr="00F855B8">
              <w:rPr>
                <w:b/>
              </w:rPr>
              <w:t>Transmissions</w:t>
            </w:r>
            <w:r>
              <w:rPr>
                <w:b/>
              </w:rPr>
              <w:t>-</w:t>
            </w:r>
            <w:r w:rsidRPr="00F855B8">
              <w:rPr>
                <w:b/>
              </w:rPr>
              <w:t>tarif</w:t>
            </w:r>
          </w:p>
        </w:tc>
        <w:tc>
          <w:tcPr>
            <w:tcW w:w="1559" w:type="dxa"/>
            <w:shd w:val="clear" w:color="auto" w:fill="C6D9F1" w:themeFill="text2" w:themeFillTint="33"/>
            <w:vAlign w:val="center"/>
          </w:tcPr>
          <w:p w:rsidR="00A20C1A" w:rsidRPr="00F855B8" w:rsidRDefault="00A20C1A" w:rsidP="00FB6F9F">
            <w:pPr>
              <w:jc w:val="center"/>
              <w:rPr>
                <w:b/>
              </w:rPr>
            </w:pPr>
            <w:r w:rsidRPr="00F855B8">
              <w:rPr>
                <w:b/>
              </w:rPr>
              <w:t>Distributions</w:t>
            </w:r>
            <w:r>
              <w:rPr>
                <w:b/>
              </w:rPr>
              <w:t>-</w:t>
            </w:r>
            <w:r w:rsidRPr="00F855B8">
              <w:rPr>
                <w:b/>
              </w:rPr>
              <w:t>tarif</w:t>
            </w:r>
          </w:p>
        </w:tc>
        <w:tc>
          <w:tcPr>
            <w:tcW w:w="992" w:type="dxa"/>
            <w:shd w:val="clear" w:color="auto" w:fill="C6D9F1" w:themeFill="text2" w:themeFillTint="33"/>
            <w:vAlign w:val="center"/>
          </w:tcPr>
          <w:p w:rsidR="00A20C1A" w:rsidRPr="00F855B8" w:rsidRDefault="000638FF" w:rsidP="00FB6F9F">
            <w:pPr>
              <w:jc w:val="center"/>
              <w:rPr>
                <w:b/>
              </w:rPr>
            </w:pPr>
            <w:r>
              <w:rPr>
                <w:b/>
              </w:rPr>
              <w:t>Avance</w:t>
            </w:r>
          </w:p>
        </w:tc>
        <w:tc>
          <w:tcPr>
            <w:tcW w:w="1701" w:type="dxa"/>
            <w:shd w:val="clear" w:color="auto" w:fill="C6D9F1" w:themeFill="text2" w:themeFillTint="33"/>
            <w:vAlign w:val="center"/>
          </w:tcPr>
          <w:p w:rsidR="00A20C1A" w:rsidRPr="00F855B8" w:rsidRDefault="00A20C1A" w:rsidP="00FB6F9F">
            <w:pPr>
              <w:jc w:val="center"/>
              <w:rPr>
                <w:b/>
              </w:rPr>
            </w:pPr>
          </w:p>
        </w:tc>
        <w:tc>
          <w:tcPr>
            <w:tcW w:w="1559" w:type="dxa"/>
            <w:shd w:val="clear" w:color="auto" w:fill="C6D9F1" w:themeFill="text2" w:themeFillTint="33"/>
            <w:vAlign w:val="center"/>
          </w:tcPr>
          <w:p w:rsidR="00A20C1A" w:rsidRPr="00F855B8" w:rsidRDefault="00A20C1A" w:rsidP="00FB6F9F">
            <w:pPr>
              <w:jc w:val="center"/>
              <w:rPr>
                <w:b/>
              </w:rPr>
            </w:pPr>
          </w:p>
        </w:tc>
        <w:tc>
          <w:tcPr>
            <w:tcW w:w="1800" w:type="dxa"/>
            <w:shd w:val="clear" w:color="auto" w:fill="C6D9F1" w:themeFill="text2" w:themeFillTint="33"/>
            <w:vAlign w:val="center"/>
          </w:tcPr>
          <w:p w:rsidR="00A20C1A" w:rsidRPr="00F855B8" w:rsidRDefault="00A20C1A" w:rsidP="00FB6F9F">
            <w:pPr>
              <w:jc w:val="center"/>
              <w:rPr>
                <w:b/>
              </w:rPr>
            </w:pPr>
          </w:p>
        </w:tc>
        <w:tc>
          <w:tcPr>
            <w:tcW w:w="2169" w:type="dxa"/>
            <w:shd w:val="clear" w:color="auto" w:fill="C6D9F1" w:themeFill="text2" w:themeFillTint="33"/>
            <w:vAlign w:val="center"/>
          </w:tcPr>
          <w:p w:rsidR="00A20C1A" w:rsidRPr="00F855B8" w:rsidRDefault="00A20C1A" w:rsidP="00933A24">
            <w:pPr>
              <w:jc w:val="center"/>
              <w:rPr>
                <w:b/>
              </w:rPr>
            </w:pPr>
            <w:r>
              <w:rPr>
                <w:b/>
              </w:rPr>
              <w:t>Tillæg i</w:t>
            </w:r>
            <w:r w:rsidRPr="00F855B8">
              <w:rPr>
                <w:b/>
              </w:rPr>
              <w:t xml:space="preserve"> alt </w:t>
            </w:r>
          </w:p>
        </w:tc>
      </w:tr>
      <w:tr w:rsidR="00A20C1A" w:rsidTr="005C5897">
        <w:tc>
          <w:tcPr>
            <w:tcW w:w="1242" w:type="dxa"/>
            <w:shd w:val="clear" w:color="auto" w:fill="C6D9F1" w:themeFill="text2" w:themeFillTint="33"/>
          </w:tcPr>
          <w:p w:rsidR="00A20C1A" w:rsidRPr="00F855B8" w:rsidRDefault="00A20C1A" w:rsidP="00FB6F9F">
            <w:pPr>
              <w:rPr>
                <w:b/>
              </w:rPr>
            </w:pPr>
            <w:r w:rsidRPr="00F855B8">
              <w:rPr>
                <w:b/>
              </w:rPr>
              <w:t>Naturgas</w:t>
            </w:r>
          </w:p>
        </w:tc>
        <w:tc>
          <w:tcPr>
            <w:tcW w:w="1418" w:type="dxa"/>
            <w:vAlign w:val="bottom"/>
          </w:tcPr>
          <w:p w:rsidR="00A20C1A" w:rsidRPr="00092731" w:rsidRDefault="00A20C1A" w:rsidP="00FB6F9F">
            <w:r w:rsidRPr="00092731">
              <w:t>an forbruger</w:t>
            </w:r>
          </w:p>
        </w:tc>
        <w:tc>
          <w:tcPr>
            <w:tcW w:w="1276" w:type="dxa"/>
            <w:vAlign w:val="center"/>
          </w:tcPr>
          <w:p w:rsidR="00A20C1A" w:rsidRPr="00EA43B2" w:rsidRDefault="009478E8" w:rsidP="00FB6F9F">
            <w:pPr>
              <w:jc w:val="center"/>
            </w:pPr>
            <w:r>
              <w:t>-13,9</w:t>
            </w:r>
          </w:p>
        </w:tc>
        <w:tc>
          <w:tcPr>
            <w:tcW w:w="1701" w:type="dxa"/>
            <w:vAlign w:val="center"/>
          </w:tcPr>
          <w:p w:rsidR="00A20C1A" w:rsidRPr="00EA43B2" w:rsidRDefault="00A20C1A" w:rsidP="00FB6F9F">
            <w:pPr>
              <w:jc w:val="center"/>
            </w:pPr>
            <w:r>
              <w:t>2</w:t>
            </w:r>
            <w:r w:rsidR="009478E8">
              <w:t>,3</w:t>
            </w:r>
          </w:p>
        </w:tc>
        <w:tc>
          <w:tcPr>
            <w:tcW w:w="1559" w:type="dxa"/>
            <w:vAlign w:val="center"/>
          </w:tcPr>
          <w:p w:rsidR="00A20C1A" w:rsidRPr="00EA43B2" w:rsidRDefault="00A20C1A" w:rsidP="00FB6F9F">
            <w:pPr>
              <w:jc w:val="center"/>
            </w:pPr>
            <w:r>
              <w:t>22,2</w:t>
            </w:r>
          </w:p>
        </w:tc>
        <w:tc>
          <w:tcPr>
            <w:tcW w:w="992" w:type="dxa"/>
            <w:vAlign w:val="center"/>
          </w:tcPr>
          <w:p w:rsidR="00A20C1A" w:rsidRPr="00EA43B2" w:rsidRDefault="009478E8" w:rsidP="00FB6F9F">
            <w:pPr>
              <w:jc w:val="center"/>
            </w:pPr>
            <w:r>
              <w:t>8,1</w:t>
            </w:r>
          </w:p>
        </w:tc>
        <w:tc>
          <w:tcPr>
            <w:tcW w:w="1701" w:type="dxa"/>
            <w:vAlign w:val="center"/>
          </w:tcPr>
          <w:p w:rsidR="00A20C1A" w:rsidRPr="00EA43B2" w:rsidRDefault="00A20C1A" w:rsidP="00EF1A4B">
            <w:pPr>
              <w:jc w:val="center"/>
            </w:pPr>
            <w:r>
              <w:t>-</w:t>
            </w:r>
          </w:p>
        </w:tc>
        <w:tc>
          <w:tcPr>
            <w:tcW w:w="1559" w:type="dxa"/>
            <w:vAlign w:val="center"/>
          </w:tcPr>
          <w:p w:rsidR="00A20C1A" w:rsidRPr="00EA43B2" w:rsidRDefault="00A20C1A" w:rsidP="00EF1A4B">
            <w:pPr>
              <w:jc w:val="center"/>
            </w:pPr>
            <w:r>
              <w:t>-</w:t>
            </w:r>
          </w:p>
        </w:tc>
        <w:tc>
          <w:tcPr>
            <w:tcW w:w="1800" w:type="dxa"/>
            <w:vAlign w:val="center"/>
          </w:tcPr>
          <w:p w:rsidR="00A20C1A" w:rsidRPr="00D1704E" w:rsidRDefault="00A20C1A" w:rsidP="00FB6F9F">
            <w:pPr>
              <w:jc w:val="center"/>
              <w:rPr>
                <w:b/>
              </w:rPr>
            </w:pPr>
            <w:r>
              <w:rPr>
                <w:b/>
              </w:rPr>
              <w:t>-</w:t>
            </w:r>
          </w:p>
        </w:tc>
        <w:tc>
          <w:tcPr>
            <w:tcW w:w="2169" w:type="dxa"/>
            <w:vAlign w:val="center"/>
          </w:tcPr>
          <w:p w:rsidR="00A20C1A" w:rsidRPr="00D1704E" w:rsidRDefault="00205AB7" w:rsidP="00FB6F9F">
            <w:pPr>
              <w:jc w:val="center"/>
              <w:rPr>
                <w:b/>
              </w:rPr>
            </w:pPr>
            <w:r>
              <w:rPr>
                <w:b/>
              </w:rPr>
              <w:t>18,7</w:t>
            </w:r>
          </w:p>
        </w:tc>
      </w:tr>
      <w:tr w:rsidR="009478E8" w:rsidTr="00C22054">
        <w:tc>
          <w:tcPr>
            <w:tcW w:w="1242" w:type="dxa"/>
          </w:tcPr>
          <w:p w:rsidR="009478E8" w:rsidRDefault="009478E8" w:rsidP="00FB6F9F"/>
        </w:tc>
        <w:tc>
          <w:tcPr>
            <w:tcW w:w="1418" w:type="dxa"/>
            <w:vAlign w:val="bottom"/>
          </w:tcPr>
          <w:p w:rsidR="009478E8" w:rsidRPr="00092731" w:rsidRDefault="009478E8" w:rsidP="00FB6F9F">
            <w:r w:rsidRPr="00092731">
              <w:t>an værk</w:t>
            </w:r>
          </w:p>
        </w:tc>
        <w:tc>
          <w:tcPr>
            <w:tcW w:w="1276" w:type="dxa"/>
          </w:tcPr>
          <w:p w:rsidR="009478E8" w:rsidRDefault="009478E8" w:rsidP="009478E8">
            <w:pPr>
              <w:jc w:val="center"/>
            </w:pPr>
            <w:r w:rsidRPr="00687DB8">
              <w:t>-13,9</w:t>
            </w:r>
          </w:p>
        </w:tc>
        <w:tc>
          <w:tcPr>
            <w:tcW w:w="1701" w:type="dxa"/>
            <w:vAlign w:val="center"/>
          </w:tcPr>
          <w:p w:rsidR="009478E8" w:rsidRPr="00EA43B2" w:rsidRDefault="009478E8" w:rsidP="009478E8">
            <w:pPr>
              <w:jc w:val="center"/>
            </w:pPr>
            <w:r>
              <w:t>2</w:t>
            </w:r>
            <w:r w:rsidRPr="00EA43B2">
              <w:t>,</w:t>
            </w:r>
            <w:r>
              <w:t>4</w:t>
            </w:r>
          </w:p>
        </w:tc>
        <w:tc>
          <w:tcPr>
            <w:tcW w:w="1559" w:type="dxa"/>
            <w:vAlign w:val="center"/>
          </w:tcPr>
          <w:p w:rsidR="009478E8" w:rsidRPr="00EA43B2" w:rsidRDefault="009478E8" w:rsidP="00FB6F9F">
            <w:pPr>
              <w:jc w:val="center"/>
            </w:pPr>
            <w:r>
              <w:t>5,8</w:t>
            </w:r>
          </w:p>
        </w:tc>
        <w:tc>
          <w:tcPr>
            <w:tcW w:w="992" w:type="dxa"/>
            <w:vAlign w:val="center"/>
          </w:tcPr>
          <w:p w:rsidR="009478E8" w:rsidRPr="00EA43B2" w:rsidRDefault="009478E8" w:rsidP="00FB6F9F">
            <w:pPr>
              <w:jc w:val="center"/>
            </w:pPr>
            <w:r w:rsidRPr="00EA43B2">
              <w:t>0,8</w:t>
            </w:r>
          </w:p>
        </w:tc>
        <w:tc>
          <w:tcPr>
            <w:tcW w:w="1701" w:type="dxa"/>
            <w:vAlign w:val="center"/>
          </w:tcPr>
          <w:p w:rsidR="009478E8" w:rsidRPr="00EA43B2" w:rsidRDefault="009478E8" w:rsidP="00EF1A4B">
            <w:pPr>
              <w:jc w:val="center"/>
            </w:pPr>
            <w:r>
              <w:t>-</w:t>
            </w:r>
          </w:p>
        </w:tc>
        <w:tc>
          <w:tcPr>
            <w:tcW w:w="1559" w:type="dxa"/>
            <w:vAlign w:val="center"/>
          </w:tcPr>
          <w:p w:rsidR="009478E8" w:rsidRPr="00EA43B2" w:rsidRDefault="009478E8" w:rsidP="00EF1A4B">
            <w:pPr>
              <w:jc w:val="center"/>
            </w:pPr>
            <w:r>
              <w:t>-</w:t>
            </w:r>
          </w:p>
        </w:tc>
        <w:tc>
          <w:tcPr>
            <w:tcW w:w="1800" w:type="dxa"/>
            <w:vAlign w:val="center"/>
          </w:tcPr>
          <w:p w:rsidR="009478E8" w:rsidRPr="00D1704E" w:rsidRDefault="009478E8" w:rsidP="00FB6F9F">
            <w:pPr>
              <w:jc w:val="center"/>
              <w:rPr>
                <w:b/>
              </w:rPr>
            </w:pPr>
            <w:r>
              <w:rPr>
                <w:b/>
              </w:rPr>
              <w:t>-</w:t>
            </w:r>
          </w:p>
        </w:tc>
        <w:tc>
          <w:tcPr>
            <w:tcW w:w="2169" w:type="dxa"/>
            <w:vAlign w:val="center"/>
          </w:tcPr>
          <w:p w:rsidR="009478E8" w:rsidRPr="00D1704E" w:rsidRDefault="009478E8" w:rsidP="00205AB7">
            <w:pPr>
              <w:jc w:val="center"/>
              <w:rPr>
                <w:b/>
              </w:rPr>
            </w:pPr>
            <w:r>
              <w:rPr>
                <w:b/>
              </w:rPr>
              <w:t>-</w:t>
            </w:r>
            <w:r w:rsidR="00205AB7">
              <w:rPr>
                <w:b/>
              </w:rPr>
              <w:t>4,8</w:t>
            </w:r>
          </w:p>
        </w:tc>
      </w:tr>
      <w:tr w:rsidR="009478E8" w:rsidTr="00C22054">
        <w:tc>
          <w:tcPr>
            <w:tcW w:w="1242" w:type="dxa"/>
          </w:tcPr>
          <w:p w:rsidR="009478E8" w:rsidRDefault="009478E8" w:rsidP="00FB6F9F"/>
        </w:tc>
        <w:tc>
          <w:tcPr>
            <w:tcW w:w="1418" w:type="dxa"/>
            <w:vAlign w:val="bottom"/>
          </w:tcPr>
          <w:p w:rsidR="009478E8" w:rsidRPr="00092731" w:rsidRDefault="009478E8" w:rsidP="00FB6F9F">
            <w:r w:rsidRPr="00092731">
              <w:t>an kraftværk</w:t>
            </w:r>
          </w:p>
        </w:tc>
        <w:tc>
          <w:tcPr>
            <w:tcW w:w="1276" w:type="dxa"/>
          </w:tcPr>
          <w:p w:rsidR="009478E8" w:rsidRDefault="009478E8" w:rsidP="009478E8">
            <w:pPr>
              <w:jc w:val="center"/>
            </w:pPr>
            <w:r w:rsidRPr="00687DB8">
              <w:t>-13,9</w:t>
            </w:r>
          </w:p>
        </w:tc>
        <w:tc>
          <w:tcPr>
            <w:tcW w:w="1701" w:type="dxa"/>
            <w:vAlign w:val="center"/>
          </w:tcPr>
          <w:p w:rsidR="009478E8" w:rsidRPr="00EA43B2" w:rsidRDefault="009478E8" w:rsidP="009478E8">
            <w:pPr>
              <w:jc w:val="center"/>
            </w:pPr>
            <w:r>
              <w:t>2</w:t>
            </w:r>
            <w:r w:rsidRPr="00EA43B2">
              <w:t>,</w:t>
            </w:r>
            <w:r>
              <w:t>4</w:t>
            </w:r>
          </w:p>
        </w:tc>
        <w:tc>
          <w:tcPr>
            <w:tcW w:w="1559" w:type="dxa"/>
          </w:tcPr>
          <w:p w:rsidR="009478E8" w:rsidRDefault="009478E8" w:rsidP="00FB6F9F">
            <w:pPr>
              <w:jc w:val="center"/>
            </w:pPr>
            <w:r>
              <w:t>-</w:t>
            </w:r>
          </w:p>
        </w:tc>
        <w:tc>
          <w:tcPr>
            <w:tcW w:w="992" w:type="dxa"/>
          </w:tcPr>
          <w:p w:rsidR="009478E8" w:rsidRDefault="009478E8" w:rsidP="00FB6F9F">
            <w:pPr>
              <w:jc w:val="center"/>
            </w:pPr>
            <w:r w:rsidRPr="00615953">
              <w:t>-</w:t>
            </w:r>
          </w:p>
        </w:tc>
        <w:tc>
          <w:tcPr>
            <w:tcW w:w="1701" w:type="dxa"/>
            <w:vAlign w:val="center"/>
          </w:tcPr>
          <w:p w:rsidR="009478E8" w:rsidRPr="00EA43B2" w:rsidRDefault="009478E8" w:rsidP="00EF1A4B">
            <w:pPr>
              <w:jc w:val="center"/>
            </w:pPr>
            <w:r>
              <w:t>-</w:t>
            </w:r>
          </w:p>
        </w:tc>
        <w:tc>
          <w:tcPr>
            <w:tcW w:w="1559" w:type="dxa"/>
          </w:tcPr>
          <w:p w:rsidR="009478E8" w:rsidRDefault="009478E8" w:rsidP="009478E8">
            <w:pPr>
              <w:jc w:val="center"/>
            </w:pPr>
            <w:r>
              <w:t>-</w:t>
            </w:r>
          </w:p>
        </w:tc>
        <w:tc>
          <w:tcPr>
            <w:tcW w:w="1800" w:type="dxa"/>
          </w:tcPr>
          <w:p w:rsidR="009478E8" w:rsidRPr="00D1704E" w:rsidRDefault="009478E8" w:rsidP="00FB6F9F">
            <w:pPr>
              <w:jc w:val="center"/>
              <w:rPr>
                <w:b/>
              </w:rPr>
            </w:pPr>
            <w:r>
              <w:rPr>
                <w:b/>
              </w:rPr>
              <w:t>-</w:t>
            </w:r>
          </w:p>
        </w:tc>
        <w:tc>
          <w:tcPr>
            <w:tcW w:w="2169" w:type="dxa"/>
          </w:tcPr>
          <w:p w:rsidR="009478E8" w:rsidRPr="00D1704E" w:rsidRDefault="00205AB7" w:rsidP="00205AB7">
            <w:pPr>
              <w:jc w:val="center"/>
              <w:rPr>
                <w:b/>
              </w:rPr>
            </w:pPr>
            <w:r>
              <w:rPr>
                <w:b/>
              </w:rPr>
              <w:t>-11</w:t>
            </w:r>
            <w:r w:rsidR="009478E8">
              <w:rPr>
                <w:b/>
              </w:rPr>
              <w:t>,</w:t>
            </w:r>
            <w:r>
              <w:rPr>
                <w:b/>
              </w:rPr>
              <w:t>4</w:t>
            </w:r>
          </w:p>
        </w:tc>
      </w:tr>
    </w:tbl>
    <w:p w:rsidR="0002658F" w:rsidRDefault="0002658F" w:rsidP="0002658F">
      <w:pPr>
        <w:spacing w:after="200" w:line="276" w:lineRule="auto"/>
        <w:rPr>
          <w:b/>
        </w:rPr>
        <w:sectPr w:rsidR="0002658F" w:rsidSect="009478E8">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247" w:right="2767" w:bottom="3119" w:left="1701" w:header="709" w:footer="709" w:gutter="0"/>
          <w:cols w:space="708"/>
          <w:titlePg/>
          <w:docGrid w:linePitch="360"/>
        </w:sectPr>
      </w:pPr>
    </w:p>
    <w:p w:rsidR="00CE4039" w:rsidRDefault="0002658F" w:rsidP="0002658F">
      <w:pPr>
        <w:spacing w:after="200" w:line="276" w:lineRule="auto"/>
        <w:rPr>
          <w:b/>
        </w:rPr>
      </w:pPr>
      <w:r w:rsidRPr="00D10F9D">
        <w:rPr>
          <w:b/>
        </w:rPr>
        <w:lastRenderedPageBreak/>
        <w:t xml:space="preserve">Bilag </w:t>
      </w:r>
      <w:r>
        <w:rPr>
          <w:b/>
        </w:rPr>
        <w:t>2</w:t>
      </w:r>
      <w:r w:rsidRPr="00D10F9D">
        <w:rPr>
          <w:b/>
        </w:rPr>
        <w:t xml:space="preserve"> </w:t>
      </w:r>
      <w:r w:rsidR="002951E9">
        <w:rPr>
          <w:b/>
        </w:rPr>
        <w:t>-</w:t>
      </w:r>
      <w:r w:rsidRPr="00D10F9D">
        <w:rPr>
          <w:b/>
        </w:rPr>
        <w:t xml:space="preserve"> </w:t>
      </w:r>
      <w:r>
        <w:rPr>
          <w:b/>
        </w:rPr>
        <w:t>Dokumentation</w:t>
      </w:r>
      <w:r w:rsidR="00CE4039">
        <w:rPr>
          <w:b/>
        </w:rPr>
        <w:t xml:space="preserve"> af, hvordan</w:t>
      </w:r>
      <w:r>
        <w:rPr>
          <w:b/>
        </w:rPr>
        <w:t xml:space="preserve"> den historiske forskel mellem danske og internationale priser på naturgas</w:t>
      </w:r>
      <w:r w:rsidR="00CE4039">
        <w:rPr>
          <w:b/>
        </w:rPr>
        <w:t xml:space="preserve"> er </w:t>
      </w:r>
      <w:r w:rsidR="002951E9">
        <w:rPr>
          <w:b/>
        </w:rPr>
        <w:t>estimer</w:t>
      </w:r>
      <w:r w:rsidR="00CE4039">
        <w:rPr>
          <w:b/>
        </w:rPr>
        <w:t>et</w:t>
      </w:r>
      <w:r>
        <w:rPr>
          <w:b/>
        </w:rPr>
        <w:t xml:space="preserve"> </w:t>
      </w:r>
    </w:p>
    <w:p w:rsidR="00CE4039" w:rsidRDefault="00CE4039" w:rsidP="002331E1">
      <w:pPr>
        <w:pStyle w:val="Listeafsnit"/>
        <w:ind w:left="0"/>
      </w:pPr>
      <w:r>
        <w:t xml:space="preserve">Tabel 2 viser, hvordan den gennemsnitlige forskel mellem IEA’s naturgaspris og den danske basispris på naturgas </w:t>
      </w:r>
      <w:r w:rsidR="00FB38EC">
        <w:t xml:space="preserve">er estimeret til brændselspriserne for 2016. Det betyder, at det er </w:t>
      </w:r>
      <w:r>
        <w:t>årene 2000-2014</w:t>
      </w:r>
      <w:r w:rsidR="00FB38EC">
        <w:t>, der betragtes. Prisforskellen er</w:t>
      </w:r>
      <w:r>
        <w:t xml:space="preserve"> -13,2 DKK/GJ i faste 2016-priser.</w:t>
      </w:r>
    </w:p>
    <w:p w:rsidR="00CE4039" w:rsidRDefault="00CE4039" w:rsidP="002331E1">
      <w:pPr>
        <w:pStyle w:val="Listeafsnit"/>
        <w:ind w:left="0"/>
      </w:pPr>
    </w:p>
    <w:p w:rsidR="00CE4039" w:rsidRDefault="00CE4039" w:rsidP="002331E1">
      <w:pPr>
        <w:pStyle w:val="Billedtekst"/>
        <w:keepNext/>
      </w:pPr>
      <w:r>
        <w:t xml:space="preserve">Tabel </w:t>
      </w:r>
      <w:fldSimple w:instr=" SEQ Tabel \* ARABIC ">
        <w:r>
          <w:rPr>
            <w:noProof/>
          </w:rPr>
          <w:t>2</w:t>
        </w:r>
      </w:fldSimple>
      <w:r>
        <w:t>. Historisk forskel mellem danske og internationale priser på naturgas til brug for brændselspriser 2016.</w:t>
      </w:r>
    </w:p>
    <w:tbl>
      <w:tblPr>
        <w:tblW w:w="0" w:type="auto"/>
        <w:tblInd w:w="-781" w:type="dxa"/>
        <w:tblLayout w:type="fixed"/>
        <w:tblCellMar>
          <w:left w:w="70" w:type="dxa"/>
          <w:right w:w="70" w:type="dxa"/>
        </w:tblCellMar>
        <w:tblLook w:val="04A0" w:firstRow="1" w:lastRow="0" w:firstColumn="1" w:lastColumn="0" w:noHBand="0" w:noVBand="1"/>
      </w:tblPr>
      <w:tblGrid>
        <w:gridCol w:w="1985"/>
        <w:gridCol w:w="1447"/>
        <w:gridCol w:w="658"/>
        <w:gridCol w:w="658"/>
        <w:gridCol w:w="658"/>
        <w:gridCol w:w="658"/>
        <w:gridCol w:w="657"/>
        <w:gridCol w:w="657"/>
        <w:gridCol w:w="657"/>
        <w:gridCol w:w="657"/>
        <w:gridCol w:w="657"/>
        <w:gridCol w:w="657"/>
        <w:gridCol w:w="657"/>
        <w:gridCol w:w="657"/>
        <w:gridCol w:w="657"/>
        <w:gridCol w:w="657"/>
        <w:gridCol w:w="657"/>
      </w:tblGrid>
      <w:tr w:rsidR="0002658F" w:rsidRPr="00C708F1" w:rsidTr="00C2205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Variabel</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Enhed</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2000</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2001</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2002</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2003</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2004</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2005</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2006</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2007</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2008</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2009</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2010</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2011</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2012</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2013</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jc w:val="right"/>
              <w:rPr>
                <w:rFonts w:ascii="Calibri" w:eastAsia="Times New Roman" w:hAnsi="Calibri" w:cs="Times New Roman"/>
                <w:b/>
                <w:bCs/>
                <w:color w:val="000000"/>
                <w:sz w:val="18"/>
                <w:szCs w:val="18"/>
                <w:lang w:eastAsia="da-DK"/>
              </w:rPr>
            </w:pPr>
            <w:r w:rsidRPr="00C708F1">
              <w:rPr>
                <w:rFonts w:ascii="Calibri" w:eastAsia="Times New Roman" w:hAnsi="Calibri" w:cs="Times New Roman"/>
                <w:b/>
                <w:bCs/>
                <w:color w:val="000000"/>
                <w:sz w:val="18"/>
                <w:szCs w:val="18"/>
                <w:lang w:eastAsia="da-DK"/>
              </w:rPr>
              <w:t>2014</w:t>
            </w:r>
          </w:p>
        </w:tc>
      </w:tr>
      <w:tr w:rsidR="0002658F" w:rsidRPr="00C708F1" w:rsidTr="00C2205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 xml:space="preserve">BVT </w:t>
            </w:r>
            <w:proofErr w:type="spellStart"/>
            <w:r w:rsidRPr="00C708F1">
              <w:rPr>
                <w:rFonts w:ascii="Calibri" w:eastAsia="Times New Roman" w:hAnsi="Calibri" w:cs="Times New Roman"/>
                <w:color w:val="000000"/>
                <w:szCs w:val="18"/>
                <w:lang w:eastAsia="da-DK"/>
              </w:rPr>
              <w:t>Deflator</w:t>
            </w:r>
            <w:proofErr w:type="spellEnd"/>
            <w:r w:rsidRPr="00C708F1">
              <w:rPr>
                <w:rFonts w:ascii="Calibri" w:eastAsia="Times New Roman" w:hAnsi="Calibri" w:cs="Times New Roman"/>
                <w:color w:val="000000"/>
                <w:szCs w:val="18"/>
                <w:lang w:eastAsia="da-DK"/>
              </w:rPr>
              <w:t xml:space="preserve"> </w:t>
            </w:r>
          </w:p>
        </w:tc>
        <w:tc>
          <w:tcPr>
            <w:tcW w:w="144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Indeks</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0,72</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0,74</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0,75</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0,77</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0,78</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0,81</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0,82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0,85</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0,89</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0,89</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0,92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0,93</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0,95</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0,97</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0,98</w:t>
            </w:r>
          </w:p>
        </w:tc>
      </w:tr>
      <w:tr w:rsidR="0002658F" w:rsidRPr="00C708F1" w:rsidTr="00C22054">
        <w:trPr>
          <w:trHeight w:val="365"/>
        </w:trPr>
        <w:tc>
          <w:tcPr>
            <w:tcW w:w="1985" w:type="dxa"/>
            <w:tcBorders>
              <w:top w:val="nil"/>
              <w:left w:val="single" w:sz="4" w:space="0" w:color="auto"/>
              <w:bottom w:val="single" w:sz="4" w:space="0" w:color="auto"/>
              <w:right w:val="single" w:sz="4" w:space="0" w:color="auto"/>
            </w:tcBorders>
            <w:shd w:val="clear" w:color="auto" w:fill="auto"/>
            <w:noWrap/>
            <w:vAlign w:val="center"/>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Valutakurs</w:t>
            </w:r>
          </w:p>
        </w:tc>
        <w:tc>
          <w:tcPr>
            <w:tcW w:w="144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DKK/EUR</w:t>
            </w:r>
          </w:p>
        </w:tc>
        <w:tc>
          <w:tcPr>
            <w:tcW w:w="658"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7,45</w:t>
            </w:r>
          </w:p>
        </w:tc>
        <w:tc>
          <w:tcPr>
            <w:tcW w:w="658"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7,45</w:t>
            </w:r>
          </w:p>
        </w:tc>
        <w:tc>
          <w:tcPr>
            <w:tcW w:w="658"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7,43</w:t>
            </w:r>
          </w:p>
        </w:tc>
        <w:tc>
          <w:tcPr>
            <w:tcW w:w="658"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7,43</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7,44</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7,45</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7,46</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7,45</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7,46</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7,45</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7,45</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7,45</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7,44</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7,46</w:t>
            </w:r>
          </w:p>
        </w:tc>
        <w:tc>
          <w:tcPr>
            <w:tcW w:w="657" w:type="dxa"/>
            <w:tcBorders>
              <w:top w:val="nil"/>
              <w:left w:val="nil"/>
              <w:bottom w:val="single" w:sz="4" w:space="0" w:color="auto"/>
              <w:right w:val="single" w:sz="4" w:space="0" w:color="auto"/>
            </w:tcBorders>
            <w:shd w:val="clear" w:color="auto" w:fill="auto"/>
            <w:noWrap/>
            <w:vAlign w:val="center"/>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7,45</w:t>
            </w:r>
          </w:p>
        </w:tc>
      </w:tr>
      <w:tr w:rsidR="0002658F" w:rsidRPr="00C708F1" w:rsidTr="00C22054">
        <w:trPr>
          <w:trHeight w:val="300"/>
        </w:trPr>
        <w:tc>
          <w:tcPr>
            <w:tcW w:w="13291" w:type="dxa"/>
            <w:gridSpan w:val="17"/>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  </w:t>
            </w:r>
          </w:p>
        </w:tc>
      </w:tr>
      <w:tr w:rsidR="0002658F" w:rsidRPr="00C708F1" w:rsidTr="00C2205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 xml:space="preserve">Basispris </w:t>
            </w:r>
          </w:p>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(anvendelse i alt)</w:t>
            </w:r>
          </w:p>
        </w:tc>
        <w:tc>
          <w:tcPr>
            <w:tcW w:w="144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Mio. DKK (løbende)</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4.814</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6.604</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6.116</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5.592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6.364</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8.570</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12.289</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11.430</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17.093</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12.249</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10.999</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10.391</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12.060</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12.041</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7.771</w:t>
            </w:r>
          </w:p>
        </w:tc>
      </w:tr>
      <w:tr w:rsidR="0002658F" w:rsidRPr="00C708F1" w:rsidTr="00C2205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Anvendelse</w:t>
            </w:r>
            <w:r>
              <w:rPr>
                <w:rFonts w:ascii="Calibri" w:eastAsia="Times New Roman" w:hAnsi="Calibri" w:cs="Times New Roman"/>
                <w:color w:val="000000"/>
                <w:szCs w:val="18"/>
                <w:lang w:eastAsia="da-DK"/>
              </w:rPr>
              <w:t xml:space="preserve"> </w:t>
            </w:r>
          </w:p>
        </w:tc>
        <w:tc>
          <w:tcPr>
            <w:tcW w:w="144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Pr>
                <w:rFonts w:ascii="Calibri" w:eastAsia="Times New Roman" w:hAnsi="Calibri" w:cs="Times New Roman"/>
                <w:color w:val="000000"/>
                <w:szCs w:val="18"/>
                <w:lang w:eastAsia="da-DK"/>
              </w:rPr>
              <w:t xml:space="preserve">Mio. </w:t>
            </w:r>
            <w:r w:rsidRPr="00C708F1">
              <w:rPr>
                <w:rFonts w:ascii="Calibri" w:eastAsia="Times New Roman" w:hAnsi="Calibri" w:cs="Times New Roman"/>
                <w:color w:val="000000"/>
                <w:szCs w:val="18"/>
                <w:lang w:eastAsia="da-DK"/>
              </w:rPr>
              <w:t>GJ</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320</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327</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327</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311</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366</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400</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397</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352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383</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318</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318</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281</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253</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233</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200</w:t>
            </w:r>
          </w:p>
        </w:tc>
      </w:tr>
      <w:tr w:rsidR="0002658F" w:rsidRPr="00C708F1" w:rsidTr="00C2205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Basispris</w:t>
            </w:r>
          </w:p>
        </w:tc>
        <w:tc>
          <w:tcPr>
            <w:tcW w:w="1447" w:type="dxa"/>
            <w:tcBorders>
              <w:top w:val="nil"/>
              <w:left w:val="nil"/>
              <w:bottom w:val="single" w:sz="4" w:space="0" w:color="auto"/>
              <w:right w:val="single" w:sz="4" w:space="0" w:color="auto"/>
            </w:tcBorders>
            <w:shd w:val="clear" w:color="auto" w:fill="auto"/>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DKK/GJ (løbende)</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15,0</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20,2</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18,7</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18,0</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17,4</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21,4</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30,9</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32,5</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44,7</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38,5</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34,6</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36,9</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47,7</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51,6</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38,8</w:t>
            </w:r>
          </w:p>
        </w:tc>
      </w:tr>
      <w:tr w:rsidR="0002658F" w:rsidRPr="00C708F1" w:rsidTr="00C22054">
        <w:trPr>
          <w:trHeight w:val="300"/>
        </w:trPr>
        <w:tc>
          <w:tcPr>
            <w:tcW w:w="13291" w:type="dxa"/>
            <w:gridSpan w:val="17"/>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  </w:t>
            </w:r>
          </w:p>
        </w:tc>
      </w:tr>
      <w:tr w:rsidR="0002658F" w:rsidRPr="00C708F1" w:rsidTr="00C2205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IEA's pris på naturgas</w:t>
            </w:r>
          </w:p>
        </w:tc>
        <w:tc>
          <w:tcPr>
            <w:tcW w:w="1447" w:type="dxa"/>
            <w:tcBorders>
              <w:top w:val="nil"/>
              <w:left w:val="nil"/>
              <w:bottom w:val="single" w:sz="4" w:space="0" w:color="auto"/>
              <w:right w:val="single" w:sz="4" w:space="0" w:color="auto"/>
            </w:tcBorders>
            <w:shd w:val="clear" w:color="auto" w:fill="auto"/>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DKK/GJ (løbende)</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23,9</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30,7</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26,1</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26,8</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26,2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34,5</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45,3</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40,2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55,5</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41,4</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44,0</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53,9</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71,0</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62,4</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54,7</w:t>
            </w:r>
          </w:p>
        </w:tc>
      </w:tr>
      <w:tr w:rsidR="0002658F" w:rsidRPr="00C708F1" w:rsidTr="00C22054">
        <w:trPr>
          <w:trHeight w:val="300"/>
        </w:trPr>
        <w:tc>
          <w:tcPr>
            <w:tcW w:w="13291" w:type="dxa"/>
            <w:gridSpan w:val="17"/>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  </w:t>
            </w:r>
          </w:p>
        </w:tc>
      </w:tr>
      <w:tr w:rsidR="0002658F" w:rsidRPr="00C708F1" w:rsidTr="00C2205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Forskel mellem IEA’s pris og dansk basispris</w:t>
            </w:r>
          </w:p>
        </w:tc>
        <w:tc>
          <w:tcPr>
            <w:tcW w:w="144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 xml:space="preserve">DKK/GJ (løbende) </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-8,8</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-10,5</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-7,4</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-8,8</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-8,8</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-13,1</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-14,4</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-7,7</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-10,8</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-2,9</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-9,4</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-17,0</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-23,3</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-10,8</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-16,0</w:t>
            </w:r>
          </w:p>
        </w:tc>
      </w:tr>
      <w:tr w:rsidR="0002658F" w:rsidRPr="00C708F1" w:rsidTr="00C2205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Forskel mellem IEA’s pris og dansk basispris</w:t>
            </w:r>
          </w:p>
        </w:tc>
        <w:tc>
          <w:tcPr>
            <w:tcW w:w="144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 xml:space="preserve">DKK/GJ (fast 2016-pris) </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-12,3</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-14,2</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-9,8</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-11,5</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-11,2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-16,2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-17,4</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-9,1</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-12,2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-3,2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-10,2</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-18,3</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-24,4</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-11,1</w:t>
            </w:r>
          </w:p>
        </w:tc>
        <w:tc>
          <w:tcPr>
            <w:tcW w:w="65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-16,3</w:t>
            </w:r>
          </w:p>
        </w:tc>
      </w:tr>
      <w:tr w:rsidR="0002658F" w:rsidRPr="00C708F1" w:rsidTr="00C2205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Gennemsnitlig forskel mellem IEA’s pris og dansk basispris</w:t>
            </w:r>
          </w:p>
        </w:tc>
        <w:tc>
          <w:tcPr>
            <w:tcW w:w="1447"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rPr>
                <w:rFonts w:ascii="Calibri" w:eastAsia="Times New Roman" w:hAnsi="Calibri" w:cs="Times New Roman"/>
                <w:color w:val="000000"/>
                <w:szCs w:val="18"/>
                <w:lang w:eastAsia="da-DK"/>
              </w:rPr>
            </w:pPr>
            <w:r w:rsidRPr="00C708F1">
              <w:rPr>
                <w:rFonts w:ascii="Calibri" w:eastAsia="Times New Roman" w:hAnsi="Calibri" w:cs="Times New Roman"/>
                <w:color w:val="000000"/>
                <w:szCs w:val="18"/>
                <w:lang w:eastAsia="da-DK"/>
              </w:rPr>
              <w:t xml:space="preserve">DKK/GJ (fast 2016-pris) </w:t>
            </w:r>
          </w:p>
        </w:tc>
        <w:tc>
          <w:tcPr>
            <w:tcW w:w="658" w:type="dxa"/>
            <w:tcBorders>
              <w:top w:val="nil"/>
              <w:left w:val="nil"/>
              <w:bottom w:val="single" w:sz="4" w:space="0" w:color="auto"/>
              <w:right w:val="single" w:sz="4" w:space="0" w:color="auto"/>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r w:rsidRPr="00C708F1">
              <w:rPr>
                <w:rFonts w:ascii="Calibri" w:eastAsia="Times New Roman" w:hAnsi="Calibri" w:cs="Times New Roman"/>
                <w:color w:val="000000"/>
                <w:sz w:val="18"/>
                <w:szCs w:val="18"/>
                <w:lang w:eastAsia="da-DK"/>
              </w:rPr>
              <w:t>-13,2</w:t>
            </w:r>
          </w:p>
        </w:tc>
        <w:tc>
          <w:tcPr>
            <w:tcW w:w="658"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8"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8"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c>
          <w:tcPr>
            <w:tcW w:w="657" w:type="dxa"/>
            <w:tcBorders>
              <w:top w:val="nil"/>
              <w:left w:val="nil"/>
              <w:bottom w:val="nil"/>
              <w:right w:val="nil"/>
            </w:tcBorders>
            <w:shd w:val="clear" w:color="auto" w:fill="auto"/>
            <w:noWrap/>
            <w:vAlign w:val="center"/>
            <w:hideMark/>
          </w:tcPr>
          <w:p w:rsidR="0002658F" w:rsidRPr="00C708F1" w:rsidRDefault="0002658F" w:rsidP="00C22054">
            <w:pPr>
              <w:spacing w:line="240" w:lineRule="auto"/>
              <w:jc w:val="right"/>
              <w:rPr>
                <w:rFonts w:ascii="Calibri" w:eastAsia="Times New Roman" w:hAnsi="Calibri" w:cs="Times New Roman"/>
                <w:color w:val="000000"/>
                <w:sz w:val="18"/>
                <w:szCs w:val="18"/>
                <w:lang w:eastAsia="da-DK"/>
              </w:rPr>
            </w:pPr>
          </w:p>
        </w:tc>
      </w:tr>
    </w:tbl>
    <w:p w:rsidR="0002658F" w:rsidRPr="001B51FC" w:rsidRDefault="0002658F" w:rsidP="0002658F">
      <w:pPr>
        <w:pStyle w:val="Listeafsnit"/>
        <w:ind w:left="360"/>
        <w:rPr>
          <w:i/>
        </w:rPr>
      </w:pPr>
      <w:r w:rsidRPr="001B51FC">
        <w:rPr>
          <w:i/>
        </w:rPr>
        <w:t xml:space="preserve">Kilder: </w:t>
      </w:r>
      <w:r w:rsidRPr="001B51FC">
        <w:rPr>
          <w:i/>
        </w:rPr>
        <w:tab/>
        <w:t xml:space="preserve">- Den anvendte BVT </w:t>
      </w:r>
      <w:proofErr w:type="spellStart"/>
      <w:r w:rsidRPr="001B51FC">
        <w:rPr>
          <w:i/>
        </w:rPr>
        <w:t>deflator</w:t>
      </w:r>
      <w:proofErr w:type="spellEnd"/>
      <w:r>
        <w:rPr>
          <w:i/>
        </w:rPr>
        <w:t xml:space="preserve"> og valutakurs</w:t>
      </w:r>
      <w:r w:rsidRPr="001B51FC">
        <w:rPr>
          <w:i/>
        </w:rPr>
        <w:t xml:space="preserve"> er fra Grundforløbet til 2025-planen (september 2016).  </w:t>
      </w:r>
    </w:p>
    <w:p w:rsidR="0002658F" w:rsidRPr="001B51FC" w:rsidRDefault="0002658F" w:rsidP="0002658F">
      <w:pPr>
        <w:pStyle w:val="Listeafsnit"/>
        <w:ind w:left="1304"/>
        <w:rPr>
          <w:i/>
        </w:rPr>
      </w:pPr>
      <w:r w:rsidRPr="001B51FC">
        <w:rPr>
          <w:i/>
        </w:rPr>
        <w:t>- Basispris (anvendelse i alt) er fra Energiregnskabet fra Danmarks Statistik, tabel ENE4HA. Der ses på Anvendelse i alt for Basispriser for Naturgas 1, Nordsø og import. Data er trukket fra Energiregnskabet i efteråret 2016.</w:t>
      </w:r>
    </w:p>
    <w:p w:rsidR="0002658F" w:rsidRPr="001B51FC" w:rsidRDefault="0002658F" w:rsidP="0002658F">
      <w:pPr>
        <w:pStyle w:val="Listeafsnit"/>
        <w:ind w:left="1304"/>
        <w:rPr>
          <w:i/>
        </w:rPr>
      </w:pPr>
      <w:r w:rsidRPr="001B51FC">
        <w:rPr>
          <w:i/>
        </w:rPr>
        <w:t>- Anvendelse er fra</w:t>
      </w:r>
      <w:r>
        <w:rPr>
          <w:i/>
        </w:rPr>
        <w:t xml:space="preserve"> </w:t>
      </w:r>
      <w:r w:rsidRPr="001B51FC">
        <w:rPr>
          <w:i/>
        </w:rPr>
        <w:t>Energiregnskabet fra Danmarks Statistik, tabel ENE2HA. Der ses på Anvendelse i alt for Naturgas 1, Nordsø og import. Data er trukket fra Energiregnskabet i efteråret 2016.</w:t>
      </w:r>
    </w:p>
    <w:p w:rsidR="0002658F" w:rsidRDefault="0002658F" w:rsidP="0002658F">
      <w:pPr>
        <w:pStyle w:val="Listeafsnit"/>
        <w:ind w:left="1304"/>
        <w:rPr>
          <w:i/>
        </w:rPr>
        <w:sectPr w:rsidR="0002658F" w:rsidSect="002331E1">
          <w:pgSz w:w="16838" w:h="11906" w:orient="landscape" w:code="9"/>
          <w:pgMar w:top="1247" w:right="2767" w:bottom="1418" w:left="1701" w:header="709" w:footer="709" w:gutter="0"/>
          <w:cols w:space="708"/>
          <w:titlePg/>
          <w:docGrid w:linePitch="360"/>
        </w:sectPr>
      </w:pPr>
      <w:r w:rsidRPr="001B51FC">
        <w:rPr>
          <w:i/>
        </w:rPr>
        <w:t xml:space="preserve">- IEA’s pris på naturgas er fra IEA Energy Prices and </w:t>
      </w:r>
      <w:proofErr w:type="spellStart"/>
      <w:r w:rsidRPr="001B51FC">
        <w:rPr>
          <w:i/>
        </w:rPr>
        <w:t>Taxes</w:t>
      </w:r>
      <w:proofErr w:type="spellEnd"/>
      <w:r w:rsidRPr="001B51FC">
        <w:rPr>
          <w:i/>
        </w:rPr>
        <w:t xml:space="preserve"> Statistics til og med 2010 og derefter fra IEA World Energy Outlook. IEA’s priser er omregnet til at angive naturgasprisen i forhold til nedre brændværdi. </w:t>
      </w:r>
    </w:p>
    <w:p w:rsidR="0002658F" w:rsidRPr="002331E1" w:rsidRDefault="00A177C5" w:rsidP="002331E1">
      <w:pPr>
        <w:spacing w:after="200" w:line="276" w:lineRule="auto"/>
        <w:rPr>
          <w:b/>
        </w:rPr>
      </w:pPr>
      <w:r w:rsidRPr="00D10F9D">
        <w:rPr>
          <w:b/>
        </w:rPr>
        <w:lastRenderedPageBreak/>
        <w:t xml:space="preserve">Bilag </w:t>
      </w:r>
      <w:r>
        <w:rPr>
          <w:b/>
        </w:rPr>
        <w:t>3</w:t>
      </w:r>
      <w:r w:rsidRPr="00D10F9D">
        <w:rPr>
          <w:b/>
        </w:rPr>
        <w:t xml:space="preserve"> </w:t>
      </w:r>
      <w:r w:rsidR="002951E9">
        <w:rPr>
          <w:b/>
        </w:rPr>
        <w:t>-</w:t>
      </w:r>
      <w:r w:rsidRPr="00D10F9D">
        <w:rPr>
          <w:b/>
        </w:rPr>
        <w:t xml:space="preserve"> </w:t>
      </w:r>
      <w:r>
        <w:rPr>
          <w:b/>
        </w:rPr>
        <w:t>Oversigt over</w:t>
      </w:r>
      <w:r w:rsidR="002951E9">
        <w:rPr>
          <w:b/>
        </w:rPr>
        <w:t xml:space="preserve"> modtagne</w:t>
      </w:r>
      <w:r>
        <w:rPr>
          <w:b/>
        </w:rPr>
        <w:t xml:space="preserve"> kommentarer i</w:t>
      </w:r>
      <w:r w:rsidR="002951E9">
        <w:rPr>
          <w:b/>
        </w:rPr>
        <w:t xml:space="preserve"> </w:t>
      </w:r>
      <w:r>
        <w:rPr>
          <w:b/>
        </w:rPr>
        <w:t>f</w:t>
      </w:r>
      <w:r w:rsidR="002951E9">
        <w:rPr>
          <w:b/>
        </w:rPr>
        <w:t xml:space="preserve">orbindelse </w:t>
      </w:r>
      <w:r>
        <w:rPr>
          <w:b/>
        </w:rPr>
        <w:t>m</w:t>
      </w:r>
      <w:r w:rsidR="002951E9">
        <w:rPr>
          <w:b/>
        </w:rPr>
        <w:t>ed</w:t>
      </w:r>
      <w:r>
        <w:rPr>
          <w:b/>
        </w:rPr>
        <w:t xml:space="preserve"> høring af de samfundsøkonomiske beregningsforudsætninger</w:t>
      </w:r>
      <w:r w:rsidR="002951E9">
        <w:rPr>
          <w:b/>
        </w:rPr>
        <w:t xml:space="preserve"> 2017</w:t>
      </w:r>
      <w:r>
        <w:rPr>
          <w:b/>
        </w:rPr>
        <w:t xml:space="preserve">, som besvares i dette notat </w:t>
      </w:r>
    </w:p>
    <w:p w:rsidR="00D425C9" w:rsidRDefault="002951E9" w:rsidP="00D425C9">
      <w:r>
        <w:t>I d</w:t>
      </w:r>
      <w:r w:rsidR="00D425C9">
        <w:t xml:space="preserve">ette notat </w:t>
      </w:r>
      <w:r>
        <w:t>besvares</w:t>
      </w:r>
      <w:r w:rsidR="00D425C9">
        <w:t xml:space="preserve"> kommentarer</w:t>
      </w:r>
      <w:r>
        <w:t xml:space="preserve"> angående fossile brændsler</w:t>
      </w:r>
      <w:r w:rsidR="00D425C9">
        <w:t>,</w:t>
      </w:r>
      <w:r>
        <w:t xml:space="preserve"> som</w:t>
      </w:r>
      <w:r w:rsidR="00D425C9">
        <w:t xml:space="preserve"> Energistyrelsen har modtaget i forbindelse med høring af de samfundsøkonomiske beregningsforudsætninger for 2017. </w:t>
      </w:r>
      <w:r>
        <w:t>Kommentarer til øvrige emner vil blive besvaret i et separat notat.</w:t>
      </w:r>
    </w:p>
    <w:p w:rsidR="00D425C9" w:rsidRDefault="00D425C9" w:rsidP="00D425C9"/>
    <w:p w:rsidR="002951E9" w:rsidRDefault="00D425C9" w:rsidP="00D425C9">
      <w:r>
        <w:t>Høringsversionen af forudsætningerne var tilgængelige på Energistyrelsens hjemmeside samt blev rundsendt til en række interessenter. Høringsperioden varede fra 17. til 31. marts 2017. Den endelige udgave af de samfundsøkonomiske beregningsforudsætninger 201</w:t>
      </w:r>
      <w:r w:rsidRPr="005123F7">
        <w:t>7 blev udgivet 5. maj 2017. Der</w:t>
      </w:r>
      <w:r>
        <w:t xml:space="preserve"> blev</w:t>
      </w:r>
      <w:r w:rsidRPr="005123F7">
        <w:t xml:space="preserve"> udgive</w:t>
      </w:r>
      <w:r>
        <w:t>t</w:t>
      </w:r>
      <w:r w:rsidRPr="005123F7">
        <w:t xml:space="preserve"> en version</w:t>
      </w:r>
      <w:r>
        <w:t xml:space="preserve"> to</w:t>
      </w:r>
      <w:r w:rsidRPr="005123F7">
        <w:t xml:space="preserve"> med rettelser </w:t>
      </w:r>
      <w:r>
        <w:t xml:space="preserve">den 15. </w:t>
      </w:r>
      <w:r w:rsidRPr="005123F7">
        <w:t>august.</w:t>
      </w:r>
      <w:r w:rsidRPr="00046E62">
        <w:t xml:space="preserve"> </w:t>
      </w:r>
      <w:r>
        <w:t xml:space="preserve">Der er </w:t>
      </w:r>
      <w:r w:rsidR="002951E9">
        <w:t xml:space="preserve">i alt </w:t>
      </w:r>
      <w:r>
        <w:t xml:space="preserve">modtaget </w:t>
      </w:r>
      <w:r w:rsidRPr="00A35F7B">
        <w:t>kommentarer fra 18 interessenter</w:t>
      </w:r>
      <w:r>
        <w:t xml:space="preserve">. </w:t>
      </w:r>
    </w:p>
    <w:p w:rsidR="002951E9" w:rsidRDefault="002951E9" w:rsidP="00D425C9"/>
    <w:p w:rsidR="00F51987" w:rsidRPr="002331E1" w:rsidRDefault="002951E9" w:rsidP="00D425C9">
      <w:r>
        <w:t>Kommentarer angående fossile brændsler, som besvares i dette notat:</w:t>
      </w:r>
    </w:p>
    <w:p w:rsidR="002951E9" w:rsidRDefault="00F51987" w:rsidP="002331E1">
      <w:pPr>
        <w:pStyle w:val="Listeafsnit"/>
        <w:numPr>
          <w:ilvl w:val="0"/>
          <w:numId w:val="14"/>
        </w:numPr>
        <w:ind w:left="720"/>
      </w:pPr>
      <w:r w:rsidRPr="00DA4A15">
        <w:t xml:space="preserve">Hvordan fremskrives de danske importpriser på naturgas, råolie og kul, og hvorfor afviger de fra IEA-priserne i 2040? </w:t>
      </w:r>
    </w:p>
    <w:p w:rsidR="002951E9" w:rsidRDefault="002951E9" w:rsidP="002331E1">
      <w:pPr>
        <w:ind w:left="720"/>
      </w:pPr>
    </w:p>
    <w:p w:rsidR="0002658F" w:rsidRPr="002951E9" w:rsidRDefault="00D425C9" w:rsidP="002331E1">
      <w:pPr>
        <w:pStyle w:val="Listeafsnit"/>
        <w:numPr>
          <w:ilvl w:val="0"/>
          <w:numId w:val="14"/>
        </w:numPr>
        <w:ind w:left="720"/>
      </w:pPr>
      <w:r w:rsidRPr="002951E9">
        <w:t>Ønske om at se dokumentation på den historiske forskel mellem danske og internationale importpriser på naturgas.</w:t>
      </w:r>
      <w:r w:rsidRPr="002951E9">
        <w:br/>
      </w:r>
    </w:p>
    <w:p w:rsidR="00F51987" w:rsidRDefault="00F51987" w:rsidP="002331E1">
      <w:pPr>
        <w:pStyle w:val="Listeafsnit"/>
        <w:numPr>
          <w:ilvl w:val="0"/>
          <w:numId w:val="14"/>
        </w:numPr>
        <w:ind w:left="720"/>
      </w:pPr>
      <w:r w:rsidRPr="0032635A">
        <w:t>Årsag til udligning af prisforskel mellem danske importpriser og IEA-prisen</w:t>
      </w:r>
      <w:r>
        <w:t xml:space="preserve"> på naturgas</w:t>
      </w:r>
      <w:r w:rsidRPr="0032635A">
        <w:t xml:space="preserve"> er ifølge WEO2016</w:t>
      </w:r>
      <w:r w:rsidRPr="002951E9">
        <w:rPr>
          <w:rFonts w:asciiTheme="majorHAnsi" w:hAnsiTheme="majorHAnsi" w:cstheme="majorHAnsi"/>
          <w:szCs w:val="20"/>
        </w:rPr>
        <w:t xml:space="preserve"> en generel overgang til prissætning på hubs og derfor konvergens i europæiske priser.</w:t>
      </w:r>
      <w:r w:rsidRPr="002951E9">
        <w:rPr>
          <w:rFonts w:asciiTheme="majorHAnsi" w:hAnsiTheme="majorHAnsi" w:cstheme="majorHAnsi"/>
          <w:szCs w:val="20"/>
        </w:rPr>
        <w:br/>
      </w:r>
    </w:p>
    <w:p w:rsidR="00C22054" w:rsidRDefault="00C22054" w:rsidP="002331E1">
      <w:pPr>
        <w:pStyle w:val="Listeafsnit"/>
        <w:numPr>
          <w:ilvl w:val="0"/>
          <w:numId w:val="14"/>
        </w:numPr>
        <w:ind w:left="720"/>
      </w:pPr>
      <w:r w:rsidRPr="00D67F7B">
        <w:t xml:space="preserve">Det er ikke relevant at sammenligne den danske, langsigtede naturgaspris med IEA’s naturgaspris. IEA’s pris er et gennemsnit for hele EU og indeholder også priser for fx Sydfrankrig, Italien og Østrig, som er højere end gaspriserne i Nordvesteuropa. </w:t>
      </w:r>
    </w:p>
    <w:p w:rsidR="00C22054" w:rsidRPr="00D67F7B" w:rsidRDefault="00C22054" w:rsidP="002331E1">
      <w:pPr>
        <w:ind w:left="720"/>
      </w:pPr>
    </w:p>
    <w:p w:rsidR="002951E9" w:rsidRDefault="00C22054" w:rsidP="002331E1">
      <w:pPr>
        <w:pStyle w:val="Listeafsnit"/>
        <w:numPr>
          <w:ilvl w:val="0"/>
          <w:numId w:val="14"/>
        </w:numPr>
        <w:ind w:left="720"/>
      </w:pPr>
      <w:r w:rsidRPr="002951E9">
        <w:t>Forskellen mellem den danske importpris og IEA-prisen på naturgas bør ikke udlignes.</w:t>
      </w:r>
    </w:p>
    <w:p w:rsidR="002951E9" w:rsidRDefault="002951E9" w:rsidP="002331E1">
      <w:pPr>
        <w:pStyle w:val="Listeafsnit"/>
      </w:pPr>
    </w:p>
    <w:p w:rsidR="000638FF" w:rsidRPr="002951E9" w:rsidRDefault="000638FF" w:rsidP="002331E1">
      <w:pPr>
        <w:pStyle w:val="Listeafsnit"/>
        <w:numPr>
          <w:ilvl w:val="0"/>
          <w:numId w:val="14"/>
        </w:numPr>
        <w:ind w:left="720"/>
      </w:pPr>
      <w:r w:rsidRPr="002951E9">
        <w:t>Avancen ved salg af gas til forbrugere bør opdateres årligt.</w:t>
      </w:r>
    </w:p>
    <w:p w:rsidR="000638FF" w:rsidRPr="00E51EF4" w:rsidRDefault="000638FF" w:rsidP="002331E1">
      <w:pPr>
        <w:ind w:left="720"/>
      </w:pPr>
    </w:p>
    <w:p w:rsidR="00A9284C" w:rsidRDefault="000638FF" w:rsidP="002331E1">
      <w:pPr>
        <w:pStyle w:val="Listeafsnit"/>
        <w:numPr>
          <w:ilvl w:val="0"/>
          <w:numId w:val="14"/>
        </w:numPr>
        <w:ind w:left="720"/>
      </w:pPr>
      <w:r w:rsidRPr="000638FF">
        <w:t>Avancen ved salg af benzin og diesel til forbrugere bør opdateres.</w:t>
      </w:r>
    </w:p>
    <w:sectPr w:rsidR="00A9284C" w:rsidSect="002331E1">
      <w:headerReference w:type="first" r:id="rId24"/>
      <w:pgSz w:w="11906" w:h="16838" w:code="9"/>
      <w:pgMar w:top="2767" w:right="2694" w:bottom="170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054" w:rsidRDefault="00C22054" w:rsidP="008969C1">
      <w:pPr>
        <w:spacing w:line="240" w:lineRule="auto"/>
      </w:pPr>
      <w:r>
        <w:separator/>
      </w:r>
    </w:p>
  </w:endnote>
  <w:endnote w:type="continuationSeparator" w:id="0">
    <w:p w:rsidR="00C22054" w:rsidRDefault="00C22054"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Pr="002A4EDA" w:rsidRDefault="00C22054">
    <w:pPr>
      <w:pStyle w:val="Sidefod"/>
    </w:pPr>
    <w:r w:rsidRPr="002A4EDA">
      <w:t xml:space="preserve">Side </w:t>
    </w:r>
    <w:r w:rsidRPr="002A4EDA">
      <w:fldChar w:fldCharType="begin"/>
    </w:r>
    <w:r w:rsidRPr="002A4EDA">
      <w:instrText xml:space="preserve"> PAGE </w:instrText>
    </w:r>
    <w:r w:rsidRPr="002A4EDA">
      <w:fldChar w:fldCharType="separate"/>
    </w:r>
    <w:r w:rsidR="00E10EA9">
      <w:rPr>
        <w:noProof/>
      </w:rPr>
      <w:t>2</w:t>
    </w:r>
    <w:r w:rsidRPr="002A4EDA">
      <w:fldChar w:fldCharType="end"/>
    </w:r>
    <w:r w:rsidRPr="002A4EDA">
      <w:t>/</w:t>
    </w:r>
    <w:r w:rsidR="00E10EA9">
      <w:fldChar w:fldCharType="begin"/>
    </w:r>
    <w:r w:rsidR="00E10EA9">
      <w:instrText xml:space="preserve"> NUMPAGES </w:instrText>
    </w:r>
    <w:r w:rsidR="00E10EA9">
      <w:fldChar w:fldCharType="separate"/>
    </w:r>
    <w:r w:rsidR="00E10EA9">
      <w:rPr>
        <w:noProof/>
      </w:rPr>
      <w:t>12</w:t>
    </w:r>
    <w:r w:rsidR="00E10EA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Pr="002A4EDA" w:rsidRDefault="00C22054">
    <w:pPr>
      <w:pStyle w:val="Sidefod"/>
    </w:pPr>
    <w:r w:rsidRPr="002A4EDA">
      <w:rPr>
        <w:noProof/>
        <w:lang w:eastAsia="da-DK"/>
      </w:rPr>
      <mc:AlternateContent>
        <mc:Choice Requires="wps">
          <w:drawing>
            <wp:anchor distT="0" distB="0" distL="114300" distR="114300" simplePos="0" relativeHeight="251677696" behindDoc="0" locked="0" layoutInCell="1" allowOverlap="1" wp14:anchorId="369D07CC" wp14:editId="4140ECAF">
              <wp:simplePos x="0" y="0"/>
              <wp:positionH relativeFrom="page">
                <wp:posOffset>5614988</wp:posOffset>
              </wp:positionH>
              <wp:positionV relativeFrom="page">
                <wp:posOffset>8943975</wp:posOffset>
              </wp:positionV>
              <wp:extent cx="1747520" cy="1433513"/>
              <wp:effectExtent l="0" t="0" r="0" b="0"/>
              <wp:wrapNone/>
              <wp:docPr id="1" name="Tekstboks 1"/>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2054" w:rsidRDefault="00C22054" w:rsidP="003B7D18">
                          <w:pPr>
                            <w:spacing w:line="192" w:lineRule="atLeast"/>
                            <w:rPr>
                              <w:b/>
                              <w:sz w:val="16"/>
                              <w:szCs w:val="16"/>
                            </w:rPr>
                          </w:pPr>
                          <w:r w:rsidRPr="00110084">
                            <w:rPr>
                              <w:b/>
                              <w:sz w:val="16"/>
                              <w:szCs w:val="16"/>
                            </w:rPr>
                            <w:t>Energistyrelsen</w:t>
                          </w:r>
                        </w:p>
                        <w:p w:rsidR="00C22054" w:rsidRPr="00AB4885" w:rsidRDefault="00C22054" w:rsidP="00F714AB">
                          <w:pPr>
                            <w:spacing w:line="192" w:lineRule="atLeast"/>
                            <w:rPr>
                              <w:sz w:val="16"/>
                              <w:szCs w:val="16"/>
                            </w:rPr>
                          </w:pPr>
                        </w:p>
                        <w:p w:rsidR="00C22054" w:rsidRPr="00110084" w:rsidRDefault="00C22054" w:rsidP="00110084">
                          <w:pPr>
                            <w:spacing w:line="192" w:lineRule="atLeast"/>
                            <w:rPr>
                              <w:sz w:val="16"/>
                              <w:szCs w:val="16"/>
                            </w:rPr>
                          </w:pPr>
                          <w:r w:rsidRPr="00110084">
                            <w:rPr>
                              <w:sz w:val="16"/>
                              <w:szCs w:val="16"/>
                            </w:rPr>
                            <w:t>Amaliegade 44</w:t>
                          </w:r>
                        </w:p>
                        <w:p w:rsidR="00C22054" w:rsidRDefault="00C22054" w:rsidP="00110084">
                          <w:pPr>
                            <w:spacing w:line="192" w:lineRule="atLeast"/>
                            <w:rPr>
                              <w:sz w:val="16"/>
                              <w:szCs w:val="16"/>
                            </w:rPr>
                          </w:pPr>
                          <w:r w:rsidRPr="00110084">
                            <w:rPr>
                              <w:sz w:val="16"/>
                              <w:szCs w:val="16"/>
                            </w:rPr>
                            <w:t>1256 København K</w:t>
                          </w:r>
                        </w:p>
                        <w:p w:rsidR="00C22054" w:rsidRPr="00F714AB" w:rsidRDefault="00C22054" w:rsidP="00F714AB">
                          <w:pPr>
                            <w:spacing w:line="192" w:lineRule="atLeast"/>
                            <w:rPr>
                              <w:sz w:val="16"/>
                              <w:szCs w:val="16"/>
                            </w:rPr>
                          </w:pPr>
                        </w:p>
                        <w:p w:rsidR="00C22054" w:rsidRPr="00110084" w:rsidRDefault="00C22054" w:rsidP="00110084">
                          <w:pPr>
                            <w:spacing w:line="192" w:lineRule="atLeast"/>
                            <w:rPr>
                              <w:sz w:val="16"/>
                              <w:szCs w:val="16"/>
                            </w:rPr>
                          </w:pPr>
                          <w:r w:rsidRPr="00110084">
                            <w:rPr>
                              <w:sz w:val="16"/>
                              <w:szCs w:val="16"/>
                            </w:rPr>
                            <w:t>T: +45 3392 6700</w:t>
                          </w:r>
                        </w:p>
                        <w:p w:rsidR="00C22054" w:rsidRDefault="00C22054" w:rsidP="00110084">
                          <w:pPr>
                            <w:spacing w:line="192" w:lineRule="atLeast"/>
                            <w:rPr>
                              <w:sz w:val="16"/>
                              <w:szCs w:val="16"/>
                            </w:rPr>
                          </w:pPr>
                          <w:r w:rsidRPr="00110084">
                            <w:rPr>
                              <w:sz w:val="16"/>
                              <w:szCs w:val="16"/>
                            </w:rPr>
                            <w:t>E: ens@ens.dk</w:t>
                          </w:r>
                        </w:p>
                        <w:p w:rsidR="00C22054" w:rsidRPr="00F714AB" w:rsidRDefault="00C22054" w:rsidP="00F714AB">
                          <w:pPr>
                            <w:spacing w:line="192" w:lineRule="atLeast"/>
                            <w:rPr>
                              <w:sz w:val="16"/>
                              <w:szCs w:val="16"/>
                            </w:rPr>
                          </w:pPr>
                        </w:p>
                        <w:p w:rsidR="00C22054" w:rsidRPr="00F714AB" w:rsidRDefault="00C22054" w:rsidP="00F714AB">
                          <w:pPr>
                            <w:spacing w:line="192" w:lineRule="atLeast"/>
                            <w:rPr>
                              <w:sz w:val="16"/>
                              <w:szCs w:val="16"/>
                            </w:rPr>
                          </w:pPr>
                          <w:r>
                            <w:rPr>
                              <w:sz w:val="16"/>
                              <w:szCs w:val="16"/>
                            </w:rPr>
                            <w:t>www.ens</w:t>
                          </w:r>
                          <w:r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1" o:spid="_x0000_s1026" type="#_x0000_t202" style="position:absolute;margin-left:442.15pt;margin-top:704.25pt;width:137.6pt;height:112.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" filled="f" stroked="f" strokeweight=".5pt">
              <v:textbox>
                <w:txbxContent>
                  <w:p w:rsidR="00C22054" w:rsidRDefault="00C22054" w:rsidP="003B7D18">
                    <w:pPr>
                      <w:spacing w:line="192" w:lineRule="atLeast"/>
                      <w:rPr>
                        <w:b/>
                        <w:sz w:val="16"/>
                        <w:szCs w:val="16"/>
                      </w:rPr>
                    </w:pPr>
                    <w:r w:rsidRPr="00110084">
                      <w:rPr>
                        <w:b/>
                        <w:sz w:val="16"/>
                        <w:szCs w:val="16"/>
                      </w:rPr>
                      <w:t>Energistyrelsen</w:t>
                    </w:r>
                  </w:p>
                  <w:p w:rsidR="00C22054" w:rsidRPr="00AB4885" w:rsidRDefault="00C22054" w:rsidP="00F714AB">
                    <w:pPr>
                      <w:spacing w:line="192" w:lineRule="atLeast"/>
                      <w:rPr>
                        <w:sz w:val="16"/>
                        <w:szCs w:val="16"/>
                      </w:rPr>
                    </w:pPr>
                  </w:p>
                  <w:p w:rsidR="00C22054" w:rsidRPr="00110084" w:rsidRDefault="00C22054" w:rsidP="00110084">
                    <w:pPr>
                      <w:spacing w:line="192" w:lineRule="atLeast"/>
                      <w:rPr>
                        <w:sz w:val="16"/>
                        <w:szCs w:val="16"/>
                      </w:rPr>
                    </w:pPr>
                    <w:r w:rsidRPr="00110084">
                      <w:rPr>
                        <w:sz w:val="16"/>
                        <w:szCs w:val="16"/>
                      </w:rPr>
                      <w:t>Amaliegade 44</w:t>
                    </w:r>
                  </w:p>
                  <w:p w:rsidR="00C22054" w:rsidRDefault="00C22054" w:rsidP="00110084">
                    <w:pPr>
                      <w:spacing w:line="192" w:lineRule="atLeast"/>
                      <w:rPr>
                        <w:sz w:val="16"/>
                        <w:szCs w:val="16"/>
                      </w:rPr>
                    </w:pPr>
                    <w:r w:rsidRPr="00110084">
                      <w:rPr>
                        <w:sz w:val="16"/>
                        <w:szCs w:val="16"/>
                      </w:rPr>
                      <w:t>1256 København K</w:t>
                    </w:r>
                  </w:p>
                  <w:p w:rsidR="00C22054" w:rsidRPr="00F714AB" w:rsidRDefault="00C22054" w:rsidP="00F714AB">
                    <w:pPr>
                      <w:spacing w:line="192" w:lineRule="atLeast"/>
                      <w:rPr>
                        <w:sz w:val="16"/>
                        <w:szCs w:val="16"/>
                      </w:rPr>
                    </w:pPr>
                  </w:p>
                  <w:p w:rsidR="00C22054" w:rsidRPr="00110084" w:rsidRDefault="00C22054" w:rsidP="00110084">
                    <w:pPr>
                      <w:spacing w:line="192" w:lineRule="atLeast"/>
                      <w:rPr>
                        <w:sz w:val="16"/>
                        <w:szCs w:val="16"/>
                      </w:rPr>
                    </w:pPr>
                    <w:r w:rsidRPr="00110084">
                      <w:rPr>
                        <w:sz w:val="16"/>
                        <w:szCs w:val="16"/>
                      </w:rPr>
                      <w:t>T: +45 3392 6700</w:t>
                    </w:r>
                  </w:p>
                  <w:p w:rsidR="00C22054" w:rsidRDefault="00C22054" w:rsidP="00110084">
                    <w:pPr>
                      <w:spacing w:line="192" w:lineRule="atLeast"/>
                      <w:rPr>
                        <w:sz w:val="16"/>
                        <w:szCs w:val="16"/>
                      </w:rPr>
                    </w:pPr>
                    <w:r w:rsidRPr="00110084">
                      <w:rPr>
                        <w:sz w:val="16"/>
                        <w:szCs w:val="16"/>
                      </w:rPr>
                      <w:t>E: ens@ens.dk</w:t>
                    </w:r>
                  </w:p>
                  <w:p w:rsidR="00C22054" w:rsidRPr="00F714AB" w:rsidRDefault="00C22054" w:rsidP="00F714AB">
                    <w:pPr>
                      <w:spacing w:line="192" w:lineRule="atLeast"/>
                      <w:rPr>
                        <w:sz w:val="16"/>
                        <w:szCs w:val="16"/>
                      </w:rPr>
                    </w:pPr>
                  </w:p>
                  <w:p w:rsidR="00C22054" w:rsidRPr="00F714AB" w:rsidRDefault="00C22054" w:rsidP="00F714AB">
                    <w:pPr>
                      <w:spacing w:line="192" w:lineRule="atLeast"/>
                      <w:rPr>
                        <w:sz w:val="16"/>
                        <w:szCs w:val="16"/>
                      </w:rPr>
                    </w:pPr>
                    <w:r>
                      <w:rPr>
                        <w:sz w:val="16"/>
                        <w:szCs w:val="16"/>
                      </w:rPr>
                      <w:t>www.ens</w:t>
                    </w:r>
                    <w:r w:rsidRPr="00F714AB">
                      <w:rPr>
                        <w:sz w:val="16"/>
                        <w:szCs w:val="16"/>
                      </w:rPr>
                      <w:t>.dk</w:t>
                    </w:r>
                  </w:p>
                </w:txbxContent>
              </v:textbox>
              <w10:wrap anchorx="page" anchory="page"/>
            </v:shape>
          </w:pict>
        </mc:Fallback>
      </mc:AlternateContent>
    </w:r>
    <w:r w:rsidRPr="002A4EDA">
      <w:t xml:space="preserve">Side </w:t>
    </w:r>
    <w:r w:rsidRPr="002A4EDA">
      <w:fldChar w:fldCharType="begin"/>
    </w:r>
    <w:r w:rsidRPr="002A4EDA">
      <w:instrText xml:space="preserve"> PAGE </w:instrText>
    </w:r>
    <w:r w:rsidRPr="002A4EDA">
      <w:fldChar w:fldCharType="separate"/>
    </w:r>
    <w:r w:rsidR="00E10EA9">
      <w:rPr>
        <w:noProof/>
      </w:rPr>
      <w:t>1</w:t>
    </w:r>
    <w:r w:rsidRPr="002A4EDA">
      <w:fldChar w:fldCharType="end"/>
    </w:r>
    <w:r w:rsidRPr="002A4EDA">
      <w:t>/</w:t>
    </w:r>
    <w:r w:rsidR="00E10EA9">
      <w:fldChar w:fldCharType="begin"/>
    </w:r>
    <w:r w:rsidR="00E10EA9">
      <w:instrText xml:space="preserve"> NUMPAGES </w:instrText>
    </w:r>
    <w:r w:rsidR="00E10EA9">
      <w:fldChar w:fldCharType="separate"/>
    </w:r>
    <w:r w:rsidR="00E10EA9">
      <w:rPr>
        <w:noProof/>
      </w:rPr>
      <w:t>12</w:t>
    </w:r>
    <w:r w:rsidR="00E10EA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Default="00C22054">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Pr="002A4EDA" w:rsidRDefault="00C22054">
    <w:pPr>
      <w:pStyle w:val="Sidefod"/>
    </w:pPr>
    <w:r w:rsidRPr="002A4EDA">
      <w:t xml:space="preserve">Side </w:t>
    </w:r>
    <w:r w:rsidRPr="002A4EDA">
      <w:fldChar w:fldCharType="begin"/>
    </w:r>
    <w:r w:rsidRPr="002A4EDA">
      <w:instrText xml:space="preserve"> PAGE </w:instrText>
    </w:r>
    <w:r w:rsidRPr="002A4EDA">
      <w:fldChar w:fldCharType="separate"/>
    </w:r>
    <w:r w:rsidR="002951E9">
      <w:rPr>
        <w:noProof/>
      </w:rPr>
      <w:t>12</w:t>
    </w:r>
    <w:r w:rsidRPr="002A4EDA">
      <w:fldChar w:fldCharType="end"/>
    </w:r>
    <w:r w:rsidRPr="002A4EDA">
      <w:t>/</w:t>
    </w:r>
    <w:r w:rsidR="00E10EA9">
      <w:fldChar w:fldCharType="begin"/>
    </w:r>
    <w:r w:rsidR="00E10EA9">
      <w:instrText xml:space="preserve"> NUMPAGES </w:instrText>
    </w:r>
    <w:r w:rsidR="00E10EA9">
      <w:fldChar w:fldCharType="separate"/>
    </w:r>
    <w:r w:rsidR="002951E9">
      <w:rPr>
        <w:noProof/>
      </w:rPr>
      <w:t>12</w:t>
    </w:r>
    <w:r w:rsidR="00E10EA9">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Pr="002A4EDA" w:rsidRDefault="00C22054">
    <w:pPr>
      <w:pStyle w:val="Sidefod"/>
    </w:pPr>
    <w:r w:rsidRPr="002A4EDA">
      <w:t xml:space="preserve">Side </w:t>
    </w:r>
    <w:r w:rsidRPr="002A4EDA">
      <w:fldChar w:fldCharType="begin"/>
    </w:r>
    <w:r w:rsidRPr="002A4EDA">
      <w:instrText xml:space="preserve"> PAGE </w:instrText>
    </w:r>
    <w:r w:rsidRPr="002A4EDA">
      <w:fldChar w:fldCharType="separate"/>
    </w:r>
    <w:r w:rsidR="00E10EA9">
      <w:rPr>
        <w:noProof/>
      </w:rPr>
      <w:t>10</w:t>
    </w:r>
    <w:r w:rsidRPr="002A4EDA">
      <w:fldChar w:fldCharType="end"/>
    </w:r>
    <w:r w:rsidRPr="002A4EDA">
      <w:t>/</w:t>
    </w:r>
    <w:r w:rsidR="00E10EA9">
      <w:fldChar w:fldCharType="begin"/>
    </w:r>
    <w:r w:rsidR="00E10EA9">
      <w:instrText xml:space="preserve"> NUMPAGES </w:instrText>
    </w:r>
    <w:r w:rsidR="00E10EA9">
      <w:fldChar w:fldCharType="separate"/>
    </w:r>
    <w:r w:rsidR="00E10EA9">
      <w:rPr>
        <w:noProof/>
      </w:rPr>
      <w:t>12</w:t>
    </w:r>
    <w:r w:rsidR="00E10EA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054" w:rsidRDefault="00C22054" w:rsidP="008969C1">
      <w:pPr>
        <w:spacing w:line="240" w:lineRule="auto"/>
      </w:pPr>
      <w:r>
        <w:separator/>
      </w:r>
    </w:p>
  </w:footnote>
  <w:footnote w:type="continuationSeparator" w:id="0">
    <w:p w:rsidR="00C22054" w:rsidRDefault="00C22054" w:rsidP="008969C1">
      <w:pPr>
        <w:spacing w:line="240" w:lineRule="auto"/>
      </w:pPr>
      <w:r>
        <w:continuationSeparator/>
      </w:r>
    </w:p>
  </w:footnote>
  <w:footnote w:id="1">
    <w:p w:rsidR="00C22054" w:rsidRDefault="00C22054" w:rsidP="00952B73">
      <w:pPr>
        <w:pStyle w:val="Fodnotetekst"/>
      </w:pPr>
      <w:r>
        <w:rPr>
          <w:rStyle w:val="Fodnotehenvisning"/>
        </w:rPr>
        <w:footnoteRef/>
      </w:r>
      <w:r>
        <w:t xml:space="preserve"> Metoden beskrives mere detaljeret i Ea Energianalyse (2014a).</w:t>
      </w:r>
    </w:p>
  </w:footnote>
  <w:footnote w:id="2">
    <w:p w:rsidR="00C22054" w:rsidRDefault="00C22054" w:rsidP="0067486D">
      <w:pPr>
        <w:pStyle w:val="Fodnotetekst"/>
      </w:pPr>
      <w:r>
        <w:rPr>
          <w:rStyle w:val="Fodnotehenvisning"/>
        </w:rPr>
        <w:footnoteRef/>
      </w:r>
      <w:r>
        <w:t xml:space="preserve"> Basispriser er markedspriser fratrukket produktskatter som moms og punktafgifter og tillagt prod</w:t>
      </w:r>
      <w:r w:rsidRPr="002210CD">
        <w:t>uktsubsidier. Basispriserne indeholder ikke transportomkostninger eller avancer.</w:t>
      </w:r>
    </w:p>
  </w:footnote>
  <w:footnote w:id="3">
    <w:p w:rsidR="00C22054" w:rsidRDefault="00C22054" w:rsidP="00952B73">
      <w:pPr>
        <w:pStyle w:val="Fodnotetekst"/>
      </w:pPr>
      <w:r>
        <w:rPr>
          <w:rStyle w:val="Fodnotehenvisning"/>
        </w:rPr>
        <w:footnoteRef/>
      </w:r>
      <w:r>
        <w:t xml:space="preserve"> Udtræk fra tabellerne </w:t>
      </w:r>
      <w:r w:rsidRPr="00C566E8">
        <w:t>Energiregnskab i fælles enheder efter anvendelse og energitype</w:t>
      </w:r>
      <w:r>
        <w:t xml:space="preserve"> (</w:t>
      </w:r>
      <w:r w:rsidRPr="00B00DB8">
        <w:t>ENE2HA</w:t>
      </w:r>
      <w:r>
        <w:t>)</w:t>
      </w:r>
      <w:r w:rsidRPr="00B00DB8">
        <w:t xml:space="preserve"> </w:t>
      </w:r>
      <w:r>
        <w:t>samt Energiregnskab i værdier (</w:t>
      </w:r>
      <w:r w:rsidRPr="00B00DB8">
        <w:t>ENE4HA</w:t>
      </w:r>
      <w:r>
        <w:t>).</w:t>
      </w:r>
    </w:p>
  </w:footnote>
  <w:footnote w:id="4">
    <w:p w:rsidR="00C22054" w:rsidRDefault="00C22054">
      <w:pPr>
        <w:pStyle w:val="Fodnotetekst"/>
      </w:pPr>
      <w:r>
        <w:rPr>
          <w:rStyle w:val="Fodnotehenvisning"/>
        </w:rPr>
        <w:footnoteRef/>
      </w:r>
      <w:r>
        <w:t xml:space="preserve"> Ea Energianalyse (2014b).</w:t>
      </w:r>
    </w:p>
  </w:footnote>
  <w:footnote w:id="5">
    <w:p w:rsidR="00C22054" w:rsidRDefault="00C22054" w:rsidP="00952B73">
      <w:pPr>
        <w:pStyle w:val="Fodnotetekst"/>
      </w:pPr>
      <w:r>
        <w:rPr>
          <w:rStyle w:val="Fodnotehenvisning"/>
        </w:rPr>
        <w:footnoteRef/>
      </w:r>
      <w:r>
        <w:t xml:space="preserve"> Ea Energianalyse (2014b).</w:t>
      </w:r>
    </w:p>
  </w:footnote>
  <w:footnote w:id="6">
    <w:p w:rsidR="00C22054" w:rsidRDefault="00C22054" w:rsidP="002331E1">
      <w:r>
        <w:rPr>
          <w:rStyle w:val="Fodnotehenvisning"/>
        </w:rPr>
        <w:footnoteRef/>
      </w:r>
      <w:r>
        <w:t xml:space="preserve"> Kilde til priser fra NCG</w:t>
      </w:r>
      <w:r w:rsidRPr="000113EA">
        <w:rPr>
          <w:szCs w:val="20"/>
        </w:rPr>
        <w:t xml:space="preserve">: </w:t>
      </w:r>
      <w:hyperlink r:id="rId1" w:history="1">
        <w:r w:rsidRPr="000113EA">
          <w:rPr>
            <w:rFonts w:eastAsia="Times New Roman" w:cs="Arial"/>
            <w:color w:val="0000FF"/>
            <w:szCs w:val="20"/>
            <w:u w:val="single"/>
            <w:lang w:eastAsia="da-DK"/>
          </w:rPr>
          <w:t>https://www.eex.com/en/market-data/natural-gas/spot-market/daily-reference-price</w:t>
        </w:r>
      </w:hyperlink>
    </w:p>
  </w:footnote>
  <w:footnote w:id="7">
    <w:p w:rsidR="00C22054" w:rsidRDefault="00C22054" w:rsidP="00952B73">
      <w:pPr>
        <w:pStyle w:val="Fodnotetekst"/>
      </w:pPr>
      <w:r>
        <w:rPr>
          <w:rStyle w:val="Fodnotehenvisning"/>
        </w:rPr>
        <w:footnoteRef/>
      </w:r>
      <w:r>
        <w:t xml:space="preserve"> Transmissionstillægget beregnes af Energistyrelsen på baggrund af data fra Energinet (2016).</w:t>
      </w:r>
    </w:p>
  </w:footnote>
  <w:footnote w:id="8">
    <w:p w:rsidR="00C22054" w:rsidRDefault="00C22054" w:rsidP="00952B73">
      <w:pPr>
        <w:pStyle w:val="Fodnotetekst"/>
      </w:pPr>
      <w:r>
        <w:rPr>
          <w:rStyle w:val="Fodnotehenvisning"/>
        </w:rPr>
        <w:footnoteRef/>
      </w:r>
      <w:r>
        <w:t xml:space="preserve"> Distributionstillægget beregnes af Energistyrelsen på baggrund af data fra distributionsselskaberne og Energitilsynet (2013).</w:t>
      </w:r>
    </w:p>
  </w:footnote>
  <w:footnote w:id="9">
    <w:p w:rsidR="00C22054" w:rsidRDefault="00C22054">
      <w:pPr>
        <w:pStyle w:val="Fodnotetekst"/>
      </w:pPr>
      <w:r>
        <w:rPr>
          <w:rStyle w:val="Fodnotehenvisning"/>
        </w:rPr>
        <w:footnoteRef/>
      </w:r>
      <w:r>
        <w:t xml:space="preserve"> Energitilsynet (2017).</w:t>
      </w:r>
    </w:p>
  </w:footnote>
  <w:footnote w:id="10">
    <w:p w:rsidR="00C22054" w:rsidRPr="005977F4" w:rsidRDefault="00C22054" w:rsidP="00EF1A4B">
      <w:pPr>
        <w:pStyle w:val="Fodnotetekst"/>
      </w:pPr>
      <w:r>
        <w:rPr>
          <w:rStyle w:val="Fodnotehenvisning"/>
        </w:rPr>
        <w:footnoteRef/>
      </w:r>
      <w:r w:rsidRPr="005977F4">
        <w:t xml:space="preserve"> </w:t>
      </w:r>
      <w:r>
        <w:t>Ea Energianalyse (2014b).</w:t>
      </w:r>
    </w:p>
  </w:footnote>
  <w:footnote w:id="11">
    <w:p w:rsidR="00C22054" w:rsidRDefault="00C22054" w:rsidP="00EF1A4B">
      <w:pPr>
        <w:pStyle w:val="Fodnotetekst"/>
      </w:pPr>
      <w:r>
        <w:rPr>
          <w:rStyle w:val="Fodnotehenvisning"/>
        </w:rPr>
        <w:footnoteRef/>
      </w:r>
      <w:r>
        <w:t xml:space="preserve"> Produktpræmien for</w:t>
      </w:r>
      <w:r w:rsidRPr="008D228E">
        <w:t xml:space="preserve"> fuelolie</w:t>
      </w:r>
      <w:r>
        <w:t xml:space="preserve"> er </w:t>
      </w:r>
      <w:r w:rsidRPr="00FB6F9F">
        <w:t>negativ.</w:t>
      </w:r>
      <w:r>
        <w:t xml:space="preserve"> Ea Energianalyse forklarer dels dette med, at produktpræmien beregnes i forhold til den </w:t>
      </w:r>
      <w:r w:rsidRPr="00851716">
        <w:rPr>
          <w:i/>
        </w:rPr>
        <w:t>gennemsnitlige</w:t>
      </w:r>
      <w:r>
        <w:t xml:space="preserve"> pris for alle olieprodukter, dels at kategorien fuelolie omfatter en stor gruppe af brændselsolier, herunder også bunkring til skibe, som har oplevet en stramning i reguleringen af forurenende stoffer som fx svovl. Stramningen betyder, at der nu går mere raffinering til det gennemsnitlige forbrugte fuelolieprodukt. Ea Energianalyse (2014b).</w:t>
      </w:r>
    </w:p>
  </w:footnote>
  <w:footnote w:id="12">
    <w:p w:rsidR="00C22054" w:rsidRDefault="00C22054" w:rsidP="00EF1A4B">
      <w:pPr>
        <w:pStyle w:val="Fodnotetekst"/>
      </w:pPr>
      <w:r>
        <w:rPr>
          <w:rStyle w:val="Fodnotehenvisning"/>
        </w:rPr>
        <w:footnoteRef/>
      </w:r>
      <w:r>
        <w:t xml:space="preserve"> Ea Energianalyse &amp; </w:t>
      </w:r>
      <w:proofErr w:type="spellStart"/>
      <w:r>
        <w:t>Wazee</w:t>
      </w:r>
      <w:proofErr w:type="spellEnd"/>
      <w:r>
        <w:t xml:space="preserv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Default="00C22054">
    <w:pPr>
      <w:pStyle w:val="Sidehoved"/>
    </w:pPr>
    <w:r>
      <w:rPr>
        <w:noProof/>
        <w:lang w:eastAsia="da-DK"/>
      </w:rPr>
      <w:drawing>
        <wp:anchor distT="0" distB="0" distL="114300" distR="114300" simplePos="0" relativeHeight="251679744" behindDoc="0" locked="0" layoutInCell="1" allowOverlap="1" wp14:anchorId="62DFA665" wp14:editId="38FF5924">
          <wp:simplePos x="0" y="0"/>
          <wp:positionH relativeFrom="page">
            <wp:posOffset>4842510</wp:posOffset>
          </wp:positionH>
          <wp:positionV relativeFrom="page">
            <wp:posOffset>396240</wp:posOffset>
          </wp:positionV>
          <wp:extent cx="2041200" cy="69480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Default="00C22054">
    <w:pPr>
      <w:pStyle w:val="Sidehoved"/>
    </w:pPr>
    <w:r>
      <w:rPr>
        <w:noProof/>
        <w:lang w:eastAsia="da-DK"/>
      </w:rPr>
      <w:drawing>
        <wp:anchor distT="0" distB="0" distL="114300" distR="114300" simplePos="0" relativeHeight="251678720" behindDoc="0" locked="0" layoutInCell="1" allowOverlap="1" wp14:anchorId="370B9BDC" wp14:editId="53672255">
          <wp:simplePos x="0" y="0"/>
          <wp:positionH relativeFrom="page">
            <wp:posOffset>4842510</wp:posOffset>
          </wp:positionH>
          <wp:positionV relativeFrom="page">
            <wp:posOffset>396875</wp:posOffset>
          </wp:positionV>
          <wp:extent cx="2041200" cy="694800"/>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Default="00C22054">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Default="00C22054">
    <w:pPr>
      <w:pStyle w:val="Sidehoved"/>
    </w:pPr>
    <w:r>
      <w:rPr>
        <w:noProof/>
        <w:lang w:eastAsia="da-DK"/>
      </w:rPr>
      <w:drawing>
        <wp:anchor distT="0" distB="0" distL="114300" distR="114300" simplePos="0" relativeHeight="251675648" behindDoc="0" locked="0" layoutInCell="1" allowOverlap="1" wp14:anchorId="7372C69A" wp14:editId="1539F4D0">
          <wp:simplePos x="0" y="0"/>
          <wp:positionH relativeFrom="page">
            <wp:posOffset>4842510</wp:posOffset>
          </wp:positionH>
          <wp:positionV relativeFrom="page">
            <wp:posOffset>396240</wp:posOffset>
          </wp:positionV>
          <wp:extent cx="2041200" cy="69480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Default="00C22054">
    <w:pPr>
      <w:pStyle w:val="Sidehoved"/>
    </w:pPr>
    <w:r>
      <w:rPr>
        <w:noProof/>
        <w:lang w:eastAsia="da-DK"/>
      </w:rPr>
      <w:drawing>
        <wp:anchor distT="0" distB="0" distL="114300" distR="114300" simplePos="0" relativeHeight="251673600" behindDoc="0" locked="0" layoutInCell="1" allowOverlap="1" wp14:anchorId="6B719492" wp14:editId="7F5D8A0A">
          <wp:simplePos x="0" y="0"/>
          <wp:positionH relativeFrom="page">
            <wp:posOffset>7920990</wp:posOffset>
          </wp:positionH>
          <wp:positionV relativeFrom="page">
            <wp:posOffset>396875</wp:posOffset>
          </wp:positionV>
          <wp:extent cx="2041200" cy="694800"/>
          <wp:effectExtent l="0" t="0" r="0"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54" w:rsidRDefault="00C22054">
    <w:pPr>
      <w:pStyle w:val="Sidehoved"/>
    </w:pPr>
    <w:r>
      <w:rPr>
        <w:noProof/>
        <w:lang w:eastAsia="da-DK"/>
      </w:rPr>
      <w:drawing>
        <wp:anchor distT="0" distB="0" distL="114300" distR="114300" simplePos="0" relativeHeight="251681792" behindDoc="0" locked="0" layoutInCell="1" allowOverlap="1" wp14:anchorId="0B139D8B" wp14:editId="0A8F96AC">
          <wp:simplePos x="0" y="0"/>
          <wp:positionH relativeFrom="page">
            <wp:posOffset>4842510</wp:posOffset>
          </wp:positionH>
          <wp:positionV relativeFrom="page">
            <wp:posOffset>396875</wp:posOffset>
          </wp:positionV>
          <wp:extent cx="2041200" cy="694800"/>
          <wp:effectExtent l="0" t="0" r="0"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9CA907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nsid w:val="21B13E2A"/>
    <w:multiLevelType w:val="multilevel"/>
    <w:tmpl w:val="4DDA0AF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49D57CC"/>
    <w:multiLevelType w:val="hybridMultilevel"/>
    <w:tmpl w:val="C96E3C6E"/>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27983C18"/>
    <w:multiLevelType w:val="singleLevel"/>
    <w:tmpl w:val="36FA987C"/>
    <w:lvl w:ilvl="0">
      <w:start w:val="1"/>
      <w:numFmt w:val="decimal"/>
      <w:lvlRestart w:val="0"/>
      <w:lvlText w:val="%1."/>
      <w:lvlJc w:val="left"/>
      <w:pPr>
        <w:tabs>
          <w:tab w:val="num" w:pos="360"/>
        </w:tabs>
        <w:ind w:left="360" w:hanging="360"/>
      </w:pPr>
    </w:lvl>
  </w:abstractNum>
  <w:abstractNum w:abstractNumId="4">
    <w:nsid w:val="289A634D"/>
    <w:multiLevelType w:val="multilevel"/>
    <w:tmpl w:val="8480BF3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E3D294F"/>
    <w:multiLevelType w:val="multilevel"/>
    <w:tmpl w:val="ACAE23B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893076"/>
    <w:multiLevelType w:val="multilevel"/>
    <w:tmpl w:val="0C0685D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B2401E2"/>
    <w:multiLevelType w:val="multilevel"/>
    <w:tmpl w:val="82A6BBF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C1F790B"/>
    <w:multiLevelType w:val="singleLevel"/>
    <w:tmpl w:val="927ACA4E"/>
    <w:lvl w:ilvl="0">
      <w:start w:val="1"/>
      <w:numFmt w:val="decimal"/>
      <w:lvlRestart w:val="0"/>
      <w:lvlText w:val="%1."/>
      <w:lvlJc w:val="left"/>
      <w:pPr>
        <w:tabs>
          <w:tab w:val="num" w:pos="360"/>
        </w:tabs>
        <w:ind w:left="360" w:hanging="360"/>
      </w:pPr>
    </w:lvl>
  </w:abstractNum>
  <w:abstractNum w:abstractNumId="9">
    <w:nsid w:val="505A431E"/>
    <w:multiLevelType w:val="singleLevel"/>
    <w:tmpl w:val="547CB372"/>
    <w:lvl w:ilvl="0">
      <w:start w:val="1"/>
      <w:numFmt w:val="decimal"/>
      <w:lvlRestart w:val="0"/>
      <w:lvlText w:val="%1."/>
      <w:lvlJc w:val="left"/>
      <w:pPr>
        <w:tabs>
          <w:tab w:val="num" w:pos="360"/>
        </w:tabs>
        <w:ind w:left="360" w:hanging="360"/>
      </w:pPr>
    </w:lvl>
  </w:abstractNum>
  <w:abstractNum w:abstractNumId="10">
    <w:nsid w:val="51AE34BE"/>
    <w:multiLevelType w:val="singleLevel"/>
    <w:tmpl w:val="73D645D0"/>
    <w:lvl w:ilvl="0">
      <w:start w:val="1"/>
      <w:numFmt w:val="decimal"/>
      <w:lvlRestart w:val="0"/>
      <w:lvlText w:val="%1."/>
      <w:lvlJc w:val="left"/>
      <w:pPr>
        <w:tabs>
          <w:tab w:val="num" w:pos="360"/>
        </w:tabs>
        <w:ind w:left="360" w:hanging="360"/>
      </w:pPr>
    </w:lvl>
  </w:abstractNum>
  <w:abstractNum w:abstractNumId="11">
    <w:nsid w:val="5E4246E6"/>
    <w:multiLevelType w:val="multilevel"/>
    <w:tmpl w:val="C9181DC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EDB12FE"/>
    <w:multiLevelType w:val="multilevel"/>
    <w:tmpl w:val="BC08399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5993C31"/>
    <w:multiLevelType w:val="multilevel"/>
    <w:tmpl w:val="07EE71A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3"/>
  </w:num>
  <w:num w:numId="5">
    <w:abstractNumId w:val="4"/>
  </w:num>
  <w:num w:numId="6">
    <w:abstractNumId w:val="5"/>
  </w:num>
  <w:num w:numId="7">
    <w:abstractNumId w:val="12"/>
  </w:num>
  <w:num w:numId="8">
    <w:abstractNumId w:val="0"/>
  </w:num>
  <w:num w:numId="9">
    <w:abstractNumId w:val="1"/>
  </w:num>
  <w:num w:numId="10">
    <w:abstractNumId w:val="11"/>
  </w:num>
  <w:num w:numId="11">
    <w:abstractNumId w:val="13"/>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73"/>
    <w:rsid w:val="00022817"/>
    <w:rsid w:val="00025A15"/>
    <w:rsid w:val="0002658F"/>
    <w:rsid w:val="00036061"/>
    <w:rsid w:val="000638FF"/>
    <w:rsid w:val="00065C74"/>
    <w:rsid w:val="00086163"/>
    <w:rsid w:val="000954C1"/>
    <w:rsid w:val="000A08E2"/>
    <w:rsid w:val="00110084"/>
    <w:rsid w:val="00140C61"/>
    <w:rsid w:val="00175E21"/>
    <w:rsid w:val="0019508F"/>
    <w:rsid w:val="001B2C4C"/>
    <w:rsid w:val="00201D9E"/>
    <w:rsid w:val="00205AB7"/>
    <w:rsid w:val="00215F70"/>
    <w:rsid w:val="002210CD"/>
    <w:rsid w:val="002278B1"/>
    <w:rsid w:val="0023115A"/>
    <w:rsid w:val="002331E1"/>
    <w:rsid w:val="002611C9"/>
    <w:rsid w:val="0027768F"/>
    <w:rsid w:val="002861AB"/>
    <w:rsid w:val="002951E9"/>
    <w:rsid w:val="00296E6F"/>
    <w:rsid w:val="002A4EDA"/>
    <w:rsid w:val="002B5592"/>
    <w:rsid w:val="002C135B"/>
    <w:rsid w:val="002C329D"/>
    <w:rsid w:val="00310284"/>
    <w:rsid w:val="00310F83"/>
    <w:rsid w:val="00317949"/>
    <w:rsid w:val="003340A6"/>
    <w:rsid w:val="0034007A"/>
    <w:rsid w:val="00347BCC"/>
    <w:rsid w:val="00352DBE"/>
    <w:rsid w:val="003B31EC"/>
    <w:rsid w:val="003B502E"/>
    <w:rsid w:val="003B5DBB"/>
    <w:rsid w:val="003B7286"/>
    <w:rsid w:val="003B7D18"/>
    <w:rsid w:val="003D6345"/>
    <w:rsid w:val="003F024D"/>
    <w:rsid w:val="004129C4"/>
    <w:rsid w:val="00431511"/>
    <w:rsid w:val="004456A7"/>
    <w:rsid w:val="004704DA"/>
    <w:rsid w:val="004D5CFB"/>
    <w:rsid w:val="004E311D"/>
    <w:rsid w:val="004F5C81"/>
    <w:rsid w:val="00501169"/>
    <w:rsid w:val="00527652"/>
    <w:rsid w:val="005340A7"/>
    <w:rsid w:val="005618E6"/>
    <w:rsid w:val="005B69FE"/>
    <w:rsid w:val="005C5897"/>
    <w:rsid w:val="005E5FA7"/>
    <w:rsid w:val="005F7F8C"/>
    <w:rsid w:val="006202F5"/>
    <w:rsid w:val="00622EB1"/>
    <w:rsid w:val="00651112"/>
    <w:rsid w:val="00665F29"/>
    <w:rsid w:val="00667FF1"/>
    <w:rsid w:val="00671C48"/>
    <w:rsid w:val="0067486D"/>
    <w:rsid w:val="006803EB"/>
    <w:rsid w:val="006D6210"/>
    <w:rsid w:val="006E691D"/>
    <w:rsid w:val="006F152D"/>
    <w:rsid w:val="00705588"/>
    <w:rsid w:val="007135D0"/>
    <w:rsid w:val="00721870"/>
    <w:rsid w:val="00732068"/>
    <w:rsid w:val="007636C2"/>
    <w:rsid w:val="007852F4"/>
    <w:rsid w:val="007B75E6"/>
    <w:rsid w:val="007D6956"/>
    <w:rsid w:val="00800E2B"/>
    <w:rsid w:val="00802C9E"/>
    <w:rsid w:val="00804D82"/>
    <w:rsid w:val="008176EC"/>
    <w:rsid w:val="008969C1"/>
    <w:rsid w:val="008A3B84"/>
    <w:rsid w:val="008B33D5"/>
    <w:rsid w:val="008D228E"/>
    <w:rsid w:val="008F1514"/>
    <w:rsid w:val="008F2666"/>
    <w:rsid w:val="00914664"/>
    <w:rsid w:val="00923F35"/>
    <w:rsid w:val="00933A24"/>
    <w:rsid w:val="009478E8"/>
    <w:rsid w:val="00952B73"/>
    <w:rsid w:val="00953759"/>
    <w:rsid w:val="009C7684"/>
    <w:rsid w:val="009D3FB5"/>
    <w:rsid w:val="009D5F8B"/>
    <w:rsid w:val="009F1279"/>
    <w:rsid w:val="009F4523"/>
    <w:rsid w:val="00A177C5"/>
    <w:rsid w:val="00A20C1A"/>
    <w:rsid w:val="00A21934"/>
    <w:rsid w:val="00A43751"/>
    <w:rsid w:val="00A46851"/>
    <w:rsid w:val="00A53C43"/>
    <w:rsid w:val="00A66297"/>
    <w:rsid w:val="00A9284C"/>
    <w:rsid w:val="00AB4885"/>
    <w:rsid w:val="00AC60EA"/>
    <w:rsid w:val="00AE00E4"/>
    <w:rsid w:val="00B1566A"/>
    <w:rsid w:val="00B32300"/>
    <w:rsid w:val="00B3787B"/>
    <w:rsid w:val="00B536E9"/>
    <w:rsid w:val="00B60F7C"/>
    <w:rsid w:val="00B63986"/>
    <w:rsid w:val="00BA0FCB"/>
    <w:rsid w:val="00BD2772"/>
    <w:rsid w:val="00BD6922"/>
    <w:rsid w:val="00BF471B"/>
    <w:rsid w:val="00BF4C5F"/>
    <w:rsid w:val="00C20E5C"/>
    <w:rsid w:val="00C22054"/>
    <w:rsid w:val="00C4750C"/>
    <w:rsid w:val="00C566E8"/>
    <w:rsid w:val="00C651CC"/>
    <w:rsid w:val="00CA046D"/>
    <w:rsid w:val="00CB3A7C"/>
    <w:rsid w:val="00CE4039"/>
    <w:rsid w:val="00CE465E"/>
    <w:rsid w:val="00D00775"/>
    <w:rsid w:val="00D10F9D"/>
    <w:rsid w:val="00D12126"/>
    <w:rsid w:val="00D1257F"/>
    <w:rsid w:val="00D12E7B"/>
    <w:rsid w:val="00D357CF"/>
    <w:rsid w:val="00D425C9"/>
    <w:rsid w:val="00D93447"/>
    <w:rsid w:val="00DA7419"/>
    <w:rsid w:val="00DB1E7D"/>
    <w:rsid w:val="00DC2214"/>
    <w:rsid w:val="00DD1186"/>
    <w:rsid w:val="00DD13E6"/>
    <w:rsid w:val="00DD395A"/>
    <w:rsid w:val="00E10EA9"/>
    <w:rsid w:val="00E23732"/>
    <w:rsid w:val="00E36C34"/>
    <w:rsid w:val="00E452E8"/>
    <w:rsid w:val="00E46006"/>
    <w:rsid w:val="00E65202"/>
    <w:rsid w:val="00ED066E"/>
    <w:rsid w:val="00EF1A4B"/>
    <w:rsid w:val="00F1150A"/>
    <w:rsid w:val="00F3314C"/>
    <w:rsid w:val="00F51987"/>
    <w:rsid w:val="00F54FCA"/>
    <w:rsid w:val="00F65513"/>
    <w:rsid w:val="00F714AB"/>
    <w:rsid w:val="00F93B65"/>
    <w:rsid w:val="00FB38EC"/>
    <w:rsid w:val="00FB6F9F"/>
    <w:rsid w:val="00FD04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C4"/>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Listeafsnit">
    <w:name w:val="List Paragraph"/>
    <w:basedOn w:val="Normal"/>
    <w:uiPriority w:val="34"/>
    <w:qFormat/>
    <w:rsid w:val="00952B73"/>
    <w:pPr>
      <w:ind w:left="720"/>
      <w:contextualSpacing/>
    </w:pPr>
  </w:style>
  <w:style w:type="paragraph" w:styleId="Fodnotetekst">
    <w:name w:val="footnote text"/>
    <w:basedOn w:val="Normal"/>
    <w:link w:val="FodnotetekstTegn"/>
    <w:uiPriority w:val="99"/>
    <w:unhideWhenUsed/>
    <w:rsid w:val="00952B73"/>
    <w:pPr>
      <w:spacing w:line="240" w:lineRule="auto"/>
    </w:pPr>
    <w:rPr>
      <w:szCs w:val="20"/>
    </w:rPr>
  </w:style>
  <w:style w:type="character" w:customStyle="1" w:styleId="FodnotetekstTegn">
    <w:name w:val="Fodnotetekst Tegn"/>
    <w:basedOn w:val="Standardskrifttypeiafsnit"/>
    <w:link w:val="Fodnotetekst"/>
    <w:uiPriority w:val="99"/>
    <w:rsid w:val="00952B73"/>
    <w:rPr>
      <w:rFonts w:ascii="Arial" w:hAnsi="Arial"/>
      <w:sz w:val="20"/>
      <w:szCs w:val="20"/>
    </w:rPr>
  </w:style>
  <w:style w:type="character" w:styleId="Fodnotehenvisning">
    <w:name w:val="footnote reference"/>
    <w:basedOn w:val="Standardskrifttypeiafsnit"/>
    <w:uiPriority w:val="99"/>
    <w:semiHidden/>
    <w:unhideWhenUsed/>
    <w:rsid w:val="00952B73"/>
    <w:rPr>
      <w:vertAlign w:val="superscript"/>
    </w:rPr>
  </w:style>
  <w:style w:type="paragraph" w:styleId="Billedtekst">
    <w:name w:val="caption"/>
    <w:basedOn w:val="Normal"/>
    <w:next w:val="Normal"/>
    <w:uiPriority w:val="35"/>
    <w:unhideWhenUsed/>
    <w:qFormat/>
    <w:rsid w:val="00952B73"/>
    <w:pPr>
      <w:spacing w:after="200" w:line="240" w:lineRule="auto"/>
    </w:pPr>
    <w:rPr>
      <w:b/>
      <w:bCs/>
      <w:color w:val="0097A7" w:themeColor="accent1"/>
      <w:sz w:val="18"/>
      <w:szCs w:val="18"/>
    </w:rPr>
  </w:style>
  <w:style w:type="paragraph" w:styleId="Opstilling-punkttegn">
    <w:name w:val="List Bullet"/>
    <w:basedOn w:val="Normal"/>
    <w:uiPriority w:val="99"/>
    <w:semiHidden/>
    <w:unhideWhenUsed/>
    <w:rsid w:val="00AE00E4"/>
    <w:pPr>
      <w:numPr>
        <w:numId w:val="8"/>
      </w:numPr>
      <w:contextualSpacing/>
    </w:pPr>
  </w:style>
  <w:style w:type="character" w:styleId="Kommentarhenvisning">
    <w:name w:val="annotation reference"/>
    <w:basedOn w:val="Standardskrifttypeiafsnit"/>
    <w:semiHidden/>
    <w:unhideWhenUsed/>
    <w:rsid w:val="0067486D"/>
    <w:rPr>
      <w:sz w:val="16"/>
      <w:szCs w:val="16"/>
    </w:rPr>
  </w:style>
  <w:style w:type="paragraph" w:styleId="Kommentartekst">
    <w:name w:val="annotation text"/>
    <w:basedOn w:val="Normal"/>
    <w:link w:val="KommentartekstTegn"/>
    <w:semiHidden/>
    <w:unhideWhenUsed/>
    <w:rsid w:val="0067486D"/>
    <w:pPr>
      <w:spacing w:line="240" w:lineRule="auto"/>
    </w:pPr>
    <w:rPr>
      <w:szCs w:val="20"/>
    </w:rPr>
  </w:style>
  <w:style w:type="character" w:customStyle="1" w:styleId="KommentartekstTegn">
    <w:name w:val="Kommentartekst Tegn"/>
    <w:basedOn w:val="Standardskrifttypeiafsnit"/>
    <w:link w:val="Kommentartekst"/>
    <w:semiHidden/>
    <w:rsid w:val="0067486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67486D"/>
    <w:rPr>
      <w:b/>
      <w:bCs/>
    </w:rPr>
  </w:style>
  <w:style w:type="character" w:customStyle="1" w:styleId="KommentaremneTegn">
    <w:name w:val="Kommentaremne Tegn"/>
    <w:basedOn w:val="KommentartekstTegn"/>
    <w:link w:val="Kommentaremne"/>
    <w:uiPriority w:val="99"/>
    <w:semiHidden/>
    <w:rsid w:val="0067486D"/>
    <w:rPr>
      <w:rFonts w:ascii="Arial" w:hAnsi="Arial"/>
      <w:b/>
      <w:bCs/>
      <w:sz w:val="20"/>
      <w:szCs w:val="20"/>
    </w:rPr>
  </w:style>
  <w:style w:type="paragraph" w:styleId="Korrektur">
    <w:name w:val="Revision"/>
    <w:hidden/>
    <w:uiPriority w:val="99"/>
    <w:semiHidden/>
    <w:rsid w:val="00F51987"/>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C4"/>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Listeafsnit">
    <w:name w:val="List Paragraph"/>
    <w:basedOn w:val="Normal"/>
    <w:uiPriority w:val="34"/>
    <w:qFormat/>
    <w:rsid w:val="00952B73"/>
    <w:pPr>
      <w:ind w:left="720"/>
      <w:contextualSpacing/>
    </w:pPr>
  </w:style>
  <w:style w:type="paragraph" w:styleId="Fodnotetekst">
    <w:name w:val="footnote text"/>
    <w:basedOn w:val="Normal"/>
    <w:link w:val="FodnotetekstTegn"/>
    <w:uiPriority w:val="99"/>
    <w:unhideWhenUsed/>
    <w:rsid w:val="00952B73"/>
    <w:pPr>
      <w:spacing w:line="240" w:lineRule="auto"/>
    </w:pPr>
    <w:rPr>
      <w:szCs w:val="20"/>
    </w:rPr>
  </w:style>
  <w:style w:type="character" w:customStyle="1" w:styleId="FodnotetekstTegn">
    <w:name w:val="Fodnotetekst Tegn"/>
    <w:basedOn w:val="Standardskrifttypeiafsnit"/>
    <w:link w:val="Fodnotetekst"/>
    <w:uiPriority w:val="99"/>
    <w:rsid w:val="00952B73"/>
    <w:rPr>
      <w:rFonts w:ascii="Arial" w:hAnsi="Arial"/>
      <w:sz w:val="20"/>
      <w:szCs w:val="20"/>
    </w:rPr>
  </w:style>
  <w:style w:type="character" w:styleId="Fodnotehenvisning">
    <w:name w:val="footnote reference"/>
    <w:basedOn w:val="Standardskrifttypeiafsnit"/>
    <w:uiPriority w:val="99"/>
    <w:semiHidden/>
    <w:unhideWhenUsed/>
    <w:rsid w:val="00952B73"/>
    <w:rPr>
      <w:vertAlign w:val="superscript"/>
    </w:rPr>
  </w:style>
  <w:style w:type="paragraph" w:styleId="Billedtekst">
    <w:name w:val="caption"/>
    <w:basedOn w:val="Normal"/>
    <w:next w:val="Normal"/>
    <w:uiPriority w:val="35"/>
    <w:unhideWhenUsed/>
    <w:qFormat/>
    <w:rsid w:val="00952B73"/>
    <w:pPr>
      <w:spacing w:after="200" w:line="240" w:lineRule="auto"/>
    </w:pPr>
    <w:rPr>
      <w:b/>
      <w:bCs/>
      <w:color w:val="0097A7" w:themeColor="accent1"/>
      <w:sz w:val="18"/>
      <w:szCs w:val="18"/>
    </w:rPr>
  </w:style>
  <w:style w:type="paragraph" w:styleId="Opstilling-punkttegn">
    <w:name w:val="List Bullet"/>
    <w:basedOn w:val="Normal"/>
    <w:uiPriority w:val="99"/>
    <w:semiHidden/>
    <w:unhideWhenUsed/>
    <w:rsid w:val="00AE00E4"/>
    <w:pPr>
      <w:numPr>
        <w:numId w:val="8"/>
      </w:numPr>
      <w:contextualSpacing/>
    </w:pPr>
  </w:style>
  <w:style w:type="character" w:styleId="Kommentarhenvisning">
    <w:name w:val="annotation reference"/>
    <w:basedOn w:val="Standardskrifttypeiafsnit"/>
    <w:semiHidden/>
    <w:unhideWhenUsed/>
    <w:rsid w:val="0067486D"/>
    <w:rPr>
      <w:sz w:val="16"/>
      <w:szCs w:val="16"/>
    </w:rPr>
  </w:style>
  <w:style w:type="paragraph" w:styleId="Kommentartekst">
    <w:name w:val="annotation text"/>
    <w:basedOn w:val="Normal"/>
    <w:link w:val="KommentartekstTegn"/>
    <w:semiHidden/>
    <w:unhideWhenUsed/>
    <w:rsid w:val="0067486D"/>
    <w:pPr>
      <w:spacing w:line="240" w:lineRule="auto"/>
    </w:pPr>
    <w:rPr>
      <w:szCs w:val="20"/>
    </w:rPr>
  </w:style>
  <w:style w:type="character" w:customStyle="1" w:styleId="KommentartekstTegn">
    <w:name w:val="Kommentartekst Tegn"/>
    <w:basedOn w:val="Standardskrifttypeiafsnit"/>
    <w:link w:val="Kommentartekst"/>
    <w:semiHidden/>
    <w:rsid w:val="0067486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67486D"/>
    <w:rPr>
      <w:b/>
      <w:bCs/>
    </w:rPr>
  </w:style>
  <w:style w:type="character" w:customStyle="1" w:styleId="KommentaremneTegn">
    <w:name w:val="Kommentaremne Tegn"/>
    <w:basedOn w:val="KommentartekstTegn"/>
    <w:link w:val="Kommentaremne"/>
    <w:uiPriority w:val="99"/>
    <w:semiHidden/>
    <w:rsid w:val="0067486D"/>
    <w:rPr>
      <w:rFonts w:ascii="Arial" w:hAnsi="Arial"/>
      <w:b/>
      <w:bCs/>
      <w:sz w:val="20"/>
      <w:szCs w:val="20"/>
    </w:rPr>
  </w:style>
  <w:style w:type="paragraph" w:styleId="Korrektur">
    <w:name w:val="Revision"/>
    <w:hidden/>
    <w:uiPriority w:val="99"/>
    <w:semiHidden/>
    <w:rsid w:val="00F5198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9411">
      <w:bodyDiv w:val="1"/>
      <w:marLeft w:val="0"/>
      <w:marRight w:val="0"/>
      <w:marTop w:val="0"/>
      <w:marBottom w:val="0"/>
      <w:divBdr>
        <w:top w:val="none" w:sz="0" w:space="0" w:color="auto"/>
        <w:left w:val="none" w:sz="0" w:space="0" w:color="auto"/>
        <w:bottom w:val="none" w:sz="0" w:space="0" w:color="auto"/>
        <w:right w:val="none" w:sz="0" w:space="0" w:color="auto"/>
      </w:divBdr>
    </w:div>
    <w:div w:id="918633093">
      <w:bodyDiv w:val="1"/>
      <w:marLeft w:val="0"/>
      <w:marRight w:val="0"/>
      <w:marTop w:val="0"/>
      <w:marBottom w:val="0"/>
      <w:divBdr>
        <w:top w:val="none" w:sz="0" w:space="0" w:color="auto"/>
        <w:left w:val="none" w:sz="0" w:space="0" w:color="auto"/>
        <w:bottom w:val="none" w:sz="0" w:space="0" w:color="auto"/>
        <w:right w:val="none" w:sz="0" w:space="0" w:color="auto"/>
      </w:divBdr>
    </w:div>
    <w:div w:id="1284996802">
      <w:bodyDiv w:val="1"/>
      <w:marLeft w:val="0"/>
      <w:marRight w:val="0"/>
      <w:marTop w:val="0"/>
      <w:marBottom w:val="0"/>
      <w:divBdr>
        <w:top w:val="none" w:sz="0" w:space="0" w:color="auto"/>
        <w:left w:val="none" w:sz="0" w:space="0" w:color="auto"/>
        <w:bottom w:val="none" w:sz="0" w:space="0" w:color="auto"/>
        <w:right w:val="none" w:sz="0" w:space="0" w:color="auto"/>
      </w:divBdr>
    </w:div>
    <w:div w:id="18770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istikbanken.dk/ENE4HA"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statistikbanken.dk/ENE2H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ureenergy-distribution.dk/kunde-info/priser-og-betingelser/distributionstariffer/"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customXml" Target="../customXml/item3.xml"/><Relationship Id="rId10" Type="http://schemas.openxmlformats.org/officeDocument/2006/relationships/hyperlink" Target="https://gasnet.dk/priserogbetingelser/distributionstariffer/2017/"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danskgasdistribution.dk/gaskunder/tariffer-afgifter-og-vilkaar/tariffer-og-afgifter/"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eex.com/en/market-data/natural-gas/spot-market/daily-reference-pr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ord\Skabeloner\1%20Energistyrelsen\EFKM_Notat_ENS_vDK_01.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6F1B2866-93DD-4E62-832A-FE1F1BE47709}">
  <ds:schemaRefs>
    <ds:schemaRef ds:uri="http://schemas.openxmlformats.org/officeDocument/2006/bibliography"/>
  </ds:schemaRefs>
</ds:datastoreItem>
</file>

<file path=customXml/itemProps2.xml><?xml version="1.0" encoding="utf-8"?>
<ds:datastoreItem xmlns:ds="http://schemas.openxmlformats.org/officeDocument/2006/customXml" ds:itemID="{EB8CB4A4-B83E-4CB9-A737-F0976B87267C}"/>
</file>

<file path=customXml/itemProps3.xml><?xml version="1.0" encoding="utf-8"?>
<ds:datastoreItem xmlns:ds="http://schemas.openxmlformats.org/officeDocument/2006/customXml" ds:itemID="{ACC32384-3275-415A-8758-ABB2BBACBF12}"/>
</file>

<file path=customXml/itemProps4.xml><?xml version="1.0" encoding="utf-8"?>
<ds:datastoreItem xmlns:ds="http://schemas.openxmlformats.org/officeDocument/2006/customXml" ds:itemID="{F218139A-D254-47C4-910C-3FB2FE2F7D9E}"/>
</file>

<file path=docProps/app.xml><?xml version="1.0" encoding="utf-8"?>
<Properties xmlns="http://schemas.openxmlformats.org/officeDocument/2006/extended-properties" xmlns:vt="http://schemas.openxmlformats.org/officeDocument/2006/docPropsVTypes">
  <Template>EFKM_Notat_ENS_vDK_01.dotx</Template>
  <TotalTime>32</TotalTime>
  <Pages>12</Pages>
  <Words>3219</Words>
  <Characters>19642</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22816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Wichmann Nordholt</dc:creator>
  <cp:lastModifiedBy>Signe Wichmann Nordholt</cp:lastModifiedBy>
  <cp:revision>11</cp:revision>
  <dcterms:created xsi:type="dcterms:W3CDTF">2017-11-01T13:06:00Z</dcterms:created>
  <dcterms:modified xsi:type="dcterms:W3CDTF">2017-11-01T13:38:00Z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