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71" w:rsidRPr="00260088" w:rsidRDefault="00517771" w:rsidP="00517771">
      <w:pPr>
        <w:rPr>
          <w:b/>
          <w:color w:val="000000" w:themeColor="text1"/>
          <w:szCs w:val="20"/>
          <w:lang w:val="en-US"/>
        </w:rPr>
      </w:pPr>
    </w:p>
    <w:p w:rsidR="00517771" w:rsidRPr="00517771" w:rsidRDefault="00517771" w:rsidP="00517771">
      <w:pPr>
        <w:rPr>
          <w:b/>
          <w:sz w:val="36"/>
          <w:szCs w:val="36"/>
          <w:lang w:val="en-GB"/>
        </w:rPr>
      </w:pPr>
      <w:r w:rsidRPr="00517771">
        <w:rPr>
          <w:b/>
          <w:sz w:val="36"/>
          <w:szCs w:val="36"/>
          <w:lang w:val="en-GB"/>
        </w:rPr>
        <w:t>Operator's Declaration of Insurance</w:t>
      </w:r>
    </w:p>
    <w:p w:rsidR="00517771" w:rsidRDefault="00517771" w:rsidP="00517771">
      <w:pPr>
        <w:tabs>
          <w:tab w:val="right" w:leader="dot" w:pos="3969"/>
          <w:tab w:val="left" w:pos="5103"/>
          <w:tab w:val="right" w:leader="dot" w:pos="8505"/>
        </w:tabs>
        <w:rPr>
          <w:szCs w:val="20"/>
          <w:lang w:val="en-GB"/>
        </w:rPr>
      </w:pPr>
    </w:p>
    <w:p w:rsidR="00303F77" w:rsidRDefault="00303F77" w:rsidP="00303F77">
      <w:pPr>
        <w:pStyle w:val="Overskrift3"/>
        <w:spacing w:before="1"/>
        <w:ind w:left="347"/>
      </w:pPr>
      <w:r>
        <w:t>Operator's</w:t>
      </w:r>
      <w:r>
        <w:rPr>
          <w:spacing w:val="-10"/>
        </w:rPr>
        <w:t xml:space="preserve"> </w:t>
      </w:r>
      <w:r>
        <w:t>Declaration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Insurance</w:t>
      </w:r>
    </w:p>
    <w:p w:rsidR="00303F77" w:rsidRDefault="00303F77" w:rsidP="00303F77">
      <w:pPr>
        <w:pStyle w:val="Brdtekst"/>
        <w:tabs>
          <w:tab w:val="left" w:pos="5450"/>
          <w:tab w:val="right" w:leader="dot" w:pos="8849"/>
        </w:tabs>
        <w:spacing w:before="55"/>
        <w:ind w:left="347"/>
      </w:pPr>
      <w:r>
        <w:t>Concerning</w:t>
      </w:r>
      <w:r>
        <w:rPr>
          <w:spacing w:val="-14"/>
        </w:rPr>
        <w:t xml:space="preserve"> </w:t>
      </w:r>
      <w:r>
        <w:t>License:</w:t>
      </w:r>
      <w:r>
        <w:rPr>
          <w:spacing w:val="-1"/>
        </w:rPr>
        <w:t xml:space="preserve"> </w:t>
      </w:r>
      <w:r>
        <w:rPr>
          <w:spacing w:val="-2"/>
        </w:rPr>
        <w:t>.............................X/XX</w:t>
      </w:r>
      <w:r>
        <w:tab/>
        <w:t>Covering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year</w:t>
      </w:r>
      <w:r>
        <w:rPr>
          <w:rFonts w:ascii="Times New Roman"/>
        </w:rPr>
        <w:tab/>
      </w:r>
      <w:r>
        <w:rPr>
          <w:spacing w:val="-10"/>
        </w:rPr>
        <w:t>X</w:t>
      </w:r>
    </w:p>
    <w:p w:rsidR="00303F77" w:rsidRDefault="00303F77" w:rsidP="00303F77">
      <w:pPr>
        <w:pStyle w:val="Brdtekst"/>
        <w:spacing w:before="49" w:line="292" w:lineRule="auto"/>
        <w:ind w:left="347" w:right="3613"/>
      </w:pPr>
      <w:r>
        <w:t>Indicate</w:t>
      </w:r>
      <w:r>
        <w:rPr>
          <w:spacing w:val="-7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phase</w:t>
      </w:r>
      <w:r>
        <w:rPr>
          <w:spacing w:val="-7"/>
        </w:rPr>
        <w:t xml:space="preserve"> </w:t>
      </w:r>
      <w:r>
        <w:t>(i.e.</w:t>
      </w:r>
      <w:r>
        <w:rPr>
          <w:spacing w:val="-5"/>
        </w:rPr>
        <w:t xml:space="preserve"> </w:t>
      </w:r>
      <w:r>
        <w:t>exploration,</w:t>
      </w:r>
      <w:r>
        <w:rPr>
          <w:spacing w:val="-7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 xml:space="preserve">production, </w:t>
      </w:r>
      <w:r>
        <w:rPr>
          <w:spacing w:val="-2"/>
        </w:rPr>
        <w:t>decommissioning):........................</w:t>
      </w:r>
    </w:p>
    <w:p w:rsidR="00303F77" w:rsidRDefault="00303F77" w:rsidP="00303F77">
      <w:pPr>
        <w:pStyle w:val="Brdtekst"/>
        <w:spacing w:line="228" w:lineRule="exact"/>
        <w:ind w:left="347"/>
      </w:pPr>
      <w:r>
        <w:t>Indicate</w:t>
      </w:r>
      <w:r>
        <w:rPr>
          <w:spacing w:val="-6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(i.e.</w:t>
      </w:r>
      <w:r>
        <w:rPr>
          <w:spacing w:val="-4"/>
        </w:rPr>
        <w:t xml:space="preserve"> </w:t>
      </w:r>
      <w:r>
        <w:t>oil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gas/condensate):.............................</w:t>
      </w:r>
    </w:p>
    <w:p w:rsidR="00303F77" w:rsidRDefault="00303F77" w:rsidP="00303F77">
      <w:pPr>
        <w:pStyle w:val="Brdtekst"/>
        <w:spacing w:before="9"/>
        <w:rPr>
          <w:sz w:val="28"/>
        </w:rPr>
      </w:pPr>
    </w:p>
    <w:p w:rsidR="00303F77" w:rsidRDefault="00303F77" w:rsidP="00303F77">
      <w:pPr>
        <w:pStyle w:val="Brdtekst"/>
        <w:spacing w:line="292" w:lineRule="auto"/>
        <w:ind w:left="347" w:right="2572"/>
      </w:pPr>
      <w:r>
        <w:t>The operator hereby declares to have received insurance certificates or declarations of self-insurance from all co-licensees (including the operator's own certificate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declaration)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year</w:t>
      </w:r>
      <w:r>
        <w:rPr>
          <w:spacing w:val="-3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above.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operator</w:t>
      </w:r>
      <w:r>
        <w:rPr>
          <w:spacing w:val="-3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declares that the insurances are taken out by insurance companies, which are fulfilling the solvency and/or rating requirements of the Danish Energy Agency. Furthermore, the operator declares that the insurances programmes for all co-licensees fulfil the following conditions:</w:t>
      </w:r>
    </w:p>
    <w:p w:rsidR="00303F77" w:rsidRDefault="00303F77" w:rsidP="00303F77">
      <w:pPr>
        <w:pStyle w:val="Brdtekst"/>
        <w:spacing w:before="10"/>
        <w:rPr>
          <w:sz w:val="22"/>
        </w:rPr>
      </w:pPr>
    </w:p>
    <w:p w:rsidR="00303F77" w:rsidRDefault="00303F77" w:rsidP="00303F77">
      <w:pPr>
        <w:pStyle w:val="Overskrift3"/>
      </w:pPr>
      <w:r>
        <w:t>Operator's</w:t>
      </w:r>
      <w:r>
        <w:rPr>
          <w:spacing w:val="-10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expenses,</w:t>
      </w:r>
      <w:r>
        <w:rPr>
          <w:spacing w:val="-10"/>
        </w:rPr>
        <w:t xml:space="preserve"> </w:t>
      </w:r>
      <w:r>
        <w:rPr>
          <w:spacing w:val="-5"/>
        </w:rPr>
        <w:t>OEE</w:t>
      </w:r>
    </w:p>
    <w:p w:rsidR="00303F77" w:rsidRDefault="00303F77" w:rsidP="00303F77">
      <w:pPr>
        <w:pStyle w:val="Brdtekst"/>
        <w:spacing w:before="56"/>
        <w:ind w:left="631"/>
      </w:pPr>
      <w:r>
        <w:rPr>
          <w:u w:val="single"/>
        </w:rPr>
        <w:t>Offshore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activities</w:t>
      </w:r>
    </w:p>
    <w:p w:rsidR="00303F77" w:rsidRPr="00303F77" w:rsidRDefault="00303F77" w:rsidP="00303F77">
      <w:pPr>
        <w:spacing w:before="48"/>
        <w:ind w:left="631"/>
        <w:rPr>
          <w:i/>
          <w:lang w:val="en-US"/>
        </w:rPr>
      </w:pPr>
      <w:r w:rsidRPr="00303F77">
        <w:rPr>
          <w:i/>
          <w:lang w:val="en-US"/>
        </w:rPr>
        <w:t>Control</w:t>
      </w:r>
      <w:r w:rsidRPr="00303F77">
        <w:rPr>
          <w:i/>
          <w:spacing w:val="-8"/>
          <w:lang w:val="en-US"/>
        </w:rPr>
        <w:t xml:space="preserve"> </w:t>
      </w:r>
      <w:r w:rsidRPr="00303F77">
        <w:rPr>
          <w:i/>
          <w:lang w:val="en-US"/>
        </w:rPr>
        <w:t>of</w:t>
      </w:r>
      <w:r w:rsidRPr="00303F77">
        <w:rPr>
          <w:i/>
          <w:spacing w:val="-5"/>
          <w:lang w:val="en-US"/>
        </w:rPr>
        <w:t xml:space="preserve"> </w:t>
      </w:r>
      <w:r w:rsidRPr="00303F77">
        <w:rPr>
          <w:i/>
          <w:lang w:val="en-US"/>
        </w:rPr>
        <w:t>Well</w:t>
      </w:r>
      <w:r w:rsidRPr="00303F77">
        <w:rPr>
          <w:i/>
          <w:spacing w:val="-7"/>
          <w:lang w:val="en-US"/>
        </w:rPr>
        <w:t xml:space="preserve"> </w:t>
      </w:r>
      <w:r w:rsidRPr="00303F77">
        <w:rPr>
          <w:i/>
          <w:lang w:val="en-US"/>
        </w:rPr>
        <w:t>(COW)</w:t>
      </w:r>
      <w:r w:rsidRPr="00303F77">
        <w:rPr>
          <w:i/>
          <w:spacing w:val="-5"/>
          <w:lang w:val="en-US"/>
        </w:rPr>
        <w:t xml:space="preserve"> </w:t>
      </w:r>
      <w:r w:rsidRPr="00303F77">
        <w:rPr>
          <w:i/>
          <w:lang w:val="en-US"/>
        </w:rPr>
        <w:t>-</w:t>
      </w:r>
      <w:r w:rsidRPr="00303F77">
        <w:rPr>
          <w:i/>
          <w:spacing w:val="-4"/>
          <w:lang w:val="en-US"/>
        </w:rPr>
        <w:t xml:space="preserve"> </w:t>
      </w:r>
      <w:r w:rsidRPr="00303F77">
        <w:rPr>
          <w:i/>
          <w:lang w:val="en-US"/>
        </w:rPr>
        <w:t>including</w:t>
      </w:r>
      <w:r w:rsidRPr="00303F77">
        <w:rPr>
          <w:i/>
          <w:spacing w:val="-2"/>
          <w:lang w:val="en-US"/>
        </w:rPr>
        <w:t xml:space="preserve"> </w:t>
      </w:r>
      <w:r w:rsidRPr="00303F77">
        <w:rPr>
          <w:i/>
          <w:lang w:val="en-US"/>
        </w:rPr>
        <w:t>seepage</w:t>
      </w:r>
      <w:r w:rsidRPr="00303F77">
        <w:rPr>
          <w:i/>
          <w:spacing w:val="-3"/>
          <w:lang w:val="en-US"/>
        </w:rPr>
        <w:t xml:space="preserve"> </w:t>
      </w:r>
      <w:r w:rsidRPr="00303F77">
        <w:rPr>
          <w:i/>
          <w:lang w:val="en-US"/>
        </w:rPr>
        <w:t>and</w:t>
      </w:r>
      <w:r w:rsidRPr="00303F77">
        <w:rPr>
          <w:i/>
          <w:spacing w:val="-6"/>
          <w:lang w:val="en-US"/>
        </w:rPr>
        <w:t xml:space="preserve"> </w:t>
      </w:r>
      <w:r w:rsidRPr="00303F77">
        <w:rPr>
          <w:i/>
          <w:spacing w:val="-2"/>
          <w:lang w:val="en-US"/>
        </w:rPr>
        <w:t>pollution</w:t>
      </w:r>
    </w:p>
    <w:p w:rsidR="00303F77" w:rsidRDefault="00303F77" w:rsidP="00303F77">
      <w:pPr>
        <w:pStyle w:val="Brdtekst"/>
        <w:spacing w:before="54" w:line="292" w:lineRule="auto"/>
        <w:ind w:left="631" w:right="2548"/>
      </w:pPr>
      <w:r>
        <w:t>Coverage: Normal coverage in the Danish sector is a minimum of DKK 1.</w:t>
      </w:r>
      <w:r w:rsidRPr="00865F9C">
        <w:t>2</w:t>
      </w:r>
      <w:r>
        <w:t>00.000.000</w:t>
      </w:r>
      <w:r>
        <w:rPr>
          <w:spacing w:val="-7"/>
        </w:rPr>
        <w:t xml:space="preserve"> </w:t>
      </w:r>
      <w:r>
        <w:t>(100%</w:t>
      </w:r>
      <w:r>
        <w:rPr>
          <w:spacing w:val="-1"/>
        </w:rPr>
        <w:t xml:space="preserve"> </w:t>
      </w:r>
      <w:r>
        <w:t>interest)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occurrence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underground</w:t>
      </w:r>
      <w:r>
        <w:rPr>
          <w:spacing w:val="-3"/>
        </w:rPr>
        <w:t xml:space="preserve"> </w:t>
      </w:r>
      <w:r>
        <w:t>blow</w:t>
      </w:r>
      <w:r>
        <w:rPr>
          <w:spacing w:val="-6"/>
        </w:rPr>
        <w:t xml:space="preserve"> </w:t>
      </w:r>
      <w:r>
        <w:t>out. If three times all cost relating to drilling and testing any well in the covered year exceeds DKK 1.</w:t>
      </w:r>
      <w:r w:rsidRPr="00865F9C">
        <w:t>2</w:t>
      </w:r>
      <w:r>
        <w:t>00.000.000 the coverage should as a minimum be increased</w:t>
      </w:r>
      <w:r>
        <w:rPr>
          <w:spacing w:val="40"/>
        </w:rPr>
        <w:t xml:space="preserve"> </w:t>
      </w:r>
      <w:r>
        <w:t>to this amount for that well. Cost relating to drilling and testing this well shall be as stated in the budget for the license, approved in accordance with the</w:t>
      </w:r>
      <w:r>
        <w:rPr>
          <w:spacing w:val="-32"/>
        </w:rPr>
        <w:t xml:space="preserve"> </w:t>
      </w:r>
      <w:r>
        <w:t>JOA.</w:t>
      </w:r>
    </w:p>
    <w:p w:rsidR="00303F77" w:rsidRDefault="00303F77" w:rsidP="00303F77">
      <w:pPr>
        <w:pStyle w:val="Brdtekst"/>
        <w:spacing w:before="8"/>
        <w:rPr>
          <w:sz w:val="23"/>
        </w:rPr>
      </w:pPr>
    </w:p>
    <w:p w:rsidR="00303F77" w:rsidRDefault="00303F77" w:rsidP="00303F77">
      <w:pPr>
        <w:pStyle w:val="Brdtekst"/>
        <w:ind w:left="631"/>
      </w:pPr>
      <w:r>
        <w:rPr>
          <w:u w:val="single"/>
        </w:rPr>
        <w:t>Onshore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Activities</w:t>
      </w:r>
    </w:p>
    <w:p w:rsidR="00303F77" w:rsidRPr="00303F77" w:rsidRDefault="00303F77" w:rsidP="00303F77">
      <w:pPr>
        <w:spacing w:before="46"/>
        <w:ind w:left="631"/>
        <w:rPr>
          <w:i/>
          <w:lang w:val="en-US"/>
        </w:rPr>
      </w:pPr>
      <w:r w:rsidRPr="00303F77">
        <w:rPr>
          <w:i/>
          <w:lang w:val="en-US"/>
        </w:rPr>
        <w:t>Control</w:t>
      </w:r>
      <w:r w:rsidRPr="00303F77">
        <w:rPr>
          <w:i/>
          <w:spacing w:val="-8"/>
          <w:lang w:val="en-US"/>
        </w:rPr>
        <w:t xml:space="preserve"> </w:t>
      </w:r>
      <w:r w:rsidRPr="00303F77">
        <w:rPr>
          <w:i/>
          <w:lang w:val="en-US"/>
        </w:rPr>
        <w:t>of</w:t>
      </w:r>
      <w:r w:rsidRPr="00303F77">
        <w:rPr>
          <w:i/>
          <w:spacing w:val="-5"/>
          <w:lang w:val="en-US"/>
        </w:rPr>
        <w:t xml:space="preserve"> </w:t>
      </w:r>
      <w:r w:rsidRPr="00303F77">
        <w:rPr>
          <w:i/>
          <w:lang w:val="en-US"/>
        </w:rPr>
        <w:t>Well</w:t>
      </w:r>
      <w:r w:rsidRPr="00303F77">
        <w:rPr>
          <w:i/>
          <w:spacing w:val="-7"/>
          <w:lang w:val="en-US"/>
        </w:rPr>
        <w:t xml:space="preserve"> </w:t>
      </w:r>
      <w:r w:rsidRPr="00303F77">
        <w:rPr>
          <w:i/>
          <w:lang w:val="en-US"/>
        </w:rPr>
        <w:t>(COW)</w:t>
      </w:r>
      <w:r w:rsidRPr="00303F77">
        <w:rPr>
          <w:i/>
          <w:spacing w:val="-5"/>
          <w:lang w:val="en-US"/>
        </w:rPr>
        <w:t xml:space="preserve"> </w:t>
      </w:r>
      <w:r w:rsidRPr="00303F77">
        <w:rPr>
          <w:i/>
          <w:lang w:val="en-US"/>
        </w:rPr>
        <w:t>-</w:t>
      </w:r>
      <w:r w:rsidRPr="00303F77">
        <w:rPr>
          <w:i/>
          <w:spacing w:val="-4"/>
          <w:lang w:val="en-US"/>
        </w:rPr>
        <w:t xml:space="preserve"> </w:t>
      </w:r>
      <w:r w:rsidRPr="00303F77">
        <w:rPr>
          <w:i/>
          <w:lang w:val="en-US"/>
        </w:rPr>
        <w:t>including</w:t>
      </w:r>
      <w:r w:rsidRPr="00303F77">
        <w:rPr>
          <w:i/>
          <w:spacing w:val="-2"/>
          <w:lang w:val="en-US"/>
        </w:rPr>
        <w:t xml:space="preserve"> </w:t>
      </w:r>
      <w:r w:rsidRPr="00303F77">
        <w:rPr>
          <w:i/>
          <w:lang w:val="en-US"/>
        </w:rPr>
        <w:t>seepage</w:t>
      </w:r>
      <w:r w:rsidRPr="00303F77">
        <w:rPr>
          <w:i/>
          <w:spacing w:val="-3"/>
          <w:lang w:val="en-US"/>
        </w:rPr>
        <w:t xml:space="preserve"> </w:t>
      </w:r>
      <w:r w:rsidRPr="00303F77">
        <w:rPr>
          <w:i/>
          <w:lang w:val="en-US"/>
        </w:rPr>
        <w:t>and</w:t>
      </w:r>
      <w:r w:rsidRPr="00303F77">
        <w:rPr>
          <w:i/>
          <w:spacing w:val="-6"/>
          <w:lang w:val="en-US"/>
        </w:rPr>
        <w:t xml:space="preserve"> </w:t>
      </w:r>
      <w:r w:rsidRPr="00303F77">
        <w:rPr>
          <w:i/>
          <w:spacing w:val="-2"/>
          <w:lang w:val="en-US"/>
        </w:rPr>
        <w:t>pollution</w:t>
      </w:r>
    </w:p>
    <w:p w:rsidR="00303F77" w:rsidRDefault="00303F77" w:rsidP="00303F77">
      <w:pPr>
        <w:pStyle w:val="Brdtekst"/>
        <w:spacing w:before="53" w:line="292" w:lineRule="auto"/>
        <w:ind w:left="631" w:right="2523"/>
      </w:pPr>
      <w:r>
        <w:t>Coverage: Normal coverage in Denmark is a minimum of DKK 3</w:t>
      </w:r>
      <w:r w:rsidRPr="00865F9C">
        <w:t>5</w:t>
      </w:r>
      <w:r>
        <w:t>0.000.000 (100% interest) per occurrence - including underground blow out. If three times all cost relating to drilling and testing any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covered year exceeds DKK 3</w:t>
      </w:r>
      <w:r w:rsidRPr="00865F9C">
        <w:t>5</w:t>
      </w:r>
      <w:r>
        <w:t>0.000.000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coverage should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 be</w:t>
      </w:r>
      <w:r>
        <w:rPr>
          <w:spacing w:val="-5"/>
        </w:rPr>
        <w:t xml:space="preserve"> </w:t>
      </w:r>
      <w:r>
        <w:t>increased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for that well.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drilling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expensive</w:t>
      </w:r>
      <w:r>
        <w:rPr>
          <w:spacing w:val="-1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shall be as stated in the budget for the license, approved in accordance with the JOA.</w:t>
      </w:r>
    </w:p>
    <w:p w:rsidR="00303F77" w:rsidRDefault="00303F77" w:rsidP="00303F77">
      <w:pPr>
        <w:pStyle w:val="Brdtekst"/>
        <w:spacing w:before="6"/>
        <w:rPr>
          <w:sz w:val="19"/>
        </w:rPr>
      </w:pPr>
    </w:p>
    <w:tbl>
      <w:tblPr>
        <w:tblStyle w:val="TableNormal"/>
        <w:tblW w:w="8824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389"/>
        <w:gridCol w:w="1389"/>
        <w:gridCol w:w="1389"/>
        <w:gridCol w:w="1389"/>
        <w:gridCol w:w="1390"/>
      </w:tblGrid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Operator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licensee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 w:rsidRPr="00CB2064">
              <w:rPr>
                <w:sz w:val="20"/>
              </w:rPr>
              <w:t>Max coverage per damage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 w:rsidRPr="00CB2064">
              <w:rPr>
                <w:sz w:val="20"/>
              </w:rPr>
              <w:t>Max sum insured per year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Retention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6"/>
                <w:sz w:val="20"/>
              </w:rPr>
              <w:t xml:space="preserve"> DKK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OEE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 w:rsidRPr="00CB2064">
              <w:rPr>
                <w:sz w:val="20"/>
              </w:rPr>
              <w:t>Insurance company</w:t>
            </w:r>
          </w:p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I</w:t>
            </w:r>
            <w:r w:rsidRPr="00CB2064">
              <w:rPr>
                <w:sz w:val="20"/>
              </w:rPr>
              <w:t>nsurance company</w:t>
            </w:r>
            <w:r>
              <w:rPr>
                <w:sz w:val="20"/>
              </w:rPr>
              <w:t xml:space="preserve"> r</w:t>
            </w:r>
            <w:r w:rsidRPr="00CB2064">
              <w:rPr>
                <w:sz w:val="20"/>
              </w:rPr>
              <w:t>ating</w:t>
            </w:r>
            <w:r w:rsidDel="00CB2064">
              <w:rPr>
                <w:sz w:val="20"/>
              </w:rPr>
              <w:t xml:space="preserve"> </w:t>
            </w: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0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3F77" w:rsidRDefault="00303F77" w:rsidP="00303F77">
      <w:pPr>
        <w:rPr>
          <w:rFonts w:ascii="Times New Roman"/>
        </w:rPr>
        <w:sectPr w:rsidR="00303F77" w:rsidSect="008F28A5">
          <w:headerReference w:type="default" r:id="rId7"/>
          <w:footerReference w:type="default" r:id="rId8"/>
          <w:pgSz w:w="11910" w:h="16840"/>
          <w:pgMar w:top="2000" w:right="740" w:bottom="920" w:left="900" w:header="461" w:footer="732" w:gutter="0"/>
          <w:cols w:space="708"/>
        </w:sectPr>
      </w:pPr>
    </w:p>
    <w:p w:rsidR="00303F77" w:rsidRDefault="00303F77" w:rsidP="00303F77">
      <w:pPr>
        <w:pStyle w:val="Overskrift3"/>
        <w:spacing w:before="92" w:line="292" w:lineRule="auto"/>
        <w:ind w:right="2523"/>
      </w:pPr>
      <w:r>
        <w:lastRenderedPageBreak/>
        <w:t>Third Party Liability (TPL) regarding exploration (seismic and drilling), development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decommissioning</w:t>
      </w:r>
      <w:r>
        <w:rPr>
          <w:spacing w:val="-6"/>
        </w:rPr>
        <w:t xml:space="preserve"> </w:t>
      </w:r>
      <w:r>
        <w:t>offshore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onshore</w:t>
      </w:r>
    </w:p>
    <w:p w:rsidR="00303F77" w:rsidRDefault="00303F77" w:rsidP="00303F77">
      <w:pPr>
        <w:pStyle w:val="Brdtekst"/>
        <w:spacing w:before="6"/>
        <w:rPr>
          <w:b/>
          <w:sz w:val="24"/>
        </w:rPr>
      </w:pPr>
    </w:p>
    <w:p w:rsidR="00303F77" w:rsidRDefault="00303F77" w:rsidP="00303F77">
      <w:pPr>
        <w:pStyle w:val="Brdtekst"/>
        <w:ind w:left="631"/>
      </w:pPr>
      <w:r>
        <w:rPr>
          <w:u w:val="single"/>
        </w:rPr>
        <w:t>Offshore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activities</w:t>
      </w:r>
    </w:p>
    <w:p w:rsidR="00303F77" w:rsidRDefault="00303F77" w:rsidP="00303F77">
      <w:pPr>
        <w:pStyle w:val="Brdtekst"/>
        <w:spacing w:before="51" w:line="292" w:lineRule="auto"/>
        <w:ind w:left="631" w:right="2523"/>
      </w:pPr>
      <w:r>
        <w:t>Coverage:</w:t>
      </w:r>
      <w:r>
        <w:rPr>
          <w:spacing w:val="-5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1.</w:t>
      </w:r>
      <w:r w:rsidRPr="00865F9C">
        <w:t>2</w:t>
      </w:r>
      <w:r>
        <w:t>00.000.000</w:t>
      </w:r>
      <w:r>
        <w:rPr>
          <w:spacing w:val="-5"/>
        </w:rPr>
        <w:t xml:space="preserve"> </w:t>
      </w:r>
      <w:r>
        <w:t>DKK</w:t>
      </w:r>
      <w:r>
        <w:rPr>
          <w:spacing w:val="-5"/>
        </w:rPr>
        <w:t xml:space="preserve"> </w:t>
      </w:r>
      <w:r>
        <w:t>(100%</w:t>
      </w:r>
      <w:r>
        <w:rPr>
          <w:spacing w:val="-5"/>
        </w:rPr>
        <w:t xml:space="preserve"> </w:t>
      </w:r>
      <w:r>
        <w:t>interest)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occurrence for oil fields. Minimum limit for condensate/dry gas DKK 220.000.000 (100% interest per occurrence).</w:t>
      </w:r>
    </w:p>
    <w:p w:rsidR="00303F77" w:rsidRDefault="00303F77" w:rsidP="00303F77">
      <w:pPr>
        <w:pStyle w:val="Brdtekst"/>
        <w:rPr>
          <w:sz w:val="24"/>
        </w:rPr>
      </w:pPr>
    </w:p>
    <w:p w:rsidR="00303F77" w:rsidRDefault="00303F77" w:rsidP="00303F77">
      <w:pPr>
        <w:pStyle w:val="Brdtekst"/>
        <w:ind w:left="631"/>
      </w:pPr>
      <w:r>
        <w:rPr>
          <w:u w:val="single"/>
        </w:rPr>
        <w:t>Onshore</w:t>
      </w:r>
      <w:r>
        <w:rPr>
          <w:spacing w:val="-8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Geothermal:</w:t>
      </w:r>
    </w:p>
    <w:p w:rsidR="00303F77" w:rsidRDefault="00303F77" w:rsidP="00303F77">
      <w:pPr>
        <w:pStyle w:val="Brdtekst"/>
        <w:spacing w:before="51"/>
        <w:ind w:left="631"/>
        <w:rPr>
          <w:spacing w:val="-2"/>
        </w:rPr>
      </w:pPr>
      <w:r w:rsidRPr="00DA1827">
        <w:t>Minimum</w:t>
      </w:r>
      <w:r w:rsidRPr="00DA1827">
        <w:rPr>
          <w:spacing w:val="-4"/>
        </w:rPr>
        <w:t xml:space="preserve"> </w:t>
      </w:r>
      <w:r w:rsidRPr="00DA1827">
        <w:t>limit</w:t>
      </w:r>
      <w:r w:rsidRPr="00DA1827">
        <w:rPr>
          <w:spacing w:val="-8"/>
        </w:rPr>
        <w:t xml:space="preserve"> </w:t>
      </w:r>
      <w:r w:rsidRPr="00CB2064">
        <w:t>of</w:t>
      </w:r>
      <w:r w:rsidRPr="009650EC">
        <w:rPr>
          <w:spacing w:val="-5"/>
        </w:rPr>
        <w:t xml:space="preserve"> </w:t>
      </w:r>
      <w:r w:rsidRPr="009650EC">
        <w:t>DKK</w:t>
      </w:r>
      <w:r>
        <w:t xml:space="preserve"> 220.</w:t>
      </w:r>
      <w:r w:rsidRPr="00DA1827">
        <w:t>000</w:t>
      </w:r>
      <w:r>
        <w:t>.</w:t>
      </w:r>
      <w:r w:rsidRPr="00DA1827">
        <w:t>000</w:t>
      </w:r>
      <w:r w:rsidRPr="00DA1827">
        <w:rPr>
          <w:spacing w:val="-7"/>
        </w:rPr>
        <w:t xml:space="preserve"> </w:t>
      </w:r>
      <w:r w:rsidRPr="00DA1827">
        <w:t>(100%</w:t>
      </w:r>
      <w:r w:rsidRPr="00CB2064">
        <w:rPr>
          <w:spacing w:val="-3"/>
        </w:rPr>
        <w:t xml:space="preserve"> </w:t>
      </w:r>
      <w:r w:rsidRPr="009650EC">
        <w:t>interest</w:t>
      </w:r>
      <w:r w:rsidRPr="009650EC">
        <w:rPr>
          <w:spacing w:val="-8"/>
        </w:rPr>
        <w:t xml:space="preserve"> </w:t>
      </w:r>
      <w:r w:rsidRPr="009650EC">
        <w:t>per</w:t>
      </w:r>
      <w:r w:rsidRPr="009650EC">
        <w:rPr>
          <w:spacing w:val="-4"/>
        </w:rPr>
        <w:t xml:space="preserve"> </w:t>
      </w:r>
      <w:r w:rsidRPr="009650EC">
        <w:rPr>
          <w:spacing w:val="-2"/>
        </w:rPr>
        <w:t>occurrence).</w:t>
      </w:r>
    </w:p>
    <w:p w:rsidR="00303F77" w:rsidRDefault="00303F77" w:rsidP="00303F77">
      <w:pPr>
        <w:pStyle w:val="Brdtekst"/>
        <w:spacing w:before="51"/>
        <w:ind w:left="631"/>
      </w:pPr>
    </w:p>
    <w:tbl>
      <w:tblPr>
        <w:tblStyle w:val="TableNormal"/>
        <w:tblW w:w="8824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389"/>
        <w:gridCol w:w="1389"/>
        <w:gridCol w:w="1389"/>
        <w:gridCol w:w="1389"/>
        <w:gridCol w:w="1390"/>
      </w:tblGrid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Operator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licensee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 w:rsidRPr="00CB2064">
              <w:rPr>
                <w:sz w:val="20"/>
              </w:rPr>
              <w:t>Max coverage per damage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 w:rsidRPr="00CB2064">
              <w:rPr>
                <w:sz w:val="20"/>
              </w:rPr>
              <w:t>Max sum insured per year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Retention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DKK)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OEE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 w:rsidRPr="00CB2064">
              <w:rPr>
                <w:sz w:val="20"/>
              </w:rPr>
              <w:t>Insurance company</w:t>
            </w:r>
            <w:r>
              <w:rPr>
                <w:sz w:val="20"/>
              </w:rPr>
              <w:t xml:space="preserve"> name</w:t>
            </w: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I</w:t>
            </w:r>
            <w:r w:rsidRPr="00CB2064">
              <w:rPr>
                <w:sz w:val="20"/>
              </w:rPr>
              <w:t>nsurance company</w:t>
            </w:r>
            <w:r>
              <w:rPr>
                <w:sz w:val="20"/>
              </w:rPr>
              <w:t xml:space="preserve"> r</w:t>
            </w:r>
            <w:r w:rsidRPr="00CB2064">
              <w:rPr>
                <w:sz w:val="20"/>
              </w:rPr>
              <w:t>ating</w:t>
            </w: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0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3F77" w:rsidRDefault="00303F77" w:rsidP="00303F77">
      <w:pPr>
        <w:pStyle w:val="Brdtekst"/>
        <w:spacing w:before="1"/>
        <w:rPr>
          <w:sz w:val="28"/>
        </w:rPr>
      </w:pPr>
    </w:p>
    <w:p w:rsidR="00303F77" w:rsidRDefault="00303F77" w:rsidP="00303F77">
      <w:pPr>
        <w:pStyle w:val="Overskrift3"/>
        <w:spacing w:before="1" w:line="292" w:lineRule="auto"/>
        <w:ind w:right="2523"/>
      </w:pPr>
      <w:r>
        <w:t>Removal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Wreck</w:t>
      </w:r>
      <w:r>
        <w:rPr>
          <w:spacing w:val="-6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exploration</w:t>
      </w:r>
      <w:r>
        <w:rPr>
          <w:spacing w:val="-5"/>
        </w:rPr>
        <w:t xml:space="preserve"> </w:t>
      </w:r>
      <w:r>
        <w:t>(with</w:t>
      </w:r>
      <w:r>
        <w:rPr>
          <w:spacing w:val="-4"/>
        </w:rPr>
        <w:t xml:space="preserve"> </w:t>
      </w:r>
      <w:r>
        <w:t>drilling),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 production and decommissioning offshore</w:t>
      </w:r>
      <w:bookmarkStart w:id="0" w:name="_GoBack"/>
      <w:bookmarkEnd w:id="0"/>
    </w:p>
    <w:p w:rsidR="00303F77" w:rsidRDefault="00303F77" w:rsidP="00303F77">
      <w:pPr>
        <w:pStyle w:val="Brdtekst"/>
        <w:spacing w:before="2"/>
        <w:ind w:left="631"/>
        <w:rPr>
          <w:spacing w:val="-2"/>
        </w:rPr>
      </w:pPr>
      <w:r>
        <w:t>Coverage:</w:t>
      </w:r>
      <w:r>
        <w:rPr>
          <w:spacing w:val="-6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asset</w:t>
      </w:r>
      <w:r>
        <w:rPr>
          <w:spacing w:val="-5"/>
        </w:rPr>
        <w:t xml:space="preserve"> </w:t>
      </w:r>
      <w:r>
        <w:t>replacement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(like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rPr>
          <w:spacing w:val="-2"/>
        </w:rPr>
        <w:t>basis).</w:t>
      </w:r>
    </w:p>
    <w:p w:rsidR="00303F77" w:rsidRDefault="00303F77" w:rsidP="00303F77">
      <w:pPr>
        <w:pStyle w:val="Brdtekst"/>
        <w:spacing w:before="2"/>
        <w:ind w:left="631"/>
        <w:rPr>
          <w:spacing w:val="-2"/>
        </w:rPr>
      </w:pPr>
    </w:p>
    <w:tbl>
      <w:tblPr>
        <w:tblStyle w:val="TableNormal"/>
        <w:tblW w:w="8824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389"/>
        <w:gridCol w:w="1389"/>
        <w:gridCol w:w="1389"/>
        <w:gridCol w:w="1389"/>
        <w:gridCol w:w="1390"/>
      </w:tblGrid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Operator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licensee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 w:rsidRPr="00CB2064">
              <w:rPr>
                <w:sz w:val="20"/>
              </w:rPr>
              <w:t>Max coverage per damage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 w:rsidRPr="00CB2064">
              <w:rPr>
                <w:sz w:val="20"/>
              </w:rPr>
              <w:t>Max sum insured per year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Retention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DKK)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OEE</w:t>
            </w: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 w:rsidRPr="00CB2064">
              <w:rPr>
                <w:sz w:val="20"/>
              </w:rPr>
              <w:t>Insurance company</w:t>
            </w:r>
          </w:p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spacing w:before="33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I</w:t>
            </w:r>
            <w:r w:rsidRPr="00CB2064">
              <w:rPr>
                <w:sz w:val="20"/>
              </w:rPr>
              <w:t>nsurance company</w:t>
            </w:r>
            <w:r>
              <w:rPr>
                <w:sz w:val="20"/>
              </w:rPr>
              <w:t xml:space="preserve"> r</w:t>
            </w:r>
            <w:r w:rsidRPr="00CB2064">
              <w:rPr>
                <w:sz w:val="20"/>
              </w:rPr>
              <w:t>ating</w:t>
            </w: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0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F77" w:rsidTr="007F734B">
        <w:trPr>
          <w:trHeight w:val="242"/>
        </w:trPr>
        <w:tc>
          <w:tcPr>
            <w:tcW w:w="1878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03F77" w:rsidRDefault="00303F77" w:rsidP="00511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3F77" w:rsidRDefault="00303F77" w:rsidP="00303F77">
      <w:pPr>
        <w:pStyle w:val="Brdtekst"/>
        <w:spacing w:before="10"/>
        <w:rPr>
          <w:sz w:val="27"/>
        </w:rPr>
      </w:pPr>
    </w:p>
    <w:p w:rsidR="00303F77" w:rsidRDefault="00303F77" w:rsidP="00303F77">
      <w:pPr>
        <w:pStyle w:val="Brdtekst"/>
        <w:spacing w:before="10"/>
        <w:rPr>
          <w:sz w:val="27"/>
        </w:rPr>
      </w:pPr>
    </w:p>
    <w:p w:rsidR="00303F77" w:rsidRDefault="00303F77" w:rsidP="00303F77">
      <w:pPr>
        <w:pStyle w:val="Overskrift3"/>
      </w:pPr>
      <w:r>
        <w:t>Other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2"/>
        </w:rPr>
        <w:t>drilling</w:t>
      </w:r>
    </w:p>
    <w:p w:rsidR="00303F77" w:rsidRDefault="00303F77" w:rsidP="00303F77">
      <w:pPr>
        <w:pStyle w:val="Brdtekst"/>
        <w:spacing w:before="56" w:line="292" w:lineRule="auto"/>
        <w:ind w:left="631" w:right="2523"/>
      </w:pPr>
      <w:r>
        <w:t>By</w:t>
      </w:r>
      <w:r>
        <w:rPr>
          <w:spacing w:val="-6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 the</w:t>
      </w:r>
      <w:r>
        <w:rPr>
          <w:spacing w:val="-4"/>
        </w:rPr>
        <w:t xml:space="preserve"> </w:t>
      </w:r>
      <w:r>
        <w:t>operator</w:t>
      </w:r>
      <w:r>
        <w:rPr>
          <w:spacing w:val="-2"/>
        </w:rPr>
        <w:t xml:space="preserve"> </w:t>
      </w:r>
      <w:r>
        <w:t>declares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other activities than drilling carry insurance coverage which is normal for the specific activity performed under the Knock-for-Knock principle.</w:t>
      </w:r>
    </w:p>
    <w:p w:rsidR="00303F77" w:rsidRDefault="00303F77" w:rsidP="00303F77">
      <w:pPr>
        <w:pStyle w:val="Brdtekst"/>
        <w:spacing w:before="1"/>
        <w:rPr>
          <w:sz w:val="24"/>
        </w:rPr>
      </w:pPr>
    </w:p>
    <w:p w:rsidR="00303F77" w:rsidRDefault="00303F77" w:rsidP="00303F77">
      <w:pPr>
        <w:pStyle w:val="Brdtekst"/>
        <w:spacing w:before="1"/>
        <w:rPr>
          <w:sz w:val="24"/>
        </w:rPr>
      </w:pPr>
    </w:p>
    <w:p w:rsidR="00303F77" w:rsidRDefault="00303F77" w:rsidP="00303F77">
      <w:pPr>
        <w:pStyle w:val="Brdtekst"/>
        <w:spacing w:before="1"/>
        <w:rPr>
          <w:sz w:val="24"/>
        </w:rPr>
      </w:pPr>
    </w:p>
    <w:p w:rsidR="00303F77" w:rsidRDefault="00303F77" w:rsidP="00303F77">
      <w:pPr>
        <w:pStyle w:val="Brdtekst"/>
        <w:ind w:left="347"/>
      </w:pPr>
      <w:r>
        <w:t>Date,</w:t>
      </w:r>
      <w:r>
        <w:rPr>
          <w:spacing w:val="-5"/>
        </w:rPr>
        <w:t xml:space="preserve"> </w:t>
      </w:r>
      <w:r>
        <w:t>stamp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signature</w:t>
      </w:r>
    </w:p>
    <w:p w:rsidR="00303F77" w:rsidRDefault="00303F77" w:rsidP="00303F77">
      <w:pPr>
        <w:pStyle w:val="Brdtekst"/>
        <w:rPr>
          <w:sz w:val="22"/>
        </w:rPr>
      </w:pPr>
    </w:p>
    <w:p w:rsidR="00303F77" w:rsidRDefault="00303F77" w:rsidP="00303F77">
      <w:pPr>
        <w:pStyle w:val="Brdtekst"/>
        <w:spacing w:before="3"/>
        <w:rPr>
          <w:sz w:val="31"/>
        </w:rPr>
      </w:pPr>
    </w:p>
    <w:p w:rsidR="00303F77" w:rsidRDefault="00303F77" w:rsidP="00303F77">
      <w:pPr>
        <w:pStyle w:val="Brdtekst"/>
        <w:spacing w:before="3"/>
        <w:rPr>
          <w:sz w:val="31"/>
        </w:rPr>
      </w:pPr>
    </w:p>
    <w:p w:rsidR="00303F77" w:rsidRDefault="00303F77" w:rsidP="00303F77">
      <w:pPr>
        <w:pStyle w:val="Brdtekst"/>
        <w:spacing w:line="288" w:lineRule="auto"/>
        <w:ind w:left="347" w:right="2523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 the Danish</w:t>
      </w:r>
      <w:r>
        <w:rPr>
          <w:spacing w:val="-3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no later</w:t>
      </w:r>
      <w:r>
        <w:rPr>
          <w:spacing w:val="-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 March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covered year.</w:t>
      </w:r>
    </w:p>
    <w:p w:rsidR="00303F77" w:rsidRDefault="00303F77" w:rsidP="00303F77">
      <w:pPr>
        <w:pStyle w:val="Overskrift3"/>
      </w:pPr>
    </w:p>
    <w:p w:rsidR="00D506D9" w:rsidRPr="00303F77" w:rsidRDefault="007F734B" w:rsidP="00517771">
      <w:pPr>
        <w:rPr>
          <w:lang w:val="en-US"/>
        </w:rPr>
      </w:pPr>
    </w:p>
    <w:sectPr w:rsidR="00D506D9" w:rsidRPr="00303F77" w:rsidSect="003C1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340" w:rsidRDefault="002D6340" w:rsidP="00152593">
      <w:pPr>
        <w:spacing w:line="240" w:lineRule="auto"/>
      </w:pPr>
      <w:r>
        <w:separator/>
      </w:r>
    </w:p>
  </w:endnote>
  <w:endnote w:type="continuationSeparator" w:id="0">
    <w:p w:rsidR="002D6340" w:rsidRDefault="002D6340" w:rsidP="00152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77" w:rsidRDefault="00303F77" w:rsidP="008F28A5">
    <w:pPr>
      <w:pStyle w:val="Brdtekst"/>
      <w:spacing w:before="12"/>
      <w:ind w:left="20"/>
    </w:pPr>
    <w:r>
      <w:t>Side</w:t>
    </w:r>
    <w:r>
      <w:rPr>
        <w:spacing w:val="-8"/>
      </w:rPr>
      <w:t xml:space="preserve"> </w:t>
    </w:r>
    <w:r>
      <w:rPr>
        <w:spacing w:val="-2"/>
      </w:rPr>
      <w:fldChar w:fldCharType="begin"/>
    </w:r>
    <w:r>
      <w:rPr>
        <w:spacing w:val="-2"/>
      </w:rPr>
      <w:instrText xml:space="preserve"> PAGE </w:instrText>
    </w:r>
    <w:r>
      <w:rPr>
        <w:spacing w:val="-2"/>
      </w:rPr>
      <w:fldChar w:fldCharType="separate"/>
    </w:r>
    <w:r w:rsidR="007F734B">
      <w:rPr>
        <w:noProof/>
        <w:spacing w:val="-2"/>
      </w:rPr>
      <w:t>1</w:t>
    </w:r>
    <w:r>
      <w:rPr>
        <w:spacing w:val="-2"/>
      </w:rPr>
      <w:fldChar w:fldCharType="end"/>
    </w:r>
    <w:r>
      <w:rPr>
        <w:spacing w:val="-2"/>
      </w:rPr>
      <w:t>/</w:t>
    </w:r>
    <w:r>
      <w:rPr>
        <w:spacing w:val="-2"/>
      </w:rPr>
      <w:fldChar w:fldCharType="begin"/>
    </w:r>
    <w:r>
      <w:rPr>
        <w:spacing w:val="-2"/>
      </w:rPr>
      <w:instrText xml:space="preserve"> NUMPAGES </w:instrText>
    </w:r>
    <w:r>
      <w:rPr>
        <w:spacing w:val="-2"/>
      </w:rPr>
      <w:fldChar w:fldCharType="separate"/>
    </w:r>
    <w:r w:rsidR="007F734B">
      <w:rPr>
        <w:noProof/>
        <w:spacing w:val="-2"/>
      </w:rPr>
      <w:t>2</w:t>
    </w:r>
    <w:r>
      <w:rPr>
        <w:spacing w:val="-2"/>
      </w:rPr>
      <w:fldChar w:fldCharType="end"/>
    </w:r>
  </w:p>
  <w:p w:rsidR="00303F77" w:rsidRPr="008F28A5" w:rsidRDefault="00303F77" w:rsidP="008F28A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3" w:rsidRDefault="0015259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3" w:rsidRDefault="00152593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3" w:rsidRDefault="0015259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340" w:rsidRDefault="002D6340" w:rsidP="00152593">
      <w:pPr>
        <w:spacing w:line="240" w:lineRule="auto"/>
      </w:pPr>
      <w:r>
        <w:separator/>
      </w:r>
    </w:p>
  </w:footnote>
  <w:footnote w:type="continuationSeparator" w:id="0">
    <w:p w:rsidR="002D6340" w:rsidRDefault="002D6340" w:rsidP="00152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77" w:rsidRDefault="00303F77">
    <w:pPr>
      <w:pStyle w:val="Brdtekst"/>
      <w:spacing w:line="14" w:lineRule="auto"/>
    </w:pPr>
    <w:r>
      <w:rPr>
        <w:noProof/>
        <w:lang w:val="da-DK" w:eastAsia="da-DK"/>
      </w:rPr>
      <w:drawing>
        <wp:anchor distT="0" distB="0" distL="0" distR="0" simplePos="0" relativeHeight="251659264" behindDoc="1" locked="0" layoutInCell="1" allowOverlap="1" wp14:anchorId="58D4245C" wp14:editId="5D83C8B8">
          <wp:simplePos x="0" y="0"/>
          <wp:positionH relativeFrom="page">
            <wp:posOffset>4870703</wp:posOffset>
          </wp:positionH>
          <wp:positionV relativeFrom="page">
            <wp:posOffset>292608</wp:posOffset>
          </wp:positionV>
          <wp:extent cx="2048255" cy="701039"/>
          <wp:effectExtent l="0" t="0" r="0" b="0"/>
          <wp:wrapNone/>
          <wp:docPr id="7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8255" cy="701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3" w:rsidRDefault="0015259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3" w:rsidRDefault="00152593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3" w:rsidRDefault="0015259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2097B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B0DA2"/>
    <w:multiLevelType w:val="multilevel"/>
    <w:tmpl w:val="71286C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FF5D59"/>
    <w:multiLevelType w:val="hybridMultilevel"/>
    <w:tmpl w:val="BAA60820"/>
    <w:lvl w:ilvl="0" w:tplc="BD74BA9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204119B"/>
    <w:multiLevelType w:val="hybridMultilevel"/>
    <w:tmpl w:val="140C92D2"/>
    <w:lvl w:ilvl="0" w:tplc="BD74BA9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B0A36C0"/>
    <w:multiLevelType w:val="multilevel"/>
    <w:tmpl w:val="D448506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CC169C9"/>
    <w:multiLevelType w:val="hybridMultilevel"/>
    <w:tmpl w:val="48B81D72"/>
    <w:lvl w:ilvl="0" w:tplc="F3B89776">
      <w:start w:val="1"/>
      <w:numFmt w:val="decimal"/>
      <w:lvlText w:val="%1)"/>
      <w:lvlJc w:val="left"/>
      <w:pPr>
        <w:ind w:left="798" w:hanging="361"/>
      </w:pPr>
      <w:rPr>
        <w:rFonts w:hint="default"/>
        <w:spacing w:val="-1"/>
        <w:w w:val="99"/>
        <w:lang w:eastAsia="en-US" w:bidi="ar-SA"/>
      </w:rPr>
    </w:lvl>
    <w:lvl w:ilvl="1" w:tplc="1B304F2C">
      <w:numFmt w:val="bullet"/>
      <w:lvlText w:val="•"/>
      <w:lvlJc w:val="left"/>
      <w:pPr>
        <w:ind w:left="1245" w:hanging="361"/>
      </w:pPr>
      <w:rPr>
        <w:rFonts w:hint="default"/>
        <w:lang w:eastAsia="en-US" w:bidi="ar-SA"/>
      </w:rPr>
    </w:lvl>
    <w:lvl w:ilvl="2" w:tplc="9AF67FA2">
      <w:numFmt w:val="bullet"/>
      <w:lvlText w:val="•"/>
      <w:lvlJc w:val="left"/>
      <w:pPr>
        <w:ind w:left="1691" w:hanging="361"/>
      </w:pPr>
      <w:rPr>
        <w:rFonts w:hint="default"/>
        <w:lang w:eastAsia="en-US" w:bidi="ar-SA"/>
      </w:rPr>
    </w:lvl>
    <w:lvl w:ilvl="3" w:tplc="F5BA96BE">
      <w:numFmt w:val="bullet"/>
      <w:lvlText w:val="•"/>
      <w:lvlJc w:val="left"/>
      <w:pPr>
        <w:ind w:left="2136" w:hanging="361"/>
      </w:pPr>
      <w:rPr>
        <w:rFonts w:hint="default"/>
        <w:lang w:eastAsia="en-US" w:bidi="ar-SA"/>
      </w:rPr>
    </w:lvl>
    <w:lvl w:ilvl="4" w:tplc="A2701AA0">
      <w:numFmt w:val="bullet"/>
      <w:lvlText w:val="•"/>
      <w:lvlJc w:val="left"/>
      <w:pPr>
        <w:ind w:left="2582" w:hanging="361"/>
      </w:pPr>
      <w:rPr>
        <w:rFonts w:hint="default"/>
        <w:lang w:eastAsia="en-US" w:bidi="ar-SA"/>
      </w:rPr>
    </w:lvl>
    <w:lvl w:ilvl="5" w:tplc="CF30FB7E">
      <w:numFmt w:val="bullet"/>
      <w:lvlText w:val="•"/>
      <w:lvlJc w:val="left"/>
      <w:pPr>
        <w:ind w:left="3028" w:hanging="361"/>
      </w:pPr>
      <w:rPr>
        <w:rFonts w:hint="default"/>
        <w:lang w:eastAsia="en-US" w:bidi="ar-SA"/>
      </w:rPr>
    </w:lvl>
    <w:lvl w:ilvl="6" w:tplc="99A03A2C">
      <w:numFmt w:val="bullet"/>
      <w:lvlText w:val="•"/>
      <w:lvlJc w:val="left"/>
      <w:pPr>
        <w:ind w:left="3473" w:hanging="361"/>
      </w:pPr>
      <w:rPr>
        <w:rFonts w:hint="default"/>
        <w:lang w:eastAsia="en-US" w:bidi="ar-SA"/>
      </w:rPr>
    </w:lvl>
    <w:lvl w:ilvl="7" w:tplc="18DADF40">
      <w:numFmt w:val="bullet"/>
      <w:lvlText w:val="•"/>
      <w:lvlJc w:val="left"/>
      <w:pPr>
        <w:ind w:left="3919" w:hanging="361"/>
      </w:pPr>
      <w:rPr>
        <w:rFonts w:hint="default"/>
        <w:lang w:eastAsia="en-US" w:bidi="ar-SA"/>
      </w:rPr>
    </w:lvl>
    <w:lvl w:ilvl="8" w:tplc="49BAECC8">
      <w:numFmt w:val="bullet"/>
      <w:lvlText w:val="•"/>
      <w:lvlJc w:val="left"/>
      <w:pPr>
        <w:ind w:left="4364" w:hanging="361"/>
      </w:pPr>
      <w:rPr>
        <w:rFonts w:hint="default"/>
        <w:lang w:eastAsia="en-US" w:bidi="ar-SA"/>
      </w:rPr>
    </w:lvl>
  </w:abstractNum>
  <w:abstractNum w:abstractNumId="6" w15:restartNumberingAfterBreak="0">
    <w:nsid w:val="7C767C44"/>
    <w:multiLevelType w:val="hybridMultilevel"/>
    <w:tmpl w:val="80607218"/>
    <w:lvl w:ilvl="0" w:tplc="D5F476A8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93"/>
    <w:rsid w:val="00152593"/>
    <w:rsid w:val="001D6655"/>
    <w:rsid w:val="001E5200"/>
    <w:rsid w:val="002406E7"/>
    <w:rsid w:val="002D6340"/>
    <w:rsid w:val="00303F77"/>
    <w:rsid w:val="003C1A48"/>
    <w:rsid w:val="00517771"/>
    <w:rsid w:val="00616B08"/>
    <w:rsid w:val="007F734B"/>
    <w:rsid w:val="009E4F37"/>
    <w:rsid w:val="00A74664"/>
    <w:rsid w:val="00AE5448"/>
    <w:rsid w:val="00DE0053"/>
    <w:rsid w:val="00F26F7D"/>
    <w:rsid w:val="00F97BBF"/>
    <w:rsid w:val="00FC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771"/>
    <w:pPr>
      <w:spacing w:after="0" w:line="280" w:lineRule="atLeast"/>
    </w:pPr>
    <w:rPr>
      <w:rFonts w:ascii="Arial" w:hAnsi="Arial"/>
      <w:sz w:val="20"/>
    </w:rPr>
  </w:style>
  <w:style w:type="paragraph" w:styleId="Overskrift3">
    <w:name w:val="heading 3"/>
    <w:basedOn w:val="Normal"/>
    <w:link w:val="Overskrift3Tegn"/>
    <w:uiPriority w:val="1"/>
    <w:qFormat/>
    <w:rsid w:val="00303F77"/>
    <w:pPr>
      <w:widowControl w:val="0"/>
      <w:autoSpaceDE w:val="0"/>
      <w:autoSpaceDN w:val="0"/>
      <w:spacing w:line="240" w:lineRule="auto"/>
      <w:ind w:left="107"/>
      <w:outlineLvl w:val="2"/>
    </w:pPr>
    <w:rPr>
      <w:rFonts w:eastAsia="Arial" w:cs="Arial"/>
      <w:b/>
      <w:bCs/>
      <w:szCs w:val="20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52593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152593"/>
  </w:style>
  <w:style w:type="paragraph" w:styleId="Sidefod">
    <w:name w:val="footer"/>
    <w:basedOn w:val="Normal"/>
    <w:link w:val="SidefodTegn"/>
    <w:uiPriority w:val="99"/>
    <w:unhideWhenUsed/>
    <w:rsid w:val="00152593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152593"/>
  </w:style>
  <w:style w:type="paragraph" w:styleId="Listeafsnit">
    <w:name w:val="List Paragraph"/>
    <w:basedOn w:val="Normal"/>
    <w:uiPriority w:val="34"/>
    <w:qFormat/>
    <w:rsid w:val="001E520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Opstilling-punkttegn">
    <w:name w:val="List Bullet"/>
    <w:basedOn w:val="Normal"/>
    <w:uiPriority w:val="99"/>
    <w:semiHidden/>
    <w:unhideWhenUsed/>
    <w:rsid w:val="00F97BBF"/>
    <w:pPr>
      <w:numPr>
        <w:numId w:val="4"/>
      </w:numPr>
      <w:spacing w:after="200" w:line="276" w:lineRule="auto"/>
      <w:contextualSpacing/>
    </w:pPr>
    <w:rPr>
      <w:rFonts w:asciiTheme="minorHAnsi" w:hAnsiTheme="minorHAnsi"/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1A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1A4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1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1"/>
    <w:rsid w:val="00303F77"/>
    <w:rPr>
      <w:rFonts w:ascii="Arial" w:eastAsia="Arial" w:hAnsi="Arial" w:cs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303F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303F77"/>
    <w:pPr>
      <w:widowControl w:val="0"/>
      <w:autoSpaceDE w:val="0"/>
      <w:autoSpaceDN w:val="0"/>
      <w:spacing w:line="240" w:lineRule="auto"/>
    </w:pPr>
    <w:rPr>
      <w:rFonts w:eastAsia="Arial" w:cs="Arial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303F77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03F77"/>
    <w:pPr>
      <w:widowControl w:val="0"/>
      <w:autoSpaceDE w:val="0"/>
      <w:autoSpaceDN w:val="0"/>
      <w:spacing w:line="240" w:lineRule="auto"/>
      <w:ind w:left="78"/>
    </w:pPr>
    <w:rPr>
      <w:rFonts w:eastAsia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85390FD2-5F41-459D-8009-43C3810ACAD2}"/>
</file>

<file path=customXml/itemProps2.xml><?xml version="1.0" encoding="utf-8"?>
<ds:datastoreItem xmlns:ds="http://schemas.openxmlformats.org/officeDocument/2006/customXml" ds:itemID="{5651BD4B-BF65-45F3-BBB2-34D963CE93BF}"/>
</file>

<file path=customXml/itemProps3.xml><?xml version="1.0" encoding="utf-8"?>
<ds:datastoreItem xmlns:ds="http://schemas.openxmlformats.org/officeDocument/2006/customXml" ds:itemID="{01C82A93-D7CE-4821-B527-D4C584CADB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2018-09-05T13:53:00Z</dcterms:created>
  <dcterms:modified xsi:type="dcterms:W3CDTF">2022-11-30T09:10:00Z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