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F9E4" w14:textId="4E1012C4" w:rsidR="00504051" w:rsidRPr="00504051" w:rsidRDefault="00504051">
      <w:pPr>
        <w:rPr>
          <w:b/>
          <w:bCs/>
          <w:sz w:val="28"/>
          <w:szCs w:val="28"/>
        </w:rPr>
      </w:pPr>
      <w:r w:rsidRPr="00504051">
        <w:rPr>
          <w:b/>
          <w:bCs/>
          <w:sz w:val="28"/>
          <w:szCs w:val="28"/>
        </w:rPr>
        <w:t>Introduktion</w:t>
      </w:r>
      <w:r w:rsidR="008111DA">
        <w:rPr>
          <w:b/>
          <w:bCs/>
          <w:sz w:val="28"/>
          <w:szCs w:val="28"/>
        </w:rPr>
        <w:t xml:space="preserve"> bilag </w:t>
      </w:r>
      <w:proofErr w:type="spellStart"/>
      <w:r w:rsidR="008111DA">
        <w:rPr>
          <w:b/>
          <w:bCs/>
          <w:sz w:val="28"/>
          <w:szCs w:val="28"/>
        </w:rPr>
        <w:t>Xa</w:t>
      </w:r>
      <w:proofErr w:type="spellEnd"/>
      <w:r w:rsidR="008111DA">
        <w:rPr>
          <w:b/>
          <w:bCs/>
          <w:sz w:val="28"/>
          <w:szCs w:val="28"/>
        </w:rPr>
        <w:t xml:space="preserve"> og </w:t>
      </w:r>
      <w:proofErr w:type="spellStart"/>
      <w:r w:rsidR="008111DA">
        <w:rPr>
          <w:b/>
          <w:bCs/>
          <w:sz w:val="28"/>
          <w:szCs w:val="28"/>
        </w:rPr>
        <w:t>Xb</w:t>
      </w:r>
      <w:proofErr w:type="spellEnd"/>
    </w:p>
    <w:p w14:paraId="4509A1D9" w14:textId="69D5408D" w:rsidR="00314D98" w:rsidRDefault="00314D98">
      <w:r>
        <w:t xml:space="preserve">EU </w:t>
      </w:r>
      <w:proofErr w:type="spellStart"/>
      <w:r>
        <w:t>ETS’s</w:t>
      </w:r>
      <w:proofErr w:type="spellEnd"/>
      <w:r>
        <w:t xml:space="preserve"> udvidelse med ETS2 (vejtransport, </w:t>
      </w:r>
      <w:r w:rsidR="000C64DD">
        <w:t>bygninger</w:t>
      </w:r>
      <w:r>
        <w:t xml:space="preserve"> og anden industri</w:t>
      </w:r>
      <w:r w:rsidR="000C64DD">
        <w:t>) har medført</w:t>
      </w:r>
      <w:r w:rsidR="00B96506">
        <w:t xml:space="preserve"> </w:t>
      </w:r>
      <w:r>
        <w:t xml:space="preserve">intensiveret fokus på at forhindre dobbelttælling </w:t>
      </w:r>
      <w:r w:rsidR="00B96506">
        <w:t>ved</w:t>
      </w:r>
      <w:r>
        <w:t xml:space="preserve"> anvendelse af brændsel</w:t>
      </w:r>
      <w:r w:rsidR="00217663">
        <w:t xml:space="preserve">. </w:t>
      </w:r>
      <w:r w:rsidR="00B96506">
        <w:t>Dobbelttælling kan forekomme, hvis en ETS2 reguleret enhed videregiver omkostningerne ved at være omfattet ETS2 til en potentiel ETS1</w:t>
      </w:r>
      <w:r w:rsidR="000C64DD">
        <w:t xml:space="preserve"> (stationære anlæg)</w:t>
      </w:r>
      <w:r w:rsidR="00B96506">
        <w:t xml:space="preserve"> slutbruger af brændslet, som årligt indrapporterer den forbrugte mængde brændsel. Derved </w:t>
      </w:r>
      <w:r w:rsidR="001D1CDF">
        <w:t>kan de</w:t>
      </w:r>
      <w:r w:rsidR="000C64DD">
        <w:t>t</w:t>
      </w:r>
      <w:r w:rsidR="001D1CDF">
        <w:t xml:space="preserve"> risikeres, at</w:t>
      </w:r>
      <w:r w:rsidR="00B96506">
        <w:t xml:space="preserve"> der afregnes kvoter to gange</w:t>
      </w:r>
      <w:r w:rsidR="000C64DD">
        <w:t>, dvs. både under ETS1 og ETS2,</w:t>
      </w:r>
      <w:r w:rsidR="00B96506">
        <w:t xml:space="preserve"> for samme brændsel</w:t>
      </w:r>
      <w:r w:rsidR="001D1CDF">
        <w:t>, hvilket skal forhindres</w:t>
      </w:r>
      <w:r w:rsidR="00B96506">
        <w:t>.</w:t>
      </w:r>
    </w:p>
    <w:p w14:paraId="1E287FA7" w14:textId="0AA4F4C1" w:rsidR="00B96506" w:rsidRDefault="00B96506">
      <w:r>
        <w:t>Den 1. juli 2024 blev en ny revision af MR-forordningen gældende</w:t>
      </w:r>
      <w:r w:rsidR="009D4AA1">
        <w:t xml:space="preserve"> og udvidet med et</w:t>
      </w:r>
      <w:r>
        <w:t xml:space="preserve"> bilag </w:t>
      </w:r>
      <w:proofErr w:type="spellStart"/>
      <w:r>
        <w:t>Xa</w:t>
      </w:r>
      <w:proofErr w:type="spellEnd"/>
      <w:r>
        <w:t xml:space="preserve"> og </w:t>
      </w:r>
      <w:proofErr w:type="spellStart"/>
      <w:r>
        <w:t>Xb</w:t>
      </w:r>
      <w:proofErr w:type="spellEnd"/>
      <w:r>
        <w:t xml:space="preserve"> for netop at forhindre denne dobbelttællin</w:t>
      </w:r>
      <w:r w:rsidR="009D4AA1">
        <w:t>g. Denne udvidelse skulle skabe en stærkere relation mellem ETS1 og ETS2 omfattede enheder, idet der videregives information om forbrug af brændsel og frigivet brændsel mellem enhederne. ETS1 operatører skal udfylde relevante afsnit i overvågningsplan</w:t>
      </w:r>
      <w:r w:rsidR="000C64DD">
        <w:t>en</w:t>
      </w:r>
      <w:r w:rsidR="009D4AA1">
        <w:t xml:space="preserve"> og udledningsrapport</w:t>
      </w:r>
      <w:r w:rsidR="000C64DD">
        <w:t>en</w:t>
      </w:r>
      <w:r w:rsidR="009D4AA1">
        <w:t xml:space="preserve"> i ETS Reporting Tool (ERT) omhandlende bilag </w:t>
      </w:r>
      <w:proofErr w:type="spellStart"/>
      <w:r w:rsidR="009D4AA1">
        <w:t>Xa</w:t>
      </w:r>
      <w:proofErr w:type="spellEnd"/>
      <w:r w:rsidR="009D4AA1">
        <w:t xml:space="preserve"> og ETS2 regulere</w:t>
      </w:r>
      <w:r w:rsidR="001D1CDF">
        <w:t>de</w:t>
      </w:r>
      <w:r w:rsidR="009D4AA1">
        <w:t xml:space="preserve"> enheder skal udfylde bilag </w:t>
      </w:r>
      <w:proofErr w:type="spellStart"/>
      <w:r w:rsidR="009D4AA1">
        <w:t>Xb</w:t>
      </w:r>
      <w:proofErr w:type="spellEnd"/>
      <w:r w:rsidR="009D4AA1">
        <w:t>-relevante afsnit.</w:t>
      </w:r>
    </w:p>
    <w:p w14:paraId="376D66D5" w14:textId="4A16DDDE" w:rsidR="001D1CDF" w:rsidRDefault="001D1CDF">
      <w:r>
        <w:t xml:space="preserve">Udfyldelse af bilag </w:t>
      </w:r>
      <w:proofErr w:type="spellStart"/>
      <w:r>
        <w:t>Xa</w:t>
      </w:r>
      <w:proofErr w:type="spellEnd"/>
      <w:r>
        <w:t xml:space="preserve"> og </w:t>
      </w:r>
      <w:proofErr w:type="spellStart"/>
      <w:r>
        <w:t>Xb</w:t>
      </w:r>
      <w:proofErr w:type="spellEnd"/>
      <w:r>
        <w:t xml:space="preserve"> skal udføres for rapporteringsåret 2025</w:t>
      </w:r>
      <w:r w:rsidR="00E54557">
        <w:t xml:space="preserve"> og efterfølgende</w:t>
      </w:r>
      <w:r w:rsidR="0093157C">
        <w:t xml:space="preserve">, </w:t>
      </w:r>
      <w:r w:rsidR="00E54557">
        <w:t>og</w:t>
      </w:r>
      <w:r w:rsidR="0093157C">
        <w:t xml:space="preserve"> skal verificeres </w:t>
      </w:r>
      <w:r w:rsidR="000C64DD">
        <w:t>for d</w:t>
      </w:r>
      <w:r w:rsidR="00E54557">
        <w:t>iss</w:t>
      </w:r>
      <w:r w:rsidR="000C64DD">
        <w:t>e år.</w:t>
      </w:r>
    </w:p>
    <w:p w14:paraId="289D0928" w14:textId="14BC1839" w:rsidR="00314D98" w:rsidRPr="00504051" w:rsidRDefault="00504051">
      <w:pPr>
        <w:rPr>
          <w:b/>
          <w:bCs/>
          <w:sz w:val="28"/>
          <w:szCs w:val="28"/>
        </w:rPr>
      </w:pPr>
      <w:r w:rsidRPr="00504051">
        <w:rPr>
          <w:b/>
          <w:bCs/>
          <w:sz w:val="28"/>
          <w:szCs w:val="28"/>
        </w:rPr>
        <w:t>ETS</w:t>
      </w:r>
      <w:r w:rsidR="00495BAD">
        <w:rPr>
          <w:b/>
          <w:bCs/>
          <w:sz w:val="28"/>
          <w:szCs w:val="28"/>
        </w:rPr>
        <w:t>2</w:t>
      </w:r>
      <w:r w:rsidRPr="00504051">
        <w:rPr>
          <w:b/>
          <w:bCs/>
          <w:sz w:val="28"/>
          <w:szCs w:val="28"/>
        </w:rPr>
        <w:t>-</w:t>
      </w:r>
      <w:r w:rsidR="00495BAD">
        <w:rPr>
          <w:b/>
          <w:bCs/>
          <w:sz w:val="28"/>
          <w:szCs w:val="28"/>
        </w:rPr>
        <w:t>Brændstof operatører</w:t>
      </w:r>
    </w:p>
    <w:p w14:paraId="213349E6" w14:textId="76C6FDD3" w:rsidR="00504051" w:rsidRDefault="00154AF6">
      <w:r>
        <w:t xml:space="preserve">Indholdet af udledningsrapporten for stationære </w:t>
      </w:r>
      <w:r w:rsidR="000C64DD">
        <w:t xml:space="preserve">anlæg </w:t>
      </w:r>
      <w:r>
        <w:t xml:space="preserve">er angivet i bilag X stk. 1 i MR-forordningen. Dertil skal tilføjes oplysninger som angivet i bilag </w:t>
      </w:r>
      <w:proofErr w:type="spellStart"/>
      <w:r>
        <w:t>Xa</w:t>
      </w:r>
      <w:proofErr w:type="spellEnd"/>
      <w:r w:rsidR="00BE1BEC">
        <w:t xml:space="preserve"> i MR-forordningen</w:t>
      </w:r>
      <w:r w:rsidR="0093157C">
        <w:t xml:space="preserve"> selv om ETS1-anlægget ikke er omfattet af ETS2</w:t>
      </w:r>
      <w:r>
        <w:t>.</w:t>
      </w:r>
      <w:r w:rsidR="00BE1BEC">
        <w:t xml:space="preserve"> Rapporteringen foregår inde i ERT ved oprettelse af den årlige udledningsrapport. </w:t>
      </w:r>
      <w:r w:rsidR="0093157C">
        <w:t>O</w:t>
      </w:r>
      <w:r w:rsidR="00BE1BEC">
        <w:t xml:space="preserve">plysninger </w:t>
      </w:r>
      <w:r w:rsidR="00495BAD">
        <w:t>er herefter synlige for ETS2 operatøren, i det omfang ETS1 anlæggene har givet tilladelse hertil.</w:t>
      </w:r>
    </w:p>
    <w:p w14:paraId="067C4464" w14:textId="1A883BB2" w:rsidR="00F815DB" w:rsidRPr="00F45BF7" w:rsidRDefault="00BE1BEC" w:rsidP="00F815DB">
      <w:pPr>
        <w:rPr>
          <w:color w:val="FF0000"/>
        </w:rPr>
      </w:pPr>
      <w:r>
        <w:t>Det første</w:t>
      </w:r>
      <w:r w:rsidR="000C64DD">
        <w:t>,</w:t>
      </w:r>
      <w:r>
        <w:t xml:space="preserve"> der skal gøres inde i afsnit </w:t>
      </w:r>
      <w:r w:rsidR="00495BAD">
        <w:t>D. ETS1 mængde</w:t>
      </w:r>
      <w:r w:rsidR="005A280C">
        <w:t>,</w:t>
      </w:r>
      <w:r>
        <w:t xml:space="preserve"> er at </w:t>
      </w:r>
      <w:r w:rsidR="00495BAD">
        <w:t>identificerer ETS1 installationen, ETS1 Unik ID er P-enhedens register-ID</w:t>
      </w:r>
      <w:r w:rsidR="009141DC">
        <w:t>, typisk DK-XXXX</w:t>
      </w:r>
      <w:r w:rsidR="00495BAD">
        <w:t>. Alle kvoteomfattede virksomheder kan findes på EU-hjemmeside</w:t>
      </w:r>
      <w:r w:rsidR="001D11EB">
        <w:t>.</w:t>
      </w:r>
      <w:r w:rsidR="006350DA">
        <w:t xml:space="preserve"> </w:t>
      </w:r>
      <w:r w:rsidR="00F815DB">
        <w:t>EU offentliggør register ID for omfattede ETS1 enheder i Danmark, vælg ”</w:t>
      </w:r>
      <w:proofErr w:type="spellStart"/>
      <w:r w:rsidR="00F815DB">
        <w:t>Phase</w:t>
      </w:r>
      <w:proofErr w:type="spellEnd"/>
      <w:r w:rsidR="00F815DB">
        <w:t xml:space="preserve"> IV”</w:t>
      </w:r>
      <w:r w:rsidR="001D11EB">
        <w:t xml:space="preserve"> og sorter på DK, </w:t>
      </w:r>
      <w:r w:rsidR="00F815DB">
        <w:t xml:space="preserve">her – compliance list: </w:t>
      </w:r>
      <w:hyperlink r:id="rId5" w:anchor="fees" w:history="1">
        <w:r w:rsidR="00F815DB" w:rsidRPr="00011F87">
          <w:rPr>
            <w:rStyle w:val="Hyperlink"/>
          </w:rPr>
          <w:t xml:space="preserve">Union Registry - </w:t>
        </w:r>
        <w:proofErr w:type="spellStart"/>
        <w:r w:rsidR="00F815DB" w:rsidRPr="00011F87">
          <w:rPr>
            <w:rStyle w:val="Hyperlink"/>
          </w:rPr>
          <w:t>Climate</w:t>
        </w:r>
        <w:proofErr w:type="spellEnd"/>
        <w:r w:rsidR="00F815DB" w:rsidRPr="00011F87">
          <w:rPr>
            <w:rStyle w:val="Hyperlink"/>
          </w:rPr>
          <w:t xml:space="preserve"> Action - European </w:t>
        </w:r>
        <w:proofErr w:type="spellStart"/>
        <w:r w:rsidR="00F815DB" w:rsidRPr="00011F87">
          <w:rPr>
            <w:rStyle w:val="Hyperlink"/>
          </w:rPr>
          <w:t>Commission</w:t>
        </w:r>
        <w:proofErr w:type="spellEnd"/>
      </w:hyperlink>
    </w:p>
    <w:p w14:paraId="300B82BD" w14:textId="713BEBB0" w:rsidR="0008621F" w:rsidRDefault="00BE1BEC">
      <w:r>
        <w:t>H</w:t>
      </w:r>
      <w:r w:rsidR="006350DA">
        <w:t>er</w:t>
      </w:r>
      <w:r>
        <w:t>efter ang</w:t>
      </w:r>
      <w:r w:rsidR="006350DA">
        <w:t>i</w:t>
      </w:r>
      <w:r>
        <w:t xml:space="preserve">ves </w:t>
      </w:r>
      <w:r w:rsidR="00495BAD">
        <w:t>mængden af</w:t>
      </w:r>
      <w:r>
        <w:t xml:space="preserve"> </w:t>
      </w:r>
      <w:r w:rsidR="0008621F">
        <w:t>brændsler</w:t>
      </w:r>
      <w:r w:rsidR="00495BAD">
        <w:t xml:space="preserve"> solgt til</w:t>
      </w:r>
      <w:r w:rsidR="00CA4EB6">
        <w:t xml:space="preserve"> slutbrug i </w:t>
      </w:r>
      <w:r w:rsidR="00495BAD">
        <w:t>ETS1 og evt. oplysninger om mellemhandler</w:t>
      </w:r>
      <w:r w:rsidR="00E43CC2">
        <w:t>e</w:t>
      </w:r>
      <w:r w:rsidR="00CA4EB6">
        <w:t xml:space="preserve"> i afsnit c</w:t>
      </w:r>
      <w:r w:rsidR="00495BAD">
        <w:t>.</w:t>
      </w:r>
      <w:r w:rsidR="006350DA">
        <w:t xml:space="preserve"> Alle </w:t>
      </w:r>
      <w:r w:rsidR="0008621F">
        <w:t>brændslerne</w:t>
      </w:r>
      <w:r w:rsidR="006350DA">
        <w:t xml:space="preserve">, som </w:t>
      </w:r>
      <w:r w:rsidR="00495BAD">
        <w:t xml:space="preserve">sælges til ETS1 formål skal </w:t>
      </w:r>
      <w:r w:rsidR="006350DA">
        <w:t>fremgå her</w:t>
      </w:r>
      <w:r w:rsidR="0008621F">
        <w:t>,</w:t>
      </w:r>
      <w:r w:rsidR="006350DA">
        <w:t xml:space="preserve"> inklusiv </w:t>
      </w:r>
      <w:r w:rsidR="00E43CC2">
        <w:t xml:space="preserve">alle </w:t>
      </w:r>
      <w:r w:rsidR="006350DA">
        <w:t>biomasse</w:t>
      </w:r>
      <w:r w:rsidR="00E43CC2">
        <w:t>brændsler</w:t>
      </w:r>
      <w:r w:rsidR="006350DA">
        <w:t xml:space="preserve"> og øvrige specielle brændselstyper.</w:t>
      </w:r>
    </w:p>
    <w:p w14:paraId="409335B4" w14:textId="4C41926F" w:rsidR="002D661D" w:rsidRDefault="006350DA">
      <w:pPr>
        <w:rPr>
          <w:color w:val="FF0000"/>
        </w:rPr>
      </w:pPr>
      <w:r>
        <w:t xml:space="preserve">Under pkt. (a) skal hver </w:t>
      </w:r>
      <w:r w:rsidR="00011F87">
        <w:t xml:space="preserve">modtager </w:t>
      </w:r>
      <w:r>
        <w:t>af brændslerne angives ved at trykke på ”Tilføj”-knappen. Indsæt ”Medlemsstat” og derefter de</w:t>
      </w:r>
      <w:r w:rsidR="00011F87">
        <w:t>t</w:t>
      </w:r>
      <w:r>
        <w:t xml:space="preserve"> ETS</w:t>
      </w:r>
      <w:r w:rsidR="00011F87">
        <w:t>1</w:t>
      </w:r>
      <w:r>
        <w:t>-Unikke ID. Herefter trykkes på ”Check ETS</w:t>
      </w:r>
      <w:r w:rsidR="00011F87">
        <w:t>1</w:t>
      </w:r>
      <w:r>
        <w:t xml:space="preserve"> ID” og ERT tjekker </w:t>
      </w:r>
      <w:r w:rsidR="00011F87">
        <w:t>ETS1 enheden</w:t>
      </w:r>
      <w:r>
        <w:t xml:space="preserve"> i den interne database</w:t>
      </w:r>
      <w:r w:rsidR="007F1BE5">
        <w:t xml:space="preserve"> og udfylder automatisk de resterende felter, hvis den aktuelle </w:t>
      </w:r>
      <w:r w:rsidR="00011F87">
        <w:t>enhed</w:t>
      </w:r>
      <w:r w:rsidR="007F1BE5">
        <w:t xml:space="preserve"> eksisterer i databasen.</w:t>
      </w:r>
      <w:r w:rsidR="00011F87">
        <w:t xml:space="preserve"> Gentag dette for hver ETS1 anlæg som modtager brændsel fra jer.</w:t>
      </w:r>
    </w:p>
    <w:p w14:paraId="026792D9" w14:textId="7766DA27" w:rsidR="00BE1BEC" w:rsidRDefault="002D661D">
      <w:r>
        <w:t>Er der en mellemhandler mellem det brændselsforbrugende ETS1-anlæg</w:t>
      </w:r>
      <w:r w:rsidR="007F1BE5">
        <w:t xml:space="preserve"> </w:t>
      </w:r>
      <w:r>
        <w:t xml:space="preserve">og den ETS2 </w:t>
      </w:r>
      <w:r w:rsidR="00CA4EB6">
        <w:t>brændstofoperatøren der gør at I ikke kender slutbrug af brændslet</w:t>
      </w:r>
      <w:r>
        <w:t xml:space="preserve"> </w:t>
      </w:r>
      <w:r w:rsidR="007F1BE5">
        <w:t xml:space="preserve">indtastes </w:t>
      </w:r>
      <w:r w:rsidR="00011F87">
        <w:t>intet</w:t>
      </w:r>
      <w:r w:rsidR="007F1BE5">
        <w:t xml:space="preserve"> identifikationsnummer </w:t>
      </w:r>
      <w:r>
        <w:t>for mellemhandleren</w:t>
      </w:r>
      <w:r w:rsidR="00011F87">
        <w:t>, dog angives</w:t>
      </w:r>
      <w:r w:rsidR="007F1BE5">
        <w:t xml:space="preserve"> efterfølgende forklarende tekst</w:t>
      </w:r>
      <w:r w:rsidR="00CA4EB6">
        <w:t xml:space="preserve"> og oplysninger i afsnit c</w:t>
      </w:r>
      <w:r w:rsidR="007F1BE5">
        <w:t>.</w:t>
      </w:r>
    </w:p>
    <w:p w14:paraId="216F6AFF" w14:textId="002B9308" w:rsidR="009D4AA1" w:rsidRPr="001B3B75" w:rsidRDefault="009D4AA1">
      <w:pPr>
        <w:rPr>
          <w:b/>
          <w:bCs/>
          <w:sz w:val="28"/>
          <w:szCs w:val="28"/>
        </w:rPr>
      </w:pPr>
      <w:r w:rsidRPr="001B3B75">
        <w:rPr>
          <w:b/>
          <w:bCs/>
          <w:sz w:val="28"/>
          <w:szCs w:val="28"/>
        </w:rPr>
        <w:t>Referencer</w:t>
      </w:r>
    </w:p>
    <w:p w14:paraId="7C316171" w14:textId="53A04F8D" w:rsidR="009D4AA1" w:rsidRDefault="009D4AA1">
      <w:r>
        <w:t xml:space="preserve">Direktiv 2003/87: </w:t>
      </w:r>
      <w:hyperlink r:id="rId6" w:history="1">
        <w:r w:rsidRPr="005638A2">
          <w:rPr>
            <w:rStyle w:val="Hyperlink"/>
          </w:rPr>
          <w:t>https://eur-lex.europa.eu/legal-content/DA/TXT/PDF/?uri=CELEX:02003L0087-20240301</w:t>
        </w:r>
      </w:hyperlink>
    </w:p>
    <w:p w14:paraId="6EEA233A" w14:textId="1DD449B8" w:rsidR="009D4AA1" w:rsidRPr="009D4AA1" w:rsidRDefault="009D4AA1">
      <w:r w:rsidRPr="009D4AA1">
        <w:t xml:space="preserve">MR-forordning: </w:t>
      </w:r>
      <w:hyperlink r:id="rId7" w:history="1">
        <w:r w:rsidRPr="009D4AA1">
          <w:rPr>
            <w:rStyle w:val="Hyperlink"/>
          </w:rPr>
          <w:t>https://eur-lex.europa.eu/legal-content/DA/TXT/PDF/?uri=CELEX:02003L0087-20240301</w:t>
        </w:r>
      </w:hyperlink>
    </w:p>
    <w:p w14:paraId="1B7074F9" w14:textId="4FE69B92" w:rsidR="00E00669" w:rsidRPr="00E93A72" w:rsidRDefault="009D4AA1">
      <w:r w:rsidRPr="00E93A72">
        <w:lastRenderedPageBreak/>
        <w:t xml:space="preserve">Guidance Document 1: </w:t>
      </w:r>
      <w:hyperlink r:id="rId8" w:history="1">
        <w:r w:rsidR="00E00669" w:rsidRPr="00E93A72">
          <w:rPr>
            <w:rStyle w:val="Hyperlink"/>
          </w:rPr>
          <w:t>https://climate.ec.europa.eu/document/download/d4f11230-9126-41a8-8c42-6131cd4e742e_en?filename=gd1_guidance_installations_en.pdf</w:t>
        </w:r>
      </w:hyperlink>
      <w:r w:rsidR="00E93A72" w:rsidRPr="00E93A72">
        <w:t>; specielt af</w:t>
      </w:r>
      <w:r w:rsidR="00E93A72">
        <w:t>snit 10.</w:t>
      </w:r>
    </w:p>
    <w:p w14:paraId="13467ABC" w14:textId="2F7E445C" w:rsidR="00AB1F86" w:rsidRPr="00E93A72" w:rsidRDefault="00AB1F86">
      <w:r w:rsidRPr="00E93A72">
        <w:t>MRR Guidance Document for ETS2:</w:t>
      </w:r>
      <w:r w:rsidR="00E00669" w:rsidRPr="00E93A72">
        <w:t xml:space="preserve"> </w:t>
      </w:r>
      <w:hyperlink r:id="rId9" w:history="1">
        <w:r w:rsidR="00E00669" w:rsidRPr="00E93A72">
          <w:rPr>
            <w:rStyle w:val="Hyperlink"/>
          </w:rPr>
          <w:t>https://climate.ec.europa.eu/document/download/b5ccad58-6909-4a32-8a72-c73ab8d2a165_en?filename=policy_ets_ets2_gd_regulated_entities_en.pdf</w:t>
        </w:r>
      </w:hyperlink>
      <w:r w:rsidR="00E93A72" w:rsidRPr="00E93A72">
        <w:t xml:space="preserve"> ; specielt afsni</w:t>
      </w:r>
      <w:r w:rsidR="00E93A72">
        <w:t>t 5.4.3</w:t>
      </w:r>
    </w:p>
    <w:p w14:paraId="00722F29" w14:textId="6A102FC4" w:rsidR="00E00669" w:rsidRDefault="00173F3A">
      <w:pPr>
        <w:rPr>
          <w:lang w:val="en-US"/>
        </w:rPr>
      </w:pPr>
      <w:r>
        <w:rPr>
          <w:lang w:val="en-US"/>
        </w:rPr>
        <w:t xml:space="preserve">ETS Reporting Tool: </w:t>
      </w:r>
      <w:hyperlink r:id="rId10" w:history="1">
        <w:r w:rsidR="001D11EB" w:rsidRPr="00371FEB">
          <w:rPr>
            <w:rStyle w:val="Hyperlink"/>
            <w:lang w:val="en-US"/>
          </w:rPr>
          <w:t>https://climate.ec.europa.eu/eu-action/carbon-markets/eu-emissions-trading-system-eu-ets/monitoring-reporting-and-verification/ets-reporting-tool-ert_en</w:t>
        </w:r>
      </w:hyperlink>
    </w:p>
    <w:p w14:paraId="6F1C56B9" w14:textId="77777777" w:rsidR="00E00669" w:rsidRDefault="00E00669">
      <w:pPr>
        <w:rPr>
          <w:lang w:val="en-US"/>
        </w:rPr>
      </w:pPr>
    </w:p>
    <w:p w14:paraId="3BB3BA1E" w14:textId="77777777" w:rsidR="00173F3A" w:rsidRPr="00AB1F86" w:rsidRDefault="00173F3A">
      <w:pPr>
        <w:rPr>
          <w:lang w:val="en-US"/>
        </w:rPr>
      </w:pPr>
    </w:p>
    <w:sectPr w:rsidR="00173F3A" w:rsidRPr="00AB1F8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6375E"/>
    <w:multiLevelType w:val="hybridMultilevel"/>
    <w:tmpl w:val="752ECB1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6760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15"/>
    <w:rsid w:val="00011F87"/>
    <w:rsid w:val="000165E3"/>
    <w:rsid w:val="00072328"/>
    <w:rsid w:val="0008621F"/>
    <w:rsid w:val="000C64DD"/>
    <w:rsid w:val="000E18AC"/>
    <w:rsid w:val="00154AF6"/>
    <w:rsid w:val="00173F3A"/>
    <w:rsid w:val="001B3B75"/>
    <w:rsid w:val="001D11EB"/>
    <w:rsid w:val="001D1CDF"/>
    <w:rsid w:val="00205692"/>
    <w:rsid w:val="00217663"/>
    <w:rsid w:val="002C1D58"/>
    <w:rsid w:val="002D661D"/>
    <w:rsid w:val="00314D98"/>
    <w:rsid w:val="003D4760"/>
    <w:rsid w:val="003E00E4"/>
    <w:rsid w:val="003E1BE9"/>
    <w:rsid w:val="00495BAD"/>
    <w:rsid w:val="00504051"/>
    <w:rsid w:val="005A280C"/>
    <w:rsid w:val="005A69D8"/>
    <w:rsid w:val="006350DA"/>
    <w:rsid w:val="006D4797"/>
    <w:rsid w:val="007F1BE5"/>
    <w:rsid w:val="008111DA"/>
    <w:rsid w:val="009141DC"/>
    <w:rsid w:val="0093157C"/>
    <w:rsid w:val="00946BC5"/>
    <w:rsid w:val="009D4AA1"/>
    <w:rsid w:val="00AA3815"/>
    <w:rsid w:val="00AB1F86"/>
    <w:rsid w:val="00B96506"/>
    <w:rsid w:val="00BD181A"/>
    <w:rsid w:val="00BE1BEC"/>
    <w:rsid w:val="00C80067"/>
    <w:rsid w:val="00CA4EB6"/>
    <w:rsid w:val="00D13729"/>
    <w:rsid w:val="00DC1936"/>
    <w:rsid w:val="00E00669"/>
    <w:rsid w:val="00E43CC2"/>
    <w:rsid w:val="00E54557"/>
    <w:rsid w:val="00E93A72"/>
    <w:rsid w:val="00E956E3"/>
    <w:rsid w:val="00EA37F8"/>
    <w:rsid w:val="00EB13F2"/>
    <w:rsid w:val="00EF1F0A"/>
    <w:rsid w:val="00F45BF7"/>
    <w:rsid w:val="00F815DB"/>
    <w:rsid w:val="00FE71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1C72"/>
  <w15:chartTrackingRefBased/>
  <w15:docId w15:val="{F68692BE-EE04-41E9-8D8F-716E428D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A38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AA38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AA3815"/>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AA3815"/>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AA3815"/>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AA381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A381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A381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A381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3815"/>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AA3815"/>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AA3815"/>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AA3815"/>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AA3815"/>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AA381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A381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A381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A3815"/>
    <w:rPr>
      <w:rFonts w:eastAsiaTheme="majorEastAsia" w:cstheme="majorBidi"/>
      <w:color w:val="272727" w:themeColor="text1" w:themeTint="D8"/>
    </w:rPr>
  </w:style>
  <w:style w:type="paragraph" w:styleId="Titel">
    <w:name w:val="Title"/>
    <w:basedOn w:val="Normal"/>
    <w:next w:val="Normal"/>
    <w:link w:val="TitelTegn"/>
    <w:uiPriority w:val="10"/>
    <w:qFormat/>
    <w:rsid w:val="00AA3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A381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A381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A381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A381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A3815"/>
    <w:rPr>
      <w:i/>
      <w:iCs/>
      <w:color w:val="404040" w:themeColor="text1" w:themeTint="BF"/>
    </w:rPr>
  </w:style>
  <w:style w:type="paragraph" w:styleId="Listeafsnit">
    <w:name w:val="List Paragraph"/>
    <w:basedOn w:val="Normal"/>
    <w:uiPriority w:val="34"/>
    <w:qFormat/>
    <w:rsid w:val="00AA3815"/>
    <w:pPr>
      <w:ind w:left="720"/>
      <w:contextualSpacing/>
    </w:pPr>
  </w:style>
  <w:style w:type="character" w:styleId="Kraftigfremhvning">
    <w:name w:val="Intense Emphasis"/>
    <w:basedOn w:val="Standardskrifttypeiafsnit"/>
    <w:uiPriority w:val="21"/>
    <w:qFormat/>
    <w:rsid w:val="00AA3815"/>
    <w:rPr>
      <w:i/>
      <w:iCs/>
      <w:color w:val="2E74B5" w:themeColor="accent1" w:themeShade="BF"/>
    </w:rPr>
  </w:style>
  <w:style w:type="paragraph" w:styleId="Strktcitat">
    <w:name w:val="Intense Quote"/>
    <w:basedOn w:val="Normal"/>
    <w:next w:val="Normal"/>
    <w:link w:val="StrktcitatTegn"/>
    <w:uiPriority w:val="30"/>
    <w:qFormat/>
    <w:rsid w:val="00AA38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AA3815"/>
    <w:rPr>
      <w:i/>
      <w:iCs/>
      <w:color w:val="2E74B5" w:themeColor="accent1" w:themeShade="BF"/>
    </w:rPr>
  </w:style>
  <w:style w:type="character" w:styleId="Kraftighenvisning">
    <w:name w:val="Intense Reference"/>
    <w:basedOn w:val="Standardskrifttypeiafsnit"/>
    <w:uiPriority w:val="32"/>
    <w:qFormat/>
    <w:rsid w:val="00AA3815"/>
    <w:rPr>
      <w:b/>
      <w:bCs/>
      <w:smallCaps/>
      <w:color w:val="2E74B5" w:themeColor="accent1" w:themeShade="BF"/>
      <w:spacing w:val="5"/>
    </w:rPr>
  </w:style>
  <w:style w:type="character" w:styleId="Hyperlink">
    <w:name w:val="Hyperlink"/>
    <w:basedOn w:val="Standardskrifttypeiafsnit"/>
    <w:uiPriority w:val="99"/>
    <w:unhideWhenUsed/>
    <w:rsid w:val="009D4AA1"/>
    <w:rPr>
      <w:color w:val="0563C1" w:themeColor="hyperlink"/>
      <w:u w:val="single"/>
    </w:rPr>
  </w:style>
  <w:style w:type="character" w:styleId="Ulstomtale">
    <w:name w:val="Unresolved Mention"/>
    <w:basedOn w:val="Standardskrifttypeiafsnit"/>
    <w:uiPriority w:val="99"/>
    <w:semiHidden/>
    <w:unhideWhenUsed/>
    <w:rsid w:val="009D4AA1"/>
    <w:rPr>
      <w:color w:val="605E5C"/>
      <w:shd w:val="clear" w:color="auto" w:fill="E1DFDD"/>
    </w:rPr>
  </w:style>
  <w:style w:type="character" w:styleId="Kommentarhenvisning">
    <w:name w:val="annotation reference"/>
    <w:basedOn w:val="Standardskrifttypeiafsnit"/>
    <w:uiPriority w:val="99"/>
    <w:semiHidden/>
    <w:unhideWhenUsed/>
    <w:rsid w:val="002C1D58"/>
    <w:rPr>
      <w:sz w:val="16"/>
      <w:szCs w:val="16"/>
    </w:rPr>
  </w:style>
  <w:style w:type="paragraph" w:styleId="Kommentartekst">
    <w:name w:val="annotation text"/>
    <w:basedOn w:val="Normal"/>
    <w:link w:val="KommentartekstTegn"/>
    <w:uiPriority w:val="99"/>
    <w:semiHidden/>
    <w:unhideWhenUsed/>
    <w:rsid w:val="002C1D5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C1D58"/>
    <w:rPr>
      <w:sz w:val="20"/>
      <w:szCs w:val="20"/>
    </w:rPr>
  </w:style>
  <w:style w:type="paragraph" w:styleId="Kommentaremne">
    <w:name w:val="annotation subject"/>
    <w:basedOn w:val="Kommentartekst"/>
    <w:next w:val="Kommentartekst"/>
    <w:link w:val="KommentaremneTegn"/>
    <w:uiPriority w:val="99"/>
    <w:semiHidden/>
    <w:unhideWhenUsed/>
    <w:rsid w:val="002C1D58"/>
    <w:rPr>
      <w:b/>
      <w:bCs/>
    </w:rPr>
  </w:style>
  <w:style w:type="character" w:customStyle="1" w:styleId="KommentaremneTegn">
    <w:name w:val="Kommentaremne Tegn"/>
    <w:basedOn w:val="KommentartekstTegn"/>
    <w:link w:val="Kommentaremne"/>
    <w:uiPriority w:val="99"/>
    <w:semiHidden/>
    <w:rsid w:val="002C1D58"/>
    <w:rPr>
      <w:b/>
      <w:bCs/>
      <w:sz w:val="20"/>
      <w:szCs w:val="20"/>
    </w:rPr>
  </w:style>
  <w:style w:type="paragraph" w:styleId="Korrektur">
    <w:name w:val="Revision"/>
    <w:hidden/>
    <w:uiPriority w:val="99"/>
    <w:semiHidden/>
    <w:rsid w:val="00914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ec.europa.eu/document/download/d4f11230-9126-41a8-8c42-6131cd4e742e_en?filename=gd1_guidance_installations_en.pdf" TargetMode="External"/><Relationship Id="rId3" Type="http://schemas.openxmlformats.org/officeDocument/2006/relationships/settings" Target="settings.xml"/><Relationship Id="rId7" Type="http://schemas.openxmlformats.org/officeDocument/2006/relationships/hyperlink" Target="https://eur-lex.europa.eu/legal-content/DA/TXT/PDF/?uri=CELEX:02003L0087-202403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DA/TXT/PDF/?uri=CELEX:02003L0087-20240301" TargetMode="External"/><Relationship Id="rId11" Type="http://schemas.openxmlformats.org/officeDocument/2006/relationships/fontTable" Target="fontTable.xml"/><Relationship Id="rId5" Type="http://schemas.openxmlformats.org/officeDocument/2006/relationships/hyperlink" Target="https://climate.ec.europa.eu/eu-action/carbon-markets/eu-emissions-trading-system-eu-ets/union-registry_en" TargetMode="External"/><Relationship Id="rId10" Type="http://schemas.openxmlformats.org/officeDocument/2006/relationships/hyperlink" Target="https://climate.ec.europa.eu/eu-action/carbon-markets/eu-emissions-trading-system-eu-ets/monitoring-reporting-and-verification/ets-reporting-tool-ert_en" TargetMode="External"/><Relationship Id="rId4" Type="http://schemas.openxmlformats.org/officeDocument/2006/relationships/webSettings" Target="webSettings.xml"/><Relationship Id="rId9" Type="http://schemas.openxmlformats.org/officeDocument/2006/relationships/hyperlink" Target="https://climate.ec.europa.eu/document/download/b5ccad58-6909-4a32-8a72-c73ab8d2a165_en?filename=policy_ets_ets2_gd_regulated_entities_en.pdf"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633</Words>
  <Characters>3867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Louring Nielsen</dc:creator>
  <cp:keywords/>
  <dc:description/>
  <cp:lastModifiedBy>Cecilie Sørensen</cp:lastModifiedBy>
  <cp:revision>4</cp:revision>
  <dcterms:created xsi:type="dcterms:W3CDTF">2026-03-25T08:24:00Z</dcterms:created>
  <dcterms:modified xsi:type="dcterms:W3CDTF">2026-03-26T10:14:00Z</dcterms:modified>
</cp:coreProperties>
</file>