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01E763" w14:textId="77777777" w:rsidR="000B7372" w:rsidRPr="009A64AC" w:rsidRDefault="000B7372" w:rsidP="000B7372">
      <w:pPr>
        <w:pStyle w:val="Title"/>
        <w:spacing w:line="276" w:lineRule="auto"/>
        <w:jc w:val="both"/>
        <w:rPr>
          <w:rFonts w:ascii="Times New Roman" w:hAnsi="Times New Roman" w:cs="Times New Roman"/>
          <w:sz w:val="52"/>
          <w:szCs w:val="52"/>
        </w:rPr>
      </w:pPr>
      <w:bookmarkStart w:id="0" w:name="_Toc528918096"/>
      <w:bookmarkStart w:id="1" w:name="_GoBack"/>
      <w:bookmarkEnd w:id="1"/>
      <w:r w:rsidRPr="009A64AC">
        <w:rPr>
          <w:rFonts w:ascii="Times New Roman" w:hAnsi="Times New Roman" w:cs="Times New Roman"/>
          <w:noProof/>
          <w:sz w:val="52"/>
          <w:szCs w:val="52"/>
        </w:rPr>
        <w:t>Lithium-ion</w:t>
      </w:r>
      <w:r w:rsidRPr="009A64AC">
        <w:rPr>
          <w:rFonts w:ascii="Times New Roman" w:hAnsi="Times New Roman" w:cs="Times New Roman"/>
          <w:sz w:val="52"/>
          <w:szCs w:val="52"/>
        </w:rPr>
        <w:t xml:space="preserve"> batteries for </w:t>
      </w:r>
      <w:r w:rsidRPr="009A64AC">
        <w:rPr>
          <w:rFonts w:ascii="Times New Roman" w:hAnsi="Times New Roman" w:cs="Times New Roman"/>
          <w:noProof/>
          <w:sz w:val="52"/>
          <w:szCs w:val="52"/>
        </w:rPr>
        <w:t>grid-scale</w:t>
      </w:r>
      <w:r w:rsidRPr="009A64AC">
        <w:rPr>
          <w:rFonts w:ascii="Times New Roman" w:hAnsi="Times New Roman" w:cs="Times New Roman"/>
          <w:sz w:val="52"/>
          <w:szCs w:val="52"/>
        </w:rPr>
        <w:t xml:space="preserve"> storage</w:t>
      </w:r>
    </w:p>
    <w:p w14:paraId="7216AE5B" w14:textId="77777777" w:rsidR="000B7372" w:rsidRPr="009A64AC" w:rsidRDefault="000B7372" w:rsidP="000B7372">
      <w:pPr>
        <w:pStyle w:val="Heading2"/>
        <w:rPr>
          <w:rFonts w:ascii="Times New Roman" w:hAnsi="Times New Roman" w:cs="Times New Roman"/>
          <w:b/>
          <w:color w:val="auto"/>
          <w:sz w:val="22"/>
          <w:szCs w:val="22"/>
        </w:rPr>
      </w:pPr>
    </w:p>
    <w:p w14:paraId="7142D33D" w14:textId="77777777" w:rsidR="00D842CC" w:rsidRDefault="00D842CC" w:rsidP="000B7372">
      <w:pPr>
        <w:spacing w:after="0" w:line="240" w:lineRule="auto"/>
        <w:rPr>
          <w:rFonts w:asciiTheme="majorHAnsi" w:hAnsiTheme="majorHAnsi"/>
          <w:color w:val="1F3864" w:themeColor="accent1" w:themeShade="80"/>
          <w:lang w:val="en-US"/>
        </w:rPr>
      </w:pPr>
      <w:r w:rsidRPr="00D842CC">
        <w:rPr>
          <w:rFonts w:asciiTheme="majorHAnsi" w:hAnsiTheme="majorHAnsi"/>
          <w:color w:val="1F3864" w:themeColor="accent1" w:themeShade="80"/>
          <w:lang w:val="en-US"/>
        </w:rPr>
        <w:t>Contact information</w:t>
      </w:r>
    </w:p>
    <w:p w14:paraId="0D5A2428" w14:textId="2BAEBC4E" w:rsidR="000B7372" w:rsidRPr="009A64AC" w:rsidRDefault="000B7372" w:rsidP="000B7372">
      <w:pPr>
        <w:spacing w:after="0" w:line="240" w:lineRule="auto"/>
        <w:rPr>
          <w:rFonts w:ascii="Times New Roman" w:hAnsi="Times New Roman" w:cs="Times New Roman"/>
          <w:lang w:val="en-US"/>
        </w:rPr>
      </w:pPr>
      <w:r w:rsidRPr="009A64AC">
        <w:rPr>
          <w:rFonts w:ascii="Times New Roman" w:hAnsi="Times New Roman" w:cs="Times New Roman"/>
          <w:lang w:val="en-US"/>
        </w:rPr>
        <w:t>Thomas Mandal Østergaard (</w:t>
      </w:r>
      <w:hyperlink r:id="rId9" w:history="1">
        <w:r w:rsidRPr="009A64AC">
          <w:rPr>
            <w:rStyle w:val="Hyperlink"/>
            <w:rFonts w:ascii="Times New Roman" w:hAnsi="Times New Roman" w:cs="Times New Roman"/>
            <w:lang w:val="en-US"/>
          </w:rPr>
          <w:t>tmo@ens.dk</w:t>
        </w:r>
      </w:hyperlink>
      <w:r w:rsidRPr="009A64AC">
        <w:rPr>
          <w:rFonts w:ascii="Times New Roman" w:hAnsi="Times New Roman" w:cs="Times New Roman"/>
          <w:lang w:val="en-US"/>
        </w:rPr>
        <w:t>), Danish Energy Agency</w:t>
      </w:r>
    </w:p>
    <w:p w14:paraId="5629D67D" w14:textId="77777777" w:rsidR="000B7372" w:rsidRPr="009A64AC" w:rsidRDefault="000B7372" w:rsidP="000B7372">
      <w:pPr>
        <w:spacing w:after="0" w:line="240" w:lineRule="auto"/>
        <w:rPr>
          <w:rFonts w:ascii="Times New Roman" w:hAnsi="Times New Roman" w:cs="Times New Roman"/>
          <w:lang w:val="en-US"/>
        </w:rPr>
      </w:pPr>
    </w:p>
    <w:p w14:paraId="1E166FF3" w14:textId="77777777" w:rsidR="000B7372" w:rsidRPr="00326876" w:rsidRDefault="000B7372" w:rsidP="000B7372">
      <w:pPr>
        <w:spacing w:before="40" w:after="0"/>
        <w:rPr>
          <w:rFonts w:asciiTheme="majorHAnsi" w:hAnsiTheme="majorHAnsi"/>
          <w:color w:val="1F3864" w:themeColor="accent1" w:themeShade="80"/>
          <w:lang w:val="en-US"/>
        </w:rPr>
      </w:pPr>
      <w:r w:rsidRPr="00326876">
        <w:rPr>
          <w:rFonts w:asciiTheme="majorHAnsi" w:hAnsiTheme="majorHAnsi"/>
          <w:color w:val="1F3864" w:themeColor="accent1" w:themeShade="80"/>
          <w:lang w:val="en-US"/>
        </w:rPr>
        <w:t xml:space="preserve">Authors </w:t>
      </w:r>
    </w:p>
    <w:p w14:paraId="5DD17E63" w14:textId="77777777" w:rsidR="000B7372" w:rsidRPr="009A64AC" w:rsidRDefault="000B7372" w:rsidP="000B7372">
      <w:pPr>
        <w:spacing w:after="0" w:line="240" w:lineRule="auto"/>
        <w:rPr>
          <w:rFonts w:ascii="Times New Roman" w:hAnsi="Times New Roman" w:cs="Times New Roman"/>
          <w:lang w:val="en-US"/>
        </w:rPr>
      </w:pPr>
      <w:proofErr w:type="spellStart"/>
      <w:r w:rsidRPr="009A64AC">
        <w:rPr>
          <w:rFonts w:ascii="Times New Roman" w:hAnsi="Times New Roman" w:cs="Times New Roman"/>
          <w:lang w:val="en-US"/>
        </w:rPr>
        <w:t>Rasmus</w:t>
      </w:r>
      <w:proofErr w:type="spellEnd"/>
      <w:r w:rsidRPr="009A64AC">
        <w:rPr>
          <w:rFonts w:ascii="Times New Roman" w:hAnsi="Times New Roman" w:cs="Times New Roman"/>
          <w:lang w:val="en-US"/>
        </w:rPr>
        <w:t xml:space="preserve"> Rode </w:t>
      </w:r>
      <w:proofErr w:type="spellStart"/>
      <w:r w:rsidRPr="009A64AC">
        <w:rPr>
          <w:rFonts w:ascii="Times New Roman" w:hAnsi="Times New Roman" w:cs="Times New Roman"/>
          <w:lang w:val="en-US"/>
        </w:rPr>
        <w:t>Mosbæk</w:t>
      </w:r>
      <w:proofErr w:type="spellEnd"/>
      <w:r w:rsidRPr="009A64AC">
        <w:rPr>
          <w:rFonts w:ascii="Times New Roman" w:hAnsi="Times New Roman" w:cs="Times New Roman"/>
          <w:lang w:val="en-US"/>
        </w:rPr>
        <w:t xml:space="preserve"> (</w:t>
      </w:r>
      <w:hyperlink r:id="rId10" w:history="1">
        <w:r w:rsidRPr="009A64AC">
          <w:rPr>
            <w:rStyle w:val="Hyperlink"/>
            <w:rFonts w:ascii="Times New Roman" w:hAnsi="Times New Roman" w:cs="Times New Roman"/>
            <w:lang w:val="en-US"/>
          </w:rPr>
          <w:t>rasmus@hybridgreentech.com</w:t>
        </w:r>
      </w:hyperlink>
      <w:r w:rsidRPr="009A64AC">
        <w:rPr>
          <w:rFonts w:ascii="Times New Roman" w:hAnsi="Times New Roman" w:cs="Times New Roman"/>
          <w:lang w:val="en-US"/>
        </w:rPr>
        <w:t xml:space="preserve">), Hybrid </w:t>
      </w:r>
      <w:proofErr w:type="spellStart"/>
      <w:r w:rsidRPr="009A64AC">
        <w:rPr>
          <w:rFonts w:ascii="Times New Roman" w:hAnsi="Times New Roman" w:cs="Times New Roman"/>
          <w:lang w:val="en-US"/>
        </w:rPr>
        <w:t>Greentech</w:t>
      </w:r>
      <w:proofErr w:type="spellEnd"/>
      <w:r w:rsidRPr="009A64AC">
        <w:rPr>
          <w:rFonts w:ascii="Times New Roman" w:hAnsi="Times New Roman" w:cs="Times New Roman"/>
          <w:lang w:val="en-US"/>
        </w:rPr>
        <w:t xml:space="preserve"> </w:t>
      </w:r>
      <w:proofErr w:type="spellStart"/>
      <w:r w:rsidRPr="009A64AC">
        <w:rPr>
          <w:rFonts w:ascii="Times New Roman" w:hAnsi="Times New Roman" w:cs="Times New Roman"/>
          <w:lang w:val="en-US"/>
        </w:rPr>
        <w:t>ApS</w:t>
      </w:r>
      <w:proofErr w:type="spellEnd"/>
    </w:p>
    <w:p w14:paraId="48EA963F" w14:textId="77777777" w:rsidR="000B7372" w:rsidRPr="009A64AC" w:rsidRDefault="000B7372" w:rsidP="000B7372">
      <w:pPr>
        <w:spacing w:after="0" w:line="240" w:lineRule="auto"/>
        <w:rPr>
          <w:rFonts w:ascii="Times New Roman" w:hAnsi="Times New Roman" w:cs="Times New Roman"/>
          <w:lang w:val="en-US"/>
        </w:rPr>
      </w:pPr>
      <w:r w:rsidRPr="009A64AC">
        <w:rPr>
          <w:rFonts w:ascii="Times New Roman" w:hAnsi="Times New Roman" w:cs="Times New Roman"/>
          <w:lang w:val="en-US"/>
        </w:rPr>
        <w:t>Søren Højgaard Jensen (</w:t>
      </w:r>
      <w:hyperlink r:id="rId11" w:history="1">
        <w:r w:rsidRPr="009A64AC">
          <w:rPr>
            <w:rStyle w:val="Hyperlink"/>
            <w:rFonts w:ascii="Times New Roman" w:hAnsi="Times New Roman" w:cs="Times New Roman"/>
            <w:lang w:val="en-US"/>
          </w:rPr>
          <w:t>soren@hybridgreentech.com</w:t>
        </w:r>
      </w:hyperlink>
      <w:r w:rsidRPr="009A64AC">
        <w:rPr>
          <w:rFonts w:ascii="Times New Roman" w:hAnsi="Times New Roman" w:cs="Times New Roman"/>
          <w:lang w:val="en-US"/>
        </w:rPr>
        <w:t xml:space="preserve">), Hybrid </w:t>
      </w:r>
      <w:proofErr w:type="spellStart"/>
      <w:r w:rsidRPr="009A64AC">
        <w:rPr>
          <w:rFonts w:ascii="Times New Roman" w:hAnsi="Times New Roman" w:cs="Times New Roman"/>
          <w:lang w:val="en-US"/>
        </w:rPr>
        <w:t>Greentech</w:t>
      </w:r>
      <w:proofErr w:type="spellEnd"/>
      <w:r w:rsidRPr="009A64AC">
        <w:rPr>
          <w:rFonts w:ascii="Times New Roman" w:hAnsi="Times New Roman" w:cs="Times New Roman"/>
          <w:lang w:val="en-US"/>
        </w:rPr>
        <w:t xml:space="preserve"> </w:t>
      </w:r>
      <w:proofErr w:type="spellStart"/>
      <w:r w:rsidRPr="009A64AC">
        <w:rPr>
          <w:rFonts w:ascii="Times New Roman" w:hAnsi="Times New Roman" w:cs="Times New Roman"/>
          <w:lang w:val="en-US"/>
        </w:rPr>
        <w:t>ApS</w:t>
      </w:r>
      <w:proofErr w:type="spellEnd"/>
    </w:p>
    <w:p w14:paraId="6A92D982" w14:textId="77777777" w:rsidR="000B7372" w:rsidRPr="009A64AC" w:rsidRDefault="000B7372" w:rsidP="000B7372">
      <w:pPr>
        <w:pStyle w:val="Heading3"/>
        <w:rPr>
          <w:rFonts w:ascii="Times New Roman" w:hAnsi="Times New Roman" w:cs="Times New Roman"/>
          <w:lang w:val="en-US"/>
        </w:rPr>
      </w:pPr>
    </w:p>
    <w:p w14:paraId="1EAF3C47" w14:textId="77777777" w:rsidR="000B7372" w:rsidRDefault="000B7372" w:rsidP="000B7372">
      <w:pPr>
        <w:spacing w:before="40" w:after="0"/>
        <w:rPr>
          <w:rFonts w:asciiTheme="majorHAnsi" w:hAnsiTheme="majorHAnsi"/>
          <w:color w:val="1F3864" w:themeColor="accent1" w:themeShade="80"/>
          <w:lang w:val="en-US"/>
        </w:rPr>
      </w:pPr>
      <w:r w:rsidRPr="00ED20FB">
        <w:rPr>
          <w:rFonts w:asciiTheme="majorHAnsi" w:hAnsiTheme="majorHAnsi"/>
          <w:color w:val="1F3864" w:themeColor="accent1" w:themeShade="80"/>
          <w:lang w:val="en-US"/>
        </w:rPr>
        <w:t>Reviewer</w:t>
      </w:r>
    </w:p>
    <w:p w14:paraId="5ABEE7E6" w14:textId="68D3509F" w:rsidR="00724C1F" w:rsidRDefault="00724C1F" w:rsidP="000B7372">
      <w:pPr>
        <w:spacing w:before="40" w:after="0"/>
        <w:rPr>
          <w:rFonts w:ascii="Times New Roman" w:hAnsi="Times New Roman" w:cs="Times New Roman"/>
          <w:lang w:val="en-US"/>
        </w:rPr>
      </w:pPr>
      <w:r w:rsidRPr="009A64AC">
        <w:rPr>
          <w:rFonts w:ascii="Times New Roman" w:hAnsi="Times New Roman" w:cs="Times New Roman"/>
          <w:lang w:val="en-US"/>
        </w:rPr>
        <w:t>Name, Affiliation</w:t>
      </w:r>
    </w:p>
    <w:p w14:paraId="143B521F" w14:textId="77777777" w:rsidR="00724C1F" w:rsidRDefault="00724C1F" w:rsidP="000B7372">
      <w:pPr>
        <w:spacing w:before="40" w:after="0"/>
        <w:rPr>
          <w:rFonts w:ascii="Times New Roman" w:hAnsi="Times New Roman" w:cs="Times New Roman"/>
          <w:lang w:val="en-US"/>
        </w:rPr>
      </w:pPr>
    </w:p>
    <w:p w14:paraId="20D088CF" w14:textId="42005C17" w:rsidR="00D842CC" w:rsidRPr="00D842CC" w:rsidRDefault="00D842CC" w:rsidP="000B7372">
      <w:pPr>
        <w:spacing w:before="40" w:after="0"/>
        <w:rPr>
          <w:rFonts w:ascii="Times New Roman" w:hAnsi="Times New Roman" w:cs="Times New Roman"/>
          <w:color w:val="2F5496" w:themeColor="accent1" w:themeShade="BF"/>
          <w:sz w:val="32"/>
          <w:lang w:val="en-US"/>
        </w:rPr>
      </w:pPr>
      <w:r w:rsidRPr="00D842CC">
        <w:rPr>
          <w:rFonts w:ascii="Times New Roman" w:hAnsi="Times New Roman" w:cs="Times New Roman"/>
          <w:color w:val="2F5496" w:themeColor="accent1" w:themeShade="BF"/>
          <w:sz w:val="32"/>
          <w:lang w:val="en-US"/>
        </w:rPr>
        <w:t>Content</w:t>
      </w:r>
    </w:p>
    <w:p w14:paraId="30658069" w14:textId="77777777" w:rsidR="00D842CC" w:rsidRDefault="00D842CC">
      <w:pPr>
        <w:pStyle w:val="TOC1"/>
        <w:tabs>
          <w:tab w:val="right" w:leader="dot" w:pos="9016"/>
        </w:tabs>
        <w:rPr>
          <w:rFonts w:eastAsiaTheme="minorEastAsia" w:cstheme="minorBidi"/>
          <w:b w:val="0"/>
          <w:bCs w:val="0"/>
          <w:i w:val="0"/>
          <w:iCs w:val="0"/>
          <w:noProof/>
          <w:sz w:val="22"/>
          <w:szCs w:val="22"/>
          <w:lang w:eastAsia="da-DK"/>
        </w:rPr>
      </w:pPr>
      <w:r>
        <w:rPr>
          <w:rFonts w:ascii="Times New Roman" w:hAnsi="Times New Roman" w:cs="Times New Roman"/>
          <w:lang w:val="en-US"/>
        </w:rPr>
        <w:fldChar w:fldCharType="begin"/>
      </w:r>
      <w:r>
        <w:rPr>
          <w:rFonts w:ascii="Times New Roman" w:hAnsi="Times New Roman" w:cs="Times New Roman"/>
          <w:lang w:val="en-US"/>
        </w:rPr>
        <w:instrText xml:space="preserve"> TOC \o "1-3" \h \z \u </w:instrText>
      </w:r>
      <w:r>
        <w:rPr>
          <w:rFonts w:ascii="Times New Roman" w:hAnsi="Times New Roman" w:cs="Times New Roman"/>
          <w:lang w:val="en-US"/>
        </w:rPr>
        <w:fldChar w:fldCharType="separate"/>
      </w:r>
      <w:hyperlink w:anchor="_Toc529178936" w:history="1">
        <w:r w:rsidRPr="00FD71F9">
          <w:rPr>
            <w:rStyle w:val="Hyperlink"/>
            <w:rFonts w:cs="Times New Roman"/>
            <w:noProof/>
            <w:lang w:val="en-US"/>
          </w:rPr>
          <w:t>Brief technology description</w:t>
        </w:r>
        <w:r>
          <w:rPr>
            <w:noProof/>
            <w:webHidden/>
          </w:rPr>
          <w:tab/>
        </w:r>
        <w:r>
          <w:rPr>
            <w:noProof/>
            <w:webHidden/>
          </w:rPr>
          <w:fldChar w:fldCharType="begin"/>
        </w:r>
        <w:r>
          <w:rPr>
            <w:noProof/>
            <w:webHidden/>
          </w:rPr>
          <w:instrText xml:space="preserve"> PAGEREF _Toc529178936 \h </w:instrText>
        </w:r>
        <w:r>
          <w:rPr>
            <w:noProof/>
            <w:webHidden/>
          </w:rPr>
        </w:r>
        <w:r>
          <w:rPr>
            <w:noProof/>
            <w:webHidden/>
          </w:rPr>
          <w:fldChar w:fldCharType="separate"/>
        </w:r>
        <w:r>
          <w:rPr>
            <w:noProof/>
            <w:webHidden/>
          </w:rPr>
          <w:t>1</w:t>
        </w:r>
        <w:r>
          <w:rPr>
            <w:noProof/>
            <w:webHidden/>
          </w:rPr>
          <w:fldChar w:fldCharType="end"/>
        </w:r>
      </w:hyperlink>
    </w:p>
    <w:p w14:paraId="40FC0F04" w14:textId="77777777" w:rsidR="00D842CC" w:rsidRDefault="00F40443">
      <w:pPr>
        <w:pStyle w:val="TOC2"/>
        <w:tabs>
          <w:tab w:val="right" w:leader="dot" w:pos="9016"/>
        </w:tabs>
        <w:rPr>
          <w:rFonts w:eastAsiaTheme="minorEastAsia" w:cstheme="minorBidi"/>
          <w:bCs w:val="0"/>
          <w:noProof/>
          <w:lang w:eastAsia="da-DK"/>
        </w:rPr>
      </w:pPr>
      <w:hyperlink w:anchor="_Toc529178937" w:history="1">
        <w:r w:rsidR="00D842CC" w:rsidRPr="00FD71F9">
          <w:rPr>
            <w:rStyle w:val="Hyperlink"/>
            <w:rFonts w:ascii="Times New Roman" w:hAnsi="Times New Roman" w:cs="Times New Roman"/>
            <w:noProof/>
          </w:rPr>
          <w:t>How does a Lihium-ion battery work?</w:t>
        </w:r>
        <w:r w:rsidR="00D842CC">
          <w:rPr>
            <w:noProof/>
            <w:webHidden/>
          </w:rPr>
          <w:tab/>
        </w:r>
        <w:r w:rsidR="00D842CC">
          <w:rPr>
            <w:noProof/>
            <w:webHidden/>
          </w:rPr>
          <w:fldChar w:fldCharType="begin"/>
        </w:r>
        <w:r w:rsidR="00D842CC">
          <w:rPr>
            <w:noProof/>
            <w:webHidden/>
          </w:rPr>
          <w:instrText xml:space="preserve"> PAGEREF _Toc529178937 \h </w:instrText>
        </w:r>
        <w:r w:rsidR="00D842CC">
          <w:rPr>
            <w:noProof/>
            <w:webHidden/>
          </w:rPr>
        </w:r>
        <w:r w:rsidR="00D842CC">
          <w:rPr>
            <w:noProof/>
            <w:webHidden/>
          </w:rPr>
          <w:fldChar w:fldCharType="separate"/>
        </w:r>
        <w:r w:rsidR="00D842CC">
          <w:rPr>
            <w:noProof/>
            <w:webHidden/>
          </w:rPr>
          <w:t>1</w:t>
        </w:r>
        <w:r w:rsidR="00D842CC">
          <w:rPr>
            <w:noProof/>
            <w:webHidden/>
          </w:rPr>
          <w:fldChar w:fldCharType="end"/>
        </w:r>
      </w:hyperlink>
    </w:p>
    <w:p w14:paraId="20D8E240" w14:textId="77777777" w:rsidR="00D842CC" w:rsidRDefault="00F40443">
      <w:pPr>
        <w:pStyle w:val="TOC2"/>
        <w:tabs>
          <w:tab w:val="right" w:leader="dot" w:pos="9016"/>
        </w:tabs>
        <w:rPr>
          <w:rFonts w:eastAsiaTheme="minorEastAsia" w:cstheme="minorBidi"/>
          <w:bCs w:val="0"/>
          <w:noProof/>
          <w:lang w:eastAsia="da-DK"/>
        </w:rPr>
      </w:pPr>
      <w:hyperlink w:anchor="_Toc529178938" w:history="1">
        <w:r w:rsidR="00D842CC" w:rsidRPr="00FD71F9">
          <w:rPr>
            <w:rStyle w:val="Hyperlink"/>
            <w:rFonts w:ascii="Times New Roman" w:hAnsi="Times New Roman" w:cs="Times New Roman"/>
            <w:noProof/>
          </w:rPr>
          <w:t>Lithium-ion chemistries</w:t>
        </w:r>
        <w:r w:rsidR="00D842CC">
          <w:rPr>
            <w:noProof/>
            <w:webHidden/>
          </w:rPr>
          <w:tab/>
        </w:r>
        <w:r w:rsidR="00D842CC">
          <w:rPr>
            <w:noProof/>
            <w:webHidden/>
          </w:rPr>
          <w:fldChar w:fldCharType="begin"/>
        </w:r>
        <w:r w:rsidR="00D842CC">
          <w:rPr>
            <w:noProof/>
            <w:webHidden/>
          </w:rPr>
          <w:instrText xml:space="preserve"> PAGEREF _Toc529178938 \h </w:instrText>
        </w:r>
        <w:r w:rsidR="00D842CC">
          <w:rPr>
            <w:noProof/>
            <w:webHidden/>
          </w:rPr>
        </w:r>
        <w:r w:rsidR="00D842CC">
          <w:rPr>
            <w:noProof/>
            <w:webHidden/>
          </w:rPr>
          <w:fldChar w:fldCharType="separate"/>
        </w:r>
        <w:r w:rsidR="00D842CC">
          <w:rPr>
            <w:noProof/>
            <w:webHidden/>
          </w:rPr>
          <w:t>3</w:t>
        </w:r>
        <w:r w:rsidR="00D842CC">
          <w:rPr>
            <w:noProof/>
            <w:webHidden/>
          </w:rPr>
          <w:fldChar w:fldCharType="end"/>
        </w:r>
      </w:hyperlink>
    </w:p>
    <w:p w14:paraId="3B6C63E7" w14:textId="77777777" w:rsidR="00D842CC" w:rsidRDefault="00F40443">
      <w:pPr>
        <w:pStyle w:val="TOC2"/>
        <w:tabs>
          <w:tab w:val="right" w:leader="dot" w:pos="9016"/>
        </w:tabs>
        <w:rPr>
          <w:rFonts w:eastAsiaTheme="minorEastAsia" w:cstheme="minorBidi"/>
          <w:bCs w:val="0"/>
          <w:noProof/>
          <w:lang w:eastAsia="da-DK"/>
        </w:rPr>
      </w:pPr>
      <w:hyperlink w:anchor="_Toc529178939" w:history="1">
        <w:r w:rsidR="00D842CC" w:rsidRPr="00FD71F9">
          <w:rPr>
            <w:rStyle w:val="Hyperlink"/>
            <w:rFonts w:ascii="Times New Roman" w:hAnsi="Times New Roman" w:cs="Times New Roman"/>
            <w:noProof/>
          </w:rPr>
          <w:t>Lithium-ion battery packaging</w:t>
        </w:r>
        <w:r w:rsidR="00D842CC">
          <w:rPr>
            <w:noProof/>
            <w:webHidden/>
          </w:rPr>
          <w:tab/>
        </w:r>
        <w:r w:rsidR="00D842CC">
          <w:rPr>
            <w:noProof/>
            <w:webHidden/>
          </w:rPr>
          <w:fldChar w:fldCharType="begin"/>
        </w:r>
        <w:r w:rsidR="00D842CC">
          <w:rPr>
            <w:noProof/>
            <w:webHidden/>
          </w:rPr>
          <w:instrText xml:space="preserve"> PAGEREF _Toc529178939 \h </w:instrText>
        </w:r>
        <w:r w:rsidR="00D842CC">
          <w:rPr>
            <w:noProof/>
            <w:webHidden/>
          </w:rPr>
        </w:r>
        <w:r w:rsidR="00D842CC">
          <w:rPr>
            <w:noProof/>
            <w:webHidden/>
          </w:rPr>
          <w:fldChar w:fldCharType="separate"/>
        </w:r>
        <w:r w:rsidR="00D842CC">
          <w:rPr>
            <w:noProof/>
            <w:webHidden/>
          </w:rPr>
          <w:t>4</w:t>
        </w:r>
        <w:r w:rsidR="00D842CC">
          <w:rPr>
            <w:noProof/>
            <w:webHidden/>
          </w:rPr>
          <w:fldChar w:fldCharType="end"/>
        </w:r>
      </w:hyperlink>
    </w:p>
    <w:p w14:paraId="484166AA" w14:textId="77777777" w:rsidR="00D842CC" w:rsidRDefault="00F40443">
      <w:pPr>
        <w:pStyle w:val="TOC2"/>
        <w:tabs>
          <w:tab w:val="right" w:leader="dot" w:pos="9016"/>
        </w:tabs>
        <w:rPr>
          <w:rFonts w:eastAsiaTheme="minorEastAsia" w:cstheme="minorBidi"/>
          <w:bCs w:val="0"/>
          <w:noProof/>
          <w:lang w:eastAsia="da-DK"/>
        </w:rPr>
      </w:pPr>
      <w:hyperlink w:anchor="_Toc529178940" w:history="1">
        <w:r w:rsidR="00D842CC" w:rsidRPr="00FD71F9">
          <w:rPr>
            <w:rStyle w:val="Hyperlink"/>
            <w:rFonts w:ascii="Times New Roman" w:hAnsi="Times New Roman" w:cs="Times New Roman"/>
            <w:noProof/>
          </w:rPr>
          <w:t>Components in a lithium-ion battery energy storage system</w:t>
        </w:r>
        <w:r w:rsidR="00D842CC">
          <w:rPr>
            <w:noProof/>
            <w:webHidden/>
          </w:rPr>
          <w:tab/>
        </w:r>
        <w:r w:rsidR="00D842CC">
          <w:rPr>
            <w:noProof/>
            <w:webHidden/>
          </w:rPr>
          <w:fldChar w:fldCharType="begin"/>
        </w:r>
        <w:r w:rsidR="00D842CC">
          <w:rPr>
            <w:noProof/>
            <w:webHidden/>
          </w:rPr>
          <w:instrText xml:space="preserve"> PAGEREF _Toc529178940 \h </w:instrText>
        </w:r>
        <w:r w:rsidR="00D842CC">
          <w:rPr>
            <w:noProof/>
            <w:webHidden/>
          </w:rPr>
        </w:r>
        <w:r w:rsidR="00D842CC">
          <w:rPr>
            <w:noProof/>
            <w:webHidden/>
          </w:rPr>
          <w:fldChar w:fldCharType="separate"/>
        </w:r>
        <w:r w:rsidR="00D842CC">
          <w:rPr>
            <w:noProof/>
            <w:webHidden/>
          </w:rPr>
          <w:t>5</w:t>
        </w:r>
        <w:r w:rsidR="00D842CC">
          <w:rPr>
            <w:noProof/>
            <w:webHidden/>
          </w:rPr>
          <w:fldChar w:fldCharType="end"/>
        </w:r>
      </w:hyperlink>
    </w:p>
    <w:p w14:paraId="100C681E" w14:textId="77777777" w:rsidR="00D842CC" w:rsidRDefault="00F40443">
      <w:pPr>
        <w:pStyle w:val="TOC1"/>
        <w:tabs>
          <w:tab w:val="right" w:leader="dot" w:pos="9016"/>
        </w:tabs>
        <w:rPr>
          <w:rFonts w:eastAsiaTheme="minorEastAsia" w:cstheme="minorBidi"/>
          <w:b w:val="0"/>
          <w:bCs w:val="0"/>
          <w:i w:val="0"/>
          <w:iCs w:val="0"/>
          <w:noProof/>
          <w:sz w:val="22"/>
          <w:szCs w:val="22"/>
          <w:lang w:eastAsia="da-DK"/>
        </w:rPr>
      </w:pPr>
      <w:hyperlink w:anchor="_Toc529178941" w:history="1">
        <w:r w:rsidR="00D842CC" w:rsidRPr="00FD71F9">
          <w:rPr>
            <w:rStyle w:val="Hyperlink"/>
            <w:rFonts w:cs="Times New Roman"/>
            <w:noProof/>
            <w:lang w:val="en-US"/>
          </w:rPr>
          <w:t>Input/Output</w:t>
        </w:r>
        <w:r w:rsidR="00D842CC">
          <w:rPr>
            <w:noProof/>
            <w:webHidden/>
          </w:rPr>
          <w:tab/>
        </w:r>
        <w:r w:rsidR="00D842CC">
          <w:rPr>
            <w:noProof/>
            <w:webHidden/>
          </w:rPr>
          <w:fldChar w:fldCharType="begin"/>
        </w:r>
        <w:r w:rsidR="00D842CC">
          <w:rPr>
            <w:noProof/>
            <w:webHidden/>
          </w:rPr>
          <w:instrText xml:space="preserve"> PAGEREF _Toc529178941 \h </w:instrText>
        </w:r>
        <w:r w:rsidR="00D842CC">
          <w:rPr>
            <w:noProof/>
            <w:webHidden/>
          </w:rPr>
        </w:r>
        <w:r w:rsidR="00D842CC">
          <w:rPr>
            <w:noProof/>
            <w:webHidden/>
          </w:rPr>
          <w:fldChar w:fldCharType="separate"/>
        </w:r>
        <w:r w:rsidR="00D842CC">
          <w:rPr>
            <w:noProof/>
            <w:webHidden/>
          </w:rPr>
          <w:t>6</w:t>
        </w:r>
        <w:r w:rsidR="00D842CC">
          <w:rPr>
            <w:noProof/>
            <w:webHidden/>
          </w:rPr>
          <w:fldChar w:fldCharType="end"/>
        </w:r>
      </w:hyperlink>
    </w:p>
    <w:p w14:paraId="47031101" w14:textId="77777777" w:rsidR="00D842CC" w:rsidRDefault="00F40443">
      <w:pPr>
        <w:pStyle w:val="TOC1"/>
        <w:tabs>
          <w:tab w:val="right" w:leader="dot" w:pos="9016"/>
        </w:tabs>
        <w:rPr>
          <w:rFonts w:eastAsiaTheme="minorEastAsia" w:cstheme="minorBidi"/>
          <w:b w:val="0"/>
          <w:bCs w:val="0"/>
          <w:i w:val="0"/>
          <w:iCs w:val="0"/>
          <w:noProof/>
          <w:sz w:val="22"/>
          <w:szCs w:val="22"/>
          <w:lang w:eastAsia="da-DK"/>
        </w:rPr>
      </w:pPr>
      <w:hyperlink w:anchor="_Toc529178942" w:history="1">
        <w:r w:rsidR="00D842CC" w:rsidRPr="00FD71F9">
          <w:rPr>
            <w:rStyle w:val="Hyperlink"/>
            <w:rFonts w:cs="Times New Roman"/>
            <w:noProof/>
            <w:lang w:val="en-US"/>
          </w:rPr>
          <w:t>Energy efficiency and losses</w:t>
        </w:r>
        <w:r w:rsidR="00D842CC">
          <w:rPr>
            <w:noProof/>
            <w:webHidden/>
          </w:rPr>
          <w:tab/>
        </w:r>
        <w:r w:rsidR="00D842CC">
          <w:rPr>
            <w:noProof/>
            <w:webHidden/>
          </w:rPr>
          <w:fldChar w:fldCharType="begin"/>
        </w:r>
        <w:r w:rsidR="00D842CC">
          <w:rPr>
            <w:noProof/>
            <w:webHidden/>
          </w:rPr>
          <w:instrText xml:space="preserve"> PAGEREF _Toc529178942 \h </w:instrText>
        </w:r>
        <w:r w:rsidR="00D842CC">
          <w:rPr>
            <w:noProof/>
            <w:webHidden/>
          </w:rPr>
        </w:r>
        <w:r w:rsidR="00D842CC">
          <w:rPr>
            <w:noProof/>
            <w:webHidden/>
          </w:rPr>
          <w:fldChar w:fldCharType="separate"/>
        </w:r>
        <w:r w:rsidR="00D842CC">
          <w:rPr>
            <w:noProof/>
            <w:webHidden/>
          </w:rPr>
          <w:t>6</w:t>
        </w:r>
        <w:r w:rsidR="00D842CC">
          <w:rPr>
            <w:noProof/>
            <w:webHidden/>
          </w:rPr>
          <w:fldChar w:fldCharType="end"/>
        </w:r>
      </w:hyperlink>
    </w:p>
    <w:p w14:paraId="5BB01F7D" w14:textId="77777777" w:rsidR="00D842CC" w:rsidRDefault="00F40443">
      <w:pPr>
        <w:pStyle w:val="TOC2"/>
        <w:tabs>
          <w:tab w:val="right" w:leader="dot" w:pos="9016"/>
        </w:tabs>
        <w:rPr>
          <w:rFonts w:eastAsiaTheme="minorEastAsia" w:cstheme="minorBidi"/>
          <w:bCs w:val="0"/>
          <w:noProof/>
          <w:lang w:eastAsia="da-DK"/>
        </w:rPr>
      </w:pPr>
      <w:hyperlink w:anchor="_Toc529178943" w:history="1">
        <w:r w:rsidR="00D842CC" w:rsidRPr="00FD71F9">
          <w:rPr>
            <w:rStyle w:val="Hyperlink"/>
            <w:rFonts w:ascii="Times New Roman" w:hAnsi="Times New Roman" w:cs="Times New Roman"/>
            <w:noProof/>
          </w:rPr>
          <w:t>Operational losses</w:t>
        </w:r>
        <w:r w:rsidR="00D842CC">
          <w:rPr>
            <w:noProof/>
            <w:webHidden/>
          </w:rPr>
          <w:tab/>
        </w:r>
        <w:r w:rsidR="00D842CC">
          <w:rPr>
            <w:noProof/>
            <w:webHidden/>
          </w:rPr>
          <w:fldChar w:fldCharType="begin"/>
        </w:r>
        <w:r w:rsidR="00D842CC">
          <w:rPr>
            <w:noProof/>
            <w:webHidden/>
          </w:rPr>
          <w:instrText xml:space="preserve"> PAGEREF _Toc529178943 \h </w:instrText>
        </w:r>
        <w:r w:rsidR="00D842CC">
          <w:rPr>
            <w:noProof/>
            <w:webHidden/>
          </w:rPr>
        </w:r>
        <w:r w:rsidR="00D842CC">
          <w:rPr>
            <w:noProof/>
            <w:webHidden/>
          </w:rPr>
          <w:fldChar w:fldCharType="separate"/>
        </w:r>
        <w:r w:rsidR="00D842CC">
          <w:rPr>
            <w:noProof/>
            <w:webHidden/>
          </w:rPr>
          <w:t>6</w:t>
        </w:r>
        <w:r w:rsidR="00D842CC">
          <w:rPr>
            <w:noProof/>
            <w:webHidden/>
          </w:rPr>
          <w:fldChar w:fldCharType="end"/>
        </w:r>
      </w:hyperlink>
    </w:p>
    <w:p w14:paraId="0EB4ED3C" w14:textId="77777777" w:rsidR="00D842CC" w:rsidRDefault="00F40443">
      <w:pPr>
        <w:pStyle w:val="TOC2"/>
        <w:tabs>
          <w:tab w:val="right" w:leader="dot" w:pos="9016"/>
        </w:tabs>
        <w:rPr>
          <w:rFonts w:eastAsiaTheme="minorEastAsia" w:cstheme="minorBidi"/>
          <w:bCs w:val="0"/>
          <w:noProof/>
          <w:lang w:eastAsia="da-DK"/>
        </w:rPr>
      </w:pPr>
      <w:hyperlink w:anchor="_Toc529178944" w:history="1">
        <w:r w:rsidR="00D842CC" w:rsidRPr="00FD71F9">
          <w:rPr>
            <w:rStyle w:val="Hyperlink"/>
            <w:rFonts w:ascii="Times New Roman" w:hAnsi="Times New Roman" w:cs="Times New Roman"/>
            <w:noProof/>
          </w:rPr>
          <w:t>Standby losses</w:t>
        </w:r>
        <w:r w:rsidR="00D842CC">
          <w:rPr>
            <w:noProof/>
            <w:webHidden/>
          </w:rPr>
          <w:tab/>
        </w:r>
        <w:r w:rsidR="00D842CC">
          <w:rPr>
            <w:noProof/>
            <w:webHidden/>
          </w:rPr>
          <w:fldChar w:fldCharType="begin"/>
        </w:r>
        <w:r w:rsidR="00D842CC">
          <w:rPr>
            <w:noProof/>
            <w:webHidden/>
          </w:rPr>
          <w:instrText xml:space="preserve"> PAGEREF _Toc529178944 \h </w:instrText>
        </w:r>
        <w:r w:rsidR="00D842CC">
          <w:rPr>
            <w:noProof/>
            <w:webHidden/>
          </w:rPr>
        </w:r>
        <w:r w:rsidR="00D842CC">
          <w:rPr>
            <w:noProof/>
            <w:webHidden/>
          </w:rPr>
          <w:fldChar w:fldCharType="separate"/>
        </w:r>
        <w:r w:rsidR="00D842CC">
          <w:rPr>
            <w:noProof/>
            <w:webHidden/>
          </w:rPr>
          <w:t>7</w:t>
        </w:r>
        <w:r w:rsidR="00D842CC">
          <w:rPr>
            <w:noProof/>
            <w:webHidden/>
          </w:rPr>
          <w:fldChar w:fldCharType="end"/>
        </w:r>
      </w:hyperlink>
    </w:p>
    <w:p w14:paraId="4DFDBCB6" w14:textId="77777777" w:rsidR="00D842CC" w:rsidRDefault="00F40443">
      <w:pPr>
        <w:pStyle w:val="TOC2"/>
        <w:tabs>
          <w:tab w:val="right" w:leader="dot" w:pos="9016"/>
        </w:tabs>
        <w:rPr>
          <w:rFonts w:eastAsiaTheme="minorEastAsia" w:cstheme="minorBidi"/>
          <w:bCs w:val="0"/>
          <w:noProof/>
          <w:lang w:eastAsia="da-DK"/>
        </w:rPr>
      </w:pPr>
      <w:hyperlink w:anchor="_Toc529178945" w:history="1">
        <w:r w:rsidR="00D842CC" w:rsidRPr="00FD71F9">
          <w:rPr>
            <w:rStyle w:val="Hyperlink"/>
            <w:rFonts w:ascii="Times New Roman" w:hAnsi="Times New Roman" w:cs="Times New Roman"/>
            <w:noProof/>
          </w:rPr>
          <w:t>Energy Efficiency</w:t>
        </w:r>
        <w:r w:rsidR="00D842CC">
          <w:rPr>
            <w:noProof/>
            <w:webHidden/>
          </w:rPr>
          <w:tab/>
        </w:r>
        <w:r w:rsidR="00D842CC">
          <w:rPr>
            <w:noProof/>
            <w:webHidden/>
          </w:rPr>
          <w:fldChar w:fldCharType="begin"/>
        </w:r>
        <w:r w:rsidR="00D842CC">
          <w:rPr>
            <w:noProof/>
            <w:webHidden/>
          </w:rPr>
          <w:instrText xml:space="preserve"> PAGEREF _Toc529178945 \h </w:instrText>
        </w:r>
        <w:r w:rsidR="00D842CC">
          <w:rPr>
            <w:noProof/>
            <w:webHidden/>
          </w:rPr>
        </w:r>
        <w:r w:rsidR="00D842CC">
          <w:rPr>
            <w:noProof/>
            <w:webHidden/>
          </w:rPr>
          <w:fldChar w:fldCharType="separate"/>
        </w:r>
        <w:r w:rsidR="00D842CC">
          <w:rPr>
            <w:noProof/>
            <w:webHidden/>
          </w:rPr>
          <w:t>7</w:t>
        </w:r>
        <w:r w:rsidR="00D842CC">
          <w:rPr>
            <w:noProof/>
            <w:webHidden/>
          </w:rPr>
          <w:fldChar w:fldCharType="end"/>
        </w:r>
      </w:hyperlink>
    </w:p>
    <w:p w14:paraId="1A3D6883" w14:textId="77777777" w:rsidR="00D842CC" w:rsidRDefault="00F40443">
      <w:pPr>
        <w:pStyle w:val="TOC1"/>
        <w:tabs>
          <w:tab w:val="right" w:leader="dot" w:pos="9016"/>
        </w:tabs>
        <w:rPr>
          <w:rFonts w:eastAsiaTheme="minorEastAsia" w:cstheme="minorBidi"/>
          <w:b w:val="0"/>
          <w:bCs w:val="0"/>
          <w:i w:val="0"/>
          <w:iCs w:val="0"/>
          <w:noProof/>
          <w:sz w:val="22"/>
          <w:szCs w:val="22"/>
          <w:lang w:eastAsia="da-DK"/>
        </w:rPr>
      </w:pPr>
      <w:hyperlink w:anchor="_Toc529178946" w:history="1">
        <w:r w:rsidR="00D842CC" w:rsidRPr="00FD71F9">
          <w:rPr>
            <w:rStyle w:val="Hyperlink"/>
            <w:rFonts w:cs="Times New Roman"/>
            <w:noProof/>
            <w:lang w:val="en-US"/>
          </w:rPr>
          <w:t>Regulation ability and other system services</w:t>
        </w:r>
        <w:r w:rsidR="00D842CC">
          <w:rPr>
            <w:noProof/>
            <w:webHidden/>
          </w:rPr>
          <w:tab/>
        </w:r>
        <w:r w:rsidR="00D842CC">
          <w:rPr>
            <w:noProof/>
            <w:webHidden/>
          </w:rPr>
          <w:fldChar w:fldCharType="begin"/>
        </w:r>
        <w:r w:rsidR="00D842CC">
          <w:rPr>
            <w:noProof/>
            <w:webHidden/>
          </w:rPr>
          <w:instrText xml:space="preserve"> PAGEREF _Toc529178946 \h </w:instrText>
        </w:r>
        <w:r w:rsidR="00D842CC">
          <w:rPr>
            <w:noProof/>
            <w:webHidden/>
          </w:rPr>
        </w:r>
        <w:r w:rsidR="00D842CC">
          <w:rPr>
            <w:noProof/>
            <w:webHidden/>
          </w:rPr>
          <w:fldChar w:fldCharType="separate"/>
        </w:r>
        <w:r w:rsidR="00D842CC">
          <w:rPr>
            <w:noProof/>
            <w:webHidden/>
          </w:rPr>
          <w:t>8</w:t>
        </w:r>
        <w:r w:rsidR="00D842CC">
          <w:rPr>
            <w:noProof/>
            <w:webHidden/>
          </w:rPr>
          <w:fldChar w:fldCharType="end"/>
        </w:r>
      </w:hyperlink>
    </w:p>
    <w:p w14:paraId="40DF2DA0" w14:textId="77777777" w:rsidR="00D842CC" w:rsidRDefault="00F40443">
      <w:pPr>
        <w:pStyle w:val="TOC1"/>
        <w:tabs>
          <w:tab w:val="right" w:leader="dot" w:pos="9016"/>
        </w:tabs>
        <w:rPr>
          <w:rFonts w:eastAsiaTheme="minorEastAsia" w:cstheme="minorBidi"/>
          <w:b w:val="0"/>
          <w:bCs w:val="0"/>
          <w:i w:val="0"/>
          <w:iCs w:val="0"/>
          <w:noProof/>
          <w:sz w:val="22"/>
          <w:szCs w:val="22"/>
          <w:lang w:eastAsia="da-DK"/>
        </w:rPr>
      </w:pPr>
      <w:hyperlink w:anchor="_Toc529178947" w:history="1">
        <w:r w:rsidR="00D842CC" w:rsidRPr="00FD71F9">
          <w:rPr>
            <w:rStyle w:val="Hyperlink"/>
            <w:rFonts w:cs="Times New Roman"/>
            <w:noProof/>
            <w:lang w:val="en-US"/>
          </w:rPr>
          <w:t>Typical characteristics and capacities</w:t>
        </w:r>
        <w:r w:rsidR="00D842CC">
          <w:rPr>
            <w:noProof/>
            <w:webHidden/>
          </w:rPr>
          <w:tab/>
        </w:r>
        <w:r w:rsidR="00D842CC">
          <w:rPr>
            <w:noProof/>
            <w:webHidden/>
          </w:rPr>
          <w:fldChar w:fldCharType="begin"/>
        </w:r>
        <w:r w:rsidR="00D842CC">
          <w:rPr>
            <w:noProof/>
            <w:webHidden/>
          </w:rPr>
          <w:instrText xml:space="preserve"> PAGEREF _Toc529178947 \h </w:instrText>
        </w:r>
        <w:r w:rsidR="00D842CC">
          <w:rPr>
            <w:noProof/>
            <w:webHidden/>
          </w:rPr>
        </w:r>
        <w:r w:rsidR="00D842CC">
          <w:rPr>
            <w:noProof/>
            <w:webHidden/>
          </w:rPr>
          <w:fldChar w:fldCharType="separate"/>
        </w:r>
        <w:r w:rsidR="00D842CC">
          <w:rPr>
            <w:noProof/>
            <w:webHidden/>
          </w:rPr>
          <w:t>9</w:t>
        </w:r>
        <w:r w:rsidR="00D842CC">
          <w:rPr>
            <w:noProof/>
            <w:webHidden/>
          </w:rPr>
          <w:fldChar w:fldCharType="end"/>
        </w:r>
      </w:hyperlink>
    </w:p>
    <w:p w14:paraId="4CE62A44" w14:textId="77777777" w:rsidR="00D842CC" w:rsidRDefault="00F40443">
      <w:pPr>
        <w:pStyle w:val="TOC1"/>
        <w:tabs>
          <w:tab w:val="right" w:leader="dot" w:pos="9016"/>
        </w:tabs>
        <w:rPr>
          <w:rFonts w:eastAsiaTheme="minorEastAsia" w:cstheme="minorBidi"/>
          <w:b w:val="0"/>
          <w:bCs w:val="0"/>
          <w:i w:val="0"/>
          <w:iCs w:val="0"/>
          <w:noProof/>
          <w:sz w:val="22"/>
          <w:szCs w:val="22"/>
          <w:lang w:eastAsia="da-DK"/>
        </w:rPr>
      </w:pPr>
      <w:hyperlink w:anchor="_Toc529178948" w:history="1">
        <w:r w:rsidR="00D842CC" w:rsidRPr="00FD71F9">
          <w:rPr>
            <w:rStyle w:val="Hyperlink"/>
            <w:rFonts w:cs="Times New Roman"/>
            <w:noProof/>
            <w:lang w:val="en-US"/>
          </w:rPr>
          <w:t>Typical storage period</w:t>
        </w:r>
        <w:r w:rsidR="00D842CC">
          <w:rPr>
            <w:noProof/>
            <w:webHidden/>
          </w:rPr>
          <w:tab/>
        </w:r>
        <w:r w:rsidR="00D842CC">
          <w:rPr>
            <w:noProof/>
            <w:webHidden/>
          </w:rPr>
          <w:fldChar w:fldCharType="begin"/>
        </w:r>
        <w:r w:rsidR="00D842CC">
          <w:rPr>
            <w:noProof/>
            <w:webHidden/>
          </w:rPr>
          <w:instrText xml:space="preserve"> PAGEREF _Toc529178948 \h </w:instrText>
        </w:r>
        <w:r w:rsidR="00D842CC">
          <w:rPr>
            <w:noProof/>
            <w:webHidden/>
          </w:rPr>
        </w:r>
        <w:r w:rsidR="00D842CC">
          <w:rPr>
            <w:noProof/>
            <w:webHidden/>
          </w:rPr>
          <w:fldChar w:fldCharType="separate"/>
        </w:r>
        <w:r w:rsidR="00D842CC">
          <w:rPr>
            <w:noProof/>
            <w:webHidden/>
          </w:rPr>
          <w:t>9</w:t>
        </w:r>
        <w:r w:rsidR="00D842CC">
          <w:rPr>
            <w:noProof/>
            <w:webHidden/>
          </w:rPr>
          <w:fldChar w:fldCharType="end"/>
        </w:r>
      </w:hyperlink>
    </w:p>
    <w:p w14:paraId="34F0560F" w14:textId="77777777" w:rsidR="00D842CC" w:rsidRDefault="00F40443">
      <w:pPr>
        <w:pStyle w:val="TOC1"/>
        <w:tabs>
          <w:tab w:val="right" w:leader="dot" w:pos="9016"/>
        </w:tabs>
        <w:rPr>
          <w:rFonts w:eastAsiaTheme="minorEastAsia" w:cstheme="minorBidi"/>
          <w:b w:val="0"/>
          <w:bCs w:val="0"/>
          <w:i w:val="0"/>
          <w:iCs w:val="0"/>
          <w:noProof/>
          <w:sz w:val="22"/>
          <w:szCs w:val="22"/>
          <w:lang w:eastAsia="da-DK"/>
        </w:rPr>
      </w:pPr>
      <w:hyperlink w:anchor="_Toc529178949" w:history="1">
        <w:r w:rsidR="00D842CC" w:rsidRPr="00FD71F9">
          <w:rPr>
            <w:rStyle w:val="Hyperlink"/>
            <w:rFonts w:cs="Times New Roman"/>
            <w:noProof/>
            <w:lang w:val="en-US"/>
          </w:rPr>
          <w:t>Space requirement</w:t>
        </w:r>
        <w:r w:rsidR="00D842CC">
          <w:rPr>
            <w:noProof/>
            <w:webHidden/>
          </w:rPr>
          <w:tab/>
        </w:r>
        <w:r w:rsidR="00D842CC">
          <w:rPr>
            <w:noProof/>
            <w:webHidden/>
          </w:rPr>
          <w:fldChar w:fldCharType="begin"/>
        </w:r>
        <w:r w:rsidR="00D842CC">
          <w:rPr>
            <w:noProof/>
            <w:webHidden/>
          </w:rPr>
          <w:instrText xml:space="preserve"> PAGEREF _Toc529178949 \h </w:instrText>
        </w:r>
        <w:r w:rsidR="00D842CC">
          <w:rPr>
            <w:noProof/>
            <w:webHidden/>
          </w:rPr>
        </w:r>
        <w:r w:rsidR="00D842CC">
          <w:rPr>
            <w:noProof/>
            <w:webHidden/>
          </w:rPr>
          <w:fldChar w:fldCharType="separate"/>
        </w:r>
        <w:r w:rsidR="00D842CC">
          <w:rPr>
            <w:noProof/>
            <w:webHidden/>
          </w:rPr>
          <w:t>10</w:t>
        </w:r>
        <w:r w:rsidR="00D842CC">
          <w:rPr>
            <w:noProof/>
            <w:webHidden/>
          </w:rPr>
          <w:fldChar w:fldCharType="end"/>
        </w:r>
      </w:hyperlink>
    </w:p>
    <w:p w14:paraId="032251BF" w14:textId="77777777" w:rsidR="00D842CC" w:rsidRDefault="00F40443">
      <w:pPr>
        <w:pStyle w:val="TOC1"/>
        <w:tabs>
          <w:tab w:val="right" w:leader="dot" w:pos="9016"/>
        </w:tabs>
        <w:rPr>
          <w:rFonts w:eastAsiaTheme="minorEastAsia" w:cstheme="minorBidi"/>
          <w:b w:val="0"/>
          <w:bCs w:val="0"/>
          <w:i w:val="0"/>
          <w:iCs w:val="0"/>
          <w:noProof/>
          <w:sz w:val="22"/>
          <w:szCs w:val="22"/>
          <w:lang w:eastAsia="da-DK"/>
        </w:rPr>
      </w:pPr>
      <w:hyperlink w:anchor="_Toc529178950" w:history="1">
        <w:r w:rsidR="00D842CC" w:rsidRPr="00FD71F9">
          <w:rPr>
            <w:rStyle w:val="Hyperlink"/>
            <w:rFonts w:cs="Times New Roman"/>
            <w:noProof/>
            <w:lang w:val="en-US"/>
          </w:rPr>
          <w:t>Advantages/disadvantages</w:t>
        </w:r>
        <w:r w:rsidR="00D842CC">
          <w:rPr>
            <w:noProof/>
            <w:webHidden/>
          </w:rPr>
          <w:tab/>
        </w:r>
        <w:r w:rsidR="00D842CC">
          <w:rPr>
            <w:noProof/>
            <w:webHidden/>
          </w:rPr>
          <w:fldChar w:fldCharType="begin"/>
        </w:r>
        <w:r w:rsidR="00D842CC">
          <w:rPr>
            <w:noProof/>
            <w:webHidden/>
          </w:rPr>
          <w:instrText xml:space="preserve"> PAGEREF _Toc529178950 \h </w:instrText>
        </w:r>
        <w:r w:rsidR="00D842CC">
          <w:rPr>
            <w:noProof/>
            <w:webHidden/>
          </w:rPr>
        </w:r>
        <w:r w:rsidR="00D842CC">
          <w:rPr>
            <w:noProof/>
            <w:webHidden/>
          </w:rPr>
          <w:fldChar w:fldCharType="separate"/>
        </w:r>
        <w:r w:rsidR="00D842CC">
          <w:rPr>
            <w:noProof/>
            <w:webHidden/>
          </w:rPr>
          <w:t>10</w:t>
        </w:r>
        <w:r w:rsidR="00D842CC">
          <w:rPr>
            <w:noProof/>
            <w:webHidden/>
          </w:rPr>
          <w:fldChar w:fldCharType="end"/>
        </w:r>
      </w:hyperlink>
    </w:p>
    <w:p w14:paraId="56A6CD20" w14:textId="77777777" w:rsidR="00D842CC" w:rsidRDefault="00F40443">
      <w:pPr>
        <w:pStyle w:val="TOC1"/>
        <w:tabs>
          <w:tab w:val="right" w:leader="dot" w:pos="9016"/>
        </w:tabs>
        <w:rPr>
          <w:rFonts w:eastAsiaTheme="minorEastAsia" w:cstheme="minorBidi"/>
          <w:b w:val="0"/>
          <w:bCs w:val="0"/>
          <w:i w:val="0"/>
          <w:iCs w:val="0"/>
          <w:noProof/>
          <w:sz w:val="22"/>
          <w:szCs w:val="22"/>
          <w:lang w:eastAsia="da-DK"/>
        </w:rPr>
      </w:pPr>
      <w:hyperlink w:anchor="_Toc529178951" w:history="1">
        <w:r w:rsidR="00D842CC" w:rsidRPr="00FD71F9">
          <w:rPr>
            <w:rStyle w:val="Hyperlink"/>
            <w:rFonts w:cs="Times New Roman"/>
            <w:noProof/>
            <w:lang w:val="en-US"/>
          </w:rPr>
          <w:t>Environment</w:t>
        </w:r>
        <w:r w:rsidR="00D842CC">
          <w:rPr>
            <w:noProof/>
            <w:webHidden/>
          </w:rPr>
          <w:tab/>
        </w:r>
        <w:r w:rsidR="00D842CC">
          <w:rPr>
            <w:noProof/>
            <w:webHidden/>
          </w:rPr>
          <w:fldChar w:fldCharType="begin"/>
        </w:r>
        <w:r w:rsidR="00D842CC">
          <w:rPr>
            <w:noProof/>
            <w:webHidden/>
          </w:rPr>
          <w:instrText xml:space="preserve"> PAGEREF _Toc529178951 \h </w:instrText>
        </w:r>
        <w:r w:rsidR="00D842CC">
          <w:rPr>
            <w:noProof/>
            <w:webHidden/>
          </w:rPr>
        </w:r>
        <w:r w:rsidR="00D842CC">
          <w:rPr>
            <w:noProof/>
            <w:webHidden/>
          </w:rPr>
          <w:fldChar w:fldCharType="separate"/>
        </w:r>
        <w:r w:rsidR="00D842CC">
          <w:rPr>
            <w:noProof/>
            <w:webHidden/>
          </w:rPr>
          <w:t>10</w:t>
        </w:r>
        <w:r w:rsidR="00D842CC">
          <w:rPr>
            <w:noProof/>
            <w:webHidden/>
          </w:rPr>
          <w:fldChar w:fldCharType="end"/>
        </w:r>
      </w:hyperlink>
    </w:p>
    <w:p w14:paraId="58181C11" w14:textId="77777777" w:rsidR="00D842CC" w:rsidRDefault="00F40443">
      <w:pPr>
        <w:pStyle w:val="TOC1"/>
        <w:tabs>
          <w:tab w:val="right" w:leader="dot" w:pos="9016"/>
        </w:tabs>
        <w:rPr>
          <w:rFonts w:eastAsiaTheme="minorEastAsia" w:cstheme="minorBidi"/>
          <w:b w:val="0"/>
          <w:bCs w:val="0"/>
          <w:i w:val="0"/>
          <w:iCs w:val="0"/>
          <w:noProof/>
          <w:sz w:val="22"/>
          <w:szCs w:val="22"/>
          <w:lang w:eastAsia="da-DK"/>
        </w:rPr>
      </w:pPr>
      <w:hyperlink w:anchor="_Toc529178952" w:history="1">
        <w:r w:rsidR="00D842CC" w:rsidRPr="00FD71F9">
          <w:rPr>
            <w:rStyle w:val="Hyperlink"/>
            <w:rFonts w:cs="Times New Roman"/>
            <w:noProof/>
            <w:lang w:val="en-US"/>
          </w:rPr>
          <w:t>Research and development perspectives</w:t>
        </w:r>
        <w:r w:rsidR="00D842CC">
          <w:rPr>
            <w:noProof/>
            <w:webHidden/>
          </w:rPr>
          <w:tab/>
        </w:r>
        <w:r w:rsidR="00D842CC">
          <w:rPr>
            <w:noProof/>
            <w:webHidden/>
          </w:rPr>
          <w:fldChar w:fldCharType="begin"/>
        </w:r>
        <w:r w:rsidR="00D842CC">
          <w:rPr>
            <w:noProof/>
            <w:webHidden/>
          </w:rPr>
          <w:instrText xml:space="preserve"> PAGEREF _Toc529178952 \h </w:instrText>
        </w:r>
        <w:r w:rsidR="00D842CC">
          <w:rPr>
            <w:noProof/>
            <w:webHidden/>
          </w:rPr>
        </w:r>
        <w:r w:rsidR="00D842CC">
          <w:rPr>
            <w:noProof/>
            <w:webHidden/>
          </w:rPr>
          <w:fldChar w:fldCharType="separate"/>
        </w:r>
        <w:r w:rsidR="00D842CC">
          <w:rPr>
            <w:noProof/>
            <w:webHidden/>
          </w:rPr>
          <w:t>11</w:t>
        </w:r>
        <w:r w:rsidR="00D842CC">
          <w:rPr>
            <w:noProof/>
            <w:webHidden/>
          </w:rPr>
          <w:fldChar w:fldCharType="end"/>
        </w:r>
      </w:hyperlink>
    </w:p>
    <w:p w14:paraId="2FF9A80C" w14:textId="77777777" w:rsidR="00D842CC" w:rsidRDefault="00F40443">
      <w:pPr>
        <w:pStyle w:val="TOC1"/>
        <w:tabs>
          <w:tab w:val="right" w:leader="dot" w:pos="9016"/>
        </w:tabs>
        <w:rPr>
          <w:rFonts w:eastAsiaTheme="minorEastAsia" w:cstheme="minorBidi"/>
          <w:b w:val="0"/>
          <w:bCs w:val="0"/>
          <w:i w:val="0"/>
          <w:iCs w:val="0"/>
          <w:noProof/>
          <w:sz w:val="22"/>
          <w:szCs w:val="22"/>
          <w:lang w:eastAsia="da-DK"/>
        </w:rPr>
      </w:pPr>
      <w:hyperlink w:anchor="_Toc529178953" w:history="1">
        <w:r w:rsidR="00D842CC" w:rsidRPr="00FD71F9">
          <w:rPr>
            <w:rStyle w:val="Hyperlink"/>
            <w:rFonts w:cs="Times New Roman"/>
            <w:noProof/>
            <w:lang w:val="en-US"/>
          </w:rPr>
          <w:t>Examples of market standard technology</w:t>
        </w:r>
        <w:r w:rsidR="00D842CC">
          <w:rPr>
            <w:noProof/>
            <w:webHidden/>
          </w:rPr>
          <w:tab/>
        </w:r>
        <w:r w:rsidR="00D842CC">
          <w:rPr>
            <w:noProof/>
            <w:webHidden/>
          </w:rPr>
          <w:fldChar w:fldCharType="begin"/>
        </w:r>
        <w:r w:rsidR="00D842CC">
          <w:rPr>
            <w:noProof/>
            <w:webHidden/>
          </w:rPr>
          <w:instrText xml:space="preserve"> PAGEREF _Toc529178953 \h </w:instrText>
        </w:r>
        <w:r w:rsidR="00D842CC">
          <w:rPr>
            <w:noProof/>
            <w:webHidden/>
          </w:rPr>
        </w:r>
        <w:r w:rsidR="00D842CC">
          <w:rPr>
            <w:noProof/>
            <w:webHidden/>
          </w:rPr>
          <w:fldChar w:fldCharType="separate"/>
        </w:r>
        <w:r w:rsidR="00D842CC">
          <w:rPr>
            <w:noProof/>
            <w:webHidden/>
          </w:rPr>
          <w:t>11</w:t>
        </w:r>
        <w:r w:rsidR="00D842CC">
          <w:rPr>
            <w:noProof/>
            <w:webHidden/>
          </w:rPr>
          <w:fldChar w:fldCharType="end"/>
        </w:r>
      </w:hyperlink>
    </w:p>
    <w:p w14:paraId="17B08F1B" w14:textId="77777777" w:rsidR="00D842CC" w:rsidRDefault="00F40443">
      <w:pPr>
        <w:pStyle w:val="TOC1"/>
        <w:tabs>
          <w:tab w:val="right" w:leader="dot" w:pos="9016"/>
        </w:tabs>
        <w:rPr>
          <w:rFonts w:eastAsiaTheme="minorEastAsia" w:cstheme="minorBidi"/>
          <w:b w:val="0"/>
          <w:bCs w:val="0"/>
          <w:i w:val="0"/>
          <w:iCs w:val="0"/>
          <w:noProof/>
          <w:sz w:val="22"/>
          <w:szCs w:val="22"/>
          <w:lang w:eastAsia="da-DK"/>
        </w:rPr>
      </w:pPr>
      <w:hyperlink w:anchor="_Toc529178954" w:history="1">
        <w:r w:rsidR="00D842CC" w:rsidRPr="00FD71F9">
          <w:rPr>
            <w:rStyle w:val="Hyperlink"/>
            <w:rFonts w:cs="Times New Roman"/>
            <w:noProof/>
            <w:lang w:val="en-US"/>
          </w:rPr>
          <w:t>Prediction of performance and cost</w:t>
        </w:r>
        <w:r w:rsidR="00D842CC">
          <w:rPr>
            <w:noProof/>
            <w:webHidden/>
          </w:rPr>
          <w:tab/>
        </w:r>
        <w:r w:rsidR="00D842CC">
          <w:rPr>
            <w:noProof/>
            <w:webHidden/>
          </w:rPr>
          <w:fldChar w:fldCharType="begin"/>
        </w:r>
        <w:r w:rsidR="00D842CC">
          <w:rPr>
            <w:noProof/>
            <w:webHidden/>
          </w:rPr>
          <w:instrText xml:space="preserve"> PAGEREF _Toc529178954 \h </w:instrText>
        </w:r>
        <w:r w:rsidR="00D842CC">
          <w:rPr>
            <w:noProof/>
            <w:webHidden/>
          </w:rPr>
        </w:r>
        <w:r w:rsidR="00D842CC">
          <w:rPr>
            <w:noProof/>
            <w:webHidden/>
          </w:rPr>
          <w:fldChar w:fldCharType="separate"/>
        </w:r>
        <w:r w:rsidR="00D842CC">
          <w:rPr>
            <w:noProof/>
            <w:webHidden/>
          </w:rPr>
          <w:t>13</w:t>
        </w:r>
        <w:r w:rsidR="00D842CC">
          <w:rPr>
            <w:noProof/>
            <w:webHidden/>
          </w:rPr>
          <w:fldChar w:fldCharType="end"/>
        </w:r>
      </w:hyperlink>
    </w:p>
    <w:p w14:paraId="6B6EC1DE" w14:textId="77777777" w:rsidR="00D842CC" w:rsidRDefault="00F40443">
      <w:pPr>
        <w:pStyle w:val="TOC1"/>
        <w:tabs>
          <w:tab w:val="right" w:leader="dot" w:pos="9016"/>
        </w:tabs>
        <w:rPr>
          <w:rFonts w:eastAsiaTheme="minorEastAsia" w:cstheme="minorBidi"/>
          <w:b w:val="0"/>
          <w:bCs w:val="0"/>
          <w:i w:val="0"/>
          <w:iCs w:val="0"/>
          <w:noProof/>
          <w:sz w:val="22"/>
          <w:szCs w:val="22"/>
          <w:lang w:eastAsia="da-DK"/>
        </w:rPr>
      </w:pPr>
      <w:hyperlink w:anchor="_Toc529178955" w:history="1">
        <w:r w:rsidR="00D842CC" w:rsidRPr="00FD71F9">
          <w:rPr>
            <w:rStyle w:val="Hyperlink"/>
            <w:rFonts w:cs="Times New Roman"/>
            <w:noProof/>
            <w:lang w:val="en-US"/>
          </w:rPr>
          <w:t>Uncertainty</w:t>
        </w:r>
        <w:r w:rsidR="00D842CC">
          <w:rPr>
            <w:noProof/>
            <w:webHidden/>
          </w:rPr>
          <w:tab/>
        </w:r>
        <w:r w:rsidR="00D842CC">
          <w:rPr>
            <w:noProof/>
            <w:webHidden/>
          </w:rPr>
          <w:fldChar w:fldCharType="begin"/>
        </w:r>
        <w:r w:rsidR="00D842CC">
          <w:rPr>
            <w:noProof/>
            <w:webHidden/>
          </w:rPr>
          <w:instrText xml:space="preserve"> PAGEREF _Toc529178955 \h </w:instrText>
        </w:r>
        <w:r w:rsidR="00D842CC">
          <w:rPr>
            <w:noProof/>
            <w:webHidden/>
          </w:rPr>
        </w:r>
        <w:r w:rsidR="00D842CC">
          <w:rPr>
            <w:noProof/>
            <w:webHidden/>
          </w:rPr>
          <w:fldChar w:fldCharType="separate"/>
        </w:r>
        <w:r w:rsidR="00D842CC">
          <w:rPr>
            <w:noProof/>
            <w:webHidden/>
          </w:rPr>
          <w:t>15</w:t>
        </w:r>
        <w:r w:rsidR="00D842CC">
          <w:rPr>
            <w:noProof/>
            <w:webHidden/>
          </w:rPr>
          <w:fldChar w:fldCharType="end"/>
        </w:r>
      </w:hyperlink>
    </w:p>
    <w:p w14:paraId="1310514B" w14:textId="77777777" w:rsidR="00D842CC" w:rsidRDefault="00F40443">
      <w:pPr>
        <w:pStyle w:val="TOC1"/>
        <w:tabs>
          <w:tab w:val="right" w:leader="dot" w:pos="9016"/>
        </w:tabs>
        <w:rPr>
          <w:rFonts w:eastAsiaTheme="minorEastAsia" w:cstheme="minorBidi"/>
          <w:b w:val="0"/>
          <w:bCs w:val="0"/>
          <w:i w:val="0"/>
          <w:iCs w:val="0"/>
          <w:noProof/>
          <w:sz w:val="22"/>
          <w:szCs w:val="22"/>
          <w:lang w:eastAsia="da-DK"/>
        </w:rPr>
      </w:pPr>
      <w:hyperlink w:anchor="_Toc529178956" w:history="1">
        <w:r w:rsidR="00D842CC" w:rsidRPr="00FD71F9">
          <w:rPr>
            <w:rStyle w:val="Hyperlink"/>
            <w:rFonts w:cs="Times New Roman"/>
            <w:noProof/>
            <w:lang w:val="en-US"/>
          </w:rPr>
          <w:t>Data sheet</w:t>
        </w:r>
        <w:r w:rsidR="00D842CC">
          <w:rPr>
            <w:noProof/>
            <w:webHidden/>
          </w:rPr>
          <w:tab/>
        </w:r>
        <w:r w:rsidR="00D842CC">
          <w:rPr>
            <w:noProof/>
            <w:webHidden/>
          </w:rPr>
          <w:fldChar w:fldCharType="begin"/>
        </w:r>
        <w:r w:rsidR="00D842CC">
          <w:rPr>
            <w:noProof/>
            <w:webHidden/>
          </w:rPr>
          <w:instrText xml:space="preserve"> PAGEREF _Toc529178956 \h </w:instrText>
        </w:r>
        <w:r w:rsidR="00D842CC">
          <w:rPr>
            <w:noProof/>
            <w:webHidden/>
          </w:rPr>
        </w:r>
        <w:r w:rsidR="00D842CC">
          <w:rPr>
            <w:noProof/>
            <w:webHidden/>
          </w:rPr>
          <w:fldChar w:fldCharType="separate"/>
        </w:r>
        <w:r w:rsidR="00D842CC">
          <w:rPr>
            <w:noProof/>
            <w:webHidden/>
          </w:rPr>
          <w:t>16</w:t>
        </w:r>
        <w:r w:rsidR="00D842CC">
          <w:rPr>
            <w:noProof/>
            <w:webHidden/>
          </w:rPr>
          <w:fldChar w:fldCharType="end"/>
        </w:r>
      </w:hyperlink>
    </w:p>
    <w:p w14:paraId="740B7672" w14:textId="77777777" w:rsidR="00D842CC" w:rsidRDefault="00F40443">
      <w:pPr>
        <w:pStyle w:val="TOC1"/>
        <w:tabs>
          <w:tab w:val="right" w:leader="dot" w:pos="9016"/>
        </w:tabs>
        <w:rPr>
          <w:rFonts w:eastAsiaTheme="minorEastAsia" w:cstheme="minorBidi"/>
          <w:b w:val="0"/>
          <w:bCs w:val="0"/>
          <w:i w:val="0"/>
          <w:iCs w:val="0"/>
          <w:noProof/>
          <w:sz w:val="22"/>
          <w:szCs w:val="22"/>
          <w:lang w:eastAsia="da-DK"/>
        </w:rPr>
      </w:pPr>
      <w:hyperlink w:anchor="_Toc529178957" w:history="1">
        <w:r w:rsidR="00D842CC" w:rsidRPr="00FD71F9">
          <w:rPr>
            <w:rStyle w:val="Hyperlink"/>
            <w:rFonts w:cs="Times New Roman"/>
            <w:noProof/>
            <w:lang w:val="en-US"/>
          </w:rPr>
          <w:t>Acknowledgement</w:t>
        </w:r>
        <w:r w:rsidR="00D842CC">
          <w:rPr>
            <w:noProof/>
            <w:webHidden/>
          </w:rPr>
          <w:tab/>
        </w:r>
        <w:r w:rsidR="00D842CC">
          <w:rPr>
            <w:noProof/>
            <w:webHidden/>
          </w:rPr>
          <w:fldChar w:fldCharType="begin"/>
        </w:r>
        <w:r w:rsidR="00D842CC">
          <w:rPr>
            <w:noProof/>
            <w:webHidden/>
          </w:rPr>
          <w:instrText xml:space="preserve"> PAGEREF _Toc529178957 \h </w:instrText>
        </w:r>
        <w:r w:rsidR="00D842CC">
          <w:rPr>
            <w:noProof/>
            <w:webHidden/>
          </w:rPr>
        </w:r>
        <w:r w:rsidR="00D842CC">
          <w:rPr>
            <w:noProof/>
            <w:webHidden/>
          </w:rPr>
          <w:fldChar w:fldCharType="separate"/>
        </w:r>
        <w:r w:rsidR="00D842CC">
          <w:rPr>
            <w:noProof/>
            <w:webHidden/>
          </w:rPr>
          <w:t>18</w:t>
        </w:r>
        <w:r w:rsidR="00D842CC">
          <w:rPr>
            <w:noProof/>
            <w:webHidden/>
          </w:rPr>
          <w:fldChar w:fldCharType="end"/>
        </w:r>
      </w:hyperlink>
    </w:p>
    <w:p w14:paraId="76CBE933" w14:textId="77777777" w:rsidR="00D842CC" w:rsidRDefault="00F40443">
      <w:pPr>
        <w:pStyle w:val="TOC1"/>
        <w:tabs>
          <w:tab w:val="right" w:leader="dot" w:pos="9016"/>
        </w:tabs>
        <w:rPr>
          <w:rFonts w:eastAsiaTheme="minorEastAsia" w:cstheme="minorBidi"/>
          <w:b w:val="0"/>
          <w:bCs w:val="0"/>
          <w:i w:val="0"/>
          <w:iCs w:val="0"/>
          <w:noProof/>
          <w:sz w:val="22"/>
          <w:szCs w:val="22"/>
          <w:lang w:eastAsia="da-DK"/>
        </w:rPr>
      </w:pPr>
      <w:hyperlink w:anchor="_Toc529178958" w:history="1">
        <w:r w:rsidR="00D842CC" w:rsidRPr="00FD71F9">
          <w:rPr>
            <w:rStyle w:val="Hyperlink"/>
            <w:rFonts w:cs="Times New Roman"/>
            <w:noProof/>
            <w:lang w:val="en-US"/>
          </w:rPr>
          <w:t>References</w:t>
        </w:r>
        <w:r w:rsidR="00D842CC">
          <w:rPr>
            <w:noProof/>
            <w:webHidden/>
          </w:rPr>
          <w:tab/>
        </w:r>
        <w:r w:rsidR="00D842CC">
          <w:rPr>
            <w:noProof/>
            <w:webHidden/>
          </w:rPr>
          <w:fldChar w:fldCharType="begin"/>
        </w:r>
        <w:r w:rsidR="00D842CC">
          <w:rPr>
            <w:noProof/>
            <w:webHidden/>
          </w:rPr>
          <w:instrText xml:space="preserve"> PAGEREF _Toc529178958 \h </w:instrText>
        </w:r>
        <w:r w:rsidR="00D842CC">
          <w:rPr>
            <w:noProof/>
            <w:webHidden/>
          </w:rPr>
        </w:r>
        <w:r w:rsidR="00D842CC">
          <w:rPr>
            <w:noProof/>
            <w:webHidden/>
          </w:rPr>
          <w:fldChar w:fldCharType="separate"/>
        </w:r>
        <w:r w:rsidR="00D842CC">
          <w:rPr>
            <w:noProof/>
            <w:webHidden/>
          </w:rPr>
          <w:t>18</w:t>
        </w:r>
        <w:r w:rsidR="00D842CC">
          <w:rPr>
            <w:noProof/>
            <w:webHidden/>
          </w:rPr>
          <w:fldChar w:fldCharType="end"/>
        </w:r>
      </w:hyperlink>
    </w:p>
    <w:p w14:paraId="69B5C099" w14:textId="0EE4AC16" w:rsidR="00D842CC" w:rsidRDefault="00D842CC" w:rsidP="000B7372">
      <w:pPr>
        <w:spacing w:before="40" w:after="0"/>
        <w:rPr>
          <w:rFonts w:ascii="Times New Roman" w:hAnsi="Times New Roman" w:cs="Times New Roman"/>
          <w:lang w:val="en-US"/>
        </w:rPr>
      </w:pPr>
      <w:r>
        <w:rPr>
          <w:rFonts w:ascii="Times New Roman" w:hAnsi="Times New Roman" w:cs="Times New Roman"/>
          <w:lang w:val="en-US"/>
        </w:rPr>
        <w:fldChar w:fldCharType="end"/>
      </w:r>
    </w:p>
    <w:p w14:paraId="793F9351" w14:textId="6918A5A9" w:rsidR="002D5496" w:rsidRPr="009A64AC" w:rsidRDefault="002D5496" w:rsidP="00A95A70">
      <w:pPr>
        <w:pStyle w:val="Heading1"/>
        <w:rPr>
          <w:rFonts w:cs="Times New Roman"/>
          <w:bCs/>
          <w:lang w:val="en-US"/>
        </w:rPr>
      </w:pPr>
      <w:bookmarkStart w:id="2" w:name="_Toc529169822"/>
      <w:bookmarkStart w:id="3" w:name="_Toc529178821"/>
      <w:bookmarkStart w:id="4" w:name="_Toc529178936"/>
      <w:r w:rsidRPr="009A64AC">
        <w:rPr>
          <w:rFonts w:cs="Times New Roman"/>
          <w:lang w:val="en-US"/>
        </w:rPr>
        <w:t>Brief technology description</w:t>
      </w:r>
      <w:bookmarkEnd w:id="0"/>
      <w:bookmarkEnd w:id="2"/>
      <w:bookmarkEnd w:id="3"/>
      <w:bookmarkEnd w:id="4"/>
      <w:r w:rsidRPr="009A64AC">
        <w:rPr>
          <w:rFonts w:cs="Times New Roman"/>
          <w:bCs/>
          <w:lang w:val="en-US"/>
        </w:rPr>
        <w:t xml:space="preserve"> </w:t>
      </w:r>
    </w:p>
    <w:p w14:paraId="7B18949E" w14:textId="77777777" w:rsidR="002D5496" w:rsidRPr="009A64AC" w:rsidRDefault="002D5496" w:rsidP="00A95A70">
      <w:pPr>
        <w:pStyle w:val="Heading2"/>
        <w:rPr>
          <w:rFonts w:ascii="Times New Roman" w:hAnsi="Times New Roman" w:cs="Times New Roman"/>
        </w:rPr>
      </w:pPr>
      <w:bookmarkStart w:id="5" w:name="_Toc528918097"/>
      <w:bookmarkStart w:id="6" w:name="_Toc529169823"/>
      <w:bookmarkStart w:id="7" w:name="_Toc529178822"/>
      <w:bookmarkStart w:id="8" w:name="_Toc529178937"/>
      <w:r w:rsidRPr="009A64AC">
        <w:rPr>
          <w:rFonts w:ascii="Times New Roman" w:hAnsi="Times New Roman" w:cs="Times New Roman"/>
        </w:rPr>
        <w:t xml:space="preserve">How does a </w:t>
      </w:r>
      <w:proofErr w:type="spellStart"/>
      <w:r w:rsidRPr="009A64AC">
        <w:rPr>
          <w:rFonts w:ascii="Times New Roman" w:hAnsi="Times New Roman" w:cs="Times New Roman"/>
        </w:rPr>
        <w:t>Lihium</w:t>
      </w:r>
      <w:proofErr w:type="spellEnd"/>
      <w:r w:rsidRPr="009A64AC">
        <w:rPr>
          <w:rFonts w:ascii="Times New Roman" w:hAnsi="Times New Roman" w:cs="Times New Roman"/>
        </w:rPr>
        <w:t>-ion battery work?</w:t>
      </w:r>
      <w:bookmarkEnd w:id="5"/>
      <w:bookmarkEnd w:id="6"/>
      <w:bookmarkEnd w:id="7"/>
      <w:bookmarkEnd w:id="8"/>
      <w:r w:rsidRPr="009A64AC">
        <w:rPr>
          <w:rFonts w:ascii="Times New Roman" w:hAnsi="Times New Roman" w:cs="Times New Roman"/>
        </w:rPr>
        <w:t xml:space="preserve"> </w:t>
      </w:r>
    </w:p>
    <w:p w14:paraId="790A6FB9" w14:textId="58CF679C" w:rsidR="002D5496" w:rsidRPr="003074D8" w:rsidRDefault="002D5496" w:rsidP="002D5496">
      <w:pPr>
        <w:tabs>
          <w:tab w:val="left" w:pos="6946"/>
        </w:tabs>
        <w:spacing w:after="0"/>
        <w:rPr>
          <w:rFonts w:ascii="Times New Roman" w:hAnsi="Times New Roman" w:cs="Times New Roman"/>
          <w:color w:val="000000" w:themeColor="text1"/>
          <w:sz w:val="24"/>
          <w:szCs w:val="24"/>
          <w:lang w:val="en-US"/>
        </w:rPr>
      </w:pPr>
      <w:r w:rsidRPr="009A64AC">
        <w:rPr>
          <w:rFonts w:ascii="Times New Roman" w:hAnsi="Times New Roman" w:cs="Times New Roman"/>
          <w:color w:val="000000" w:themeColor="text1"/>
          <w:sz w:val="24"/>
          <w:lang w:val="en-US"/>
        </w:rPr>
        <w:t xml:space="preserve">A lithium-ion battery or Li-ion battery (abbreviated as LIB) can </w:t>
      </w:r>
      <w:r w:rsidRPr="009A64AC">
        <w:rPr>
          <w:rFonts w:ascii="Times New Roman" w:hAnsi="Times New Roman" w:cs="Times New Roman"/>
          <w:color w:val="000000" w:themeColor="text1"/>
          <w:sz w:val="24"/>
          <w:szCs w:val="24"/>
          <w:lang w:val="en-US"/>
        </w:rPr>
        <w:t>store electric energy as chemical energy. Both non-</w:t>
      </w:r>
      <w:proofErr w:type="spellStart"/>
      <w:r w:rsidRPr="009A64AC">
        <w:rPr>
          <w:rFonts w:ascii="Times New Roman" w:hAnsi="Times New Roman" w:cs="Times New Roman"/>
          <w:color w:val="000000" w:themeColor="text1"/>
          <w:sz w:val="24"/>
          <w:szCs w:val="24"/>
          <w:lang w:val="en-US"/>
        </w:rPr>
        <w:t>rechargable</w:t>
      </w:r>
      <w:proofErr w:type="spellEnd"/>
      <w:r w:rsidRPr="009A64AC">
        <w:rPr>
          <w:rFonts w:ascii="Times New Roman" w:hAnsi="Times New Roman" w:cs="Times New Roman"/>
          <w:color w:val="000000" w:themeColor="text1"/>
          <w:sz w:val="24"/>
          <w:szCs w:val="24"/>
          <w:lang w:val="en-US"/>
        </w:rPr>
        <w:t xml:space="preserve"> and rechargeable LIBs are commercially available. The non-</w:t>
      </w:r>
      <w:proofErr w:type="spellStart"/>
      <w:r w:rsidRPr="009A64AC">
        <w:rPr>
          <w:rFonts w:ascii="Times New Roman" w:hAnsi="Times New Roman" w:cs="Times New Roman"/>
          <w:color w:val="000000" w:themeColor="text1"/>
          <w:sz w:val="24"/>
          <w:szCs w:val="24"/>
          <w:lang w:val="en-US"/>
        </w:rPr>
        <w:t>rechargable</w:t>
      </w:r>
      <w:proofErr w:type="spellEnd"/>
      <w:r w:rsidRPr="009A64AC">
        <w:rPr>
          <w:rFonts w:ascii="Times New Roman" w:hAnsi="Times New Roman" w:cs="Times New Roman"/>
          <w:color w:val="000000" w:themeColor="text1"/>
          <w:sz w:val="24"/>
          <w:szCs w:val="24"/>
          <w:lang w:val="en-US"/>
        </w:rPr>
        <w:t xml:space="preserve"> LIBs (also called primary cells) have long shelf-life and low self-discharge rates, and are typically fabricated as small button cells for e.g. </w:t>
      </w:r>
      <w:r w:rsidR="00E172F3" w:rsidRPr="009A64AC">
        <w:rPr>
          <w:rFonts w:ascii="Times New Roman" w:hAnsi="Times New Roman" w:cs="Times New Roman"/>
          <w:color w:val="000000" w:themeColor="text1"/>
          <w:sz w:val="24"/>
          <w:szCs w:val="24"/>
          <w:lang w:val="en-US"/>
        </w:rPr>
        <w:t xml:space="preserve">portable consumer </w:t>
      </w:r>
      <w:r w:rsidR="00E172F3" w:rsidRPr="009A64AC">
        <w:rPr>
          <w:rFonts w:ascii="Times New Roman" w:hAnsi="Times New Roman" w:cs="Times New Roman"/>
          <w:color w:val="000000" w:themeColor="text1"/>
          <w:sz w:val="24"/>
          <w:szCs w:val="24"/>
          <w:lang w:val="en-US"/>
        </w:rPr>
        <w:lastRenderedPageBreak/>
        <w:t xml:space="preserve">electronics, </w:t>
      </w:r>
      <w:r w:rsidRPr="009A64AC">
        <w:rPr>
          <w:rFonts w:ascii="Times New Roman" w:hAnsi="Times New Roman" w:cs="Times New Roman"/>
          <w:color w:val="000000" w:themeColor="text1"/>
          <w:sz w:val="24"/>
          <w:szCs w:val="24"/>
          <w:lang w:val="en-US"/>
        </w:rPr>
        <w:t>arm watches</w:t>
      </w:r>
      <w:r w:rsidR="00A015CC" w:rsidRPr="009A64AC">
        <w:rPr>
          <w:rFonts w:ascii="Times New Roman" w:hAnsi="Times New Roman" w:cs="Times New Roman"/>
          <w:color w:val="000000" w:themeColor="text1"/>
          <w:sz w:val="24"/>
          <w:szCs w:val="24"/>
          <w:lang w:val="en-US"/>
        </w:rPr>
        <w:t xml:space="preserve"> and hearing aids</w:t>
      </w:r>
      <w:r w:rsidRPr="009A64AC">
        <w:rPr>
          <w:rFonts w:ascii="Times New Roman" w:hAnsi="Times New Roman" w:cs="Times New Roman"/>
          <w:color w:val="000000" w:themeColor="text1"/>
          <w:sz w:val="24"/>
          <w:szCs w:val="24"/>
          <w:lang w:val="en-US"/>
        </w:rPr>
        <w:t xml:space="preserve">. Rechargeable LIBs (also named secondary cells) are applied in all kinds of consumer electronics, and is currently entering new markets such as electric vehicles and large-scale electricity storage. The rechargeable LIBs can be used to supply system level services such as primary frequency regulation, voltage regulation and load shifting, as well as for local electricity storage at individual households. </w:t>
      </w:r>
      <w:r w:rsidRPr="003074D8">
        <w:rPr>
          <w:rFonts w:ascii="Times New Roman" w:hAnsi="Times New Roman" w:cs="Times New Roman"/>
          <w:color w:val="000000" w:themeColor="text1"/>
          <w:sz w:val="24"/>
          <w:szCs w:val="24"/>
          <w:lang w:val="en-US"/>
        </w:rPr>
        <w:t>Below we only focus on the rechargeable LIBs.</w:t>
      </w:r>
    </w:p>
    <w:p w14:paraId="206D1601" w14:textId="77777777" w:rsidR="002D5496" w:rsidRPr="003074D8" w:rsidRDefault="002D5496" w:rsidP="002D5496">
      <w:pPr>
        <w:tabs>
          <w:tab w:val="left" w:pos="6946"/>
        </w:tabs>
        <w:spacing w:after="0"/>
        <w:rPr>
          <w:rFonts w:ascii="Times New Roman" w:hAnsi="Times New Roman" w:cs="Times New Roman"/>
          <w:color w:val="000000" w:themeColor="text1"/>
          <w:sz w:val="24"/>
          <w:szCs w:val="24"/>
          <w:lang w:val="en-US"/>
        </w:rPr>
      </w:pPr>
    </w:p>
    <w:p w14:paraId="13F1D957" w14:textId="77777777" w:rsidR="002D5496" w:rsidRDefault="002D5496" w:rsidP="002D5496">
      <w:pPr>
        <w:tabs>
          <w:tab w:val="left" w:pos="6946"/>
        </w:tabs>
        <w:spacing w:after="0"/>
        <w:rPr>
          <w:rFonts w:ascii="Times New Roman" w:hAnsi="Times New Roman" w:cs="Times New Roman"/>
          <w:noProof/>
          <w:sz w:val="24"/>
          <w:szCs w:val="24"/>
          <w:lang w:val="en-US"/>
        </w:rPr>
      </w:pPr>
      <w:r w:rsidRPr="009A64AC">
        <w:rPr>
          <w:rFonts w:ascii="Times New Roman" w:hAnsi="Times New Roman" w:cs="Times New Roman"/>
          <w:color w:val="000000" w:themeColor="text1"/>
          <w:sz w:val="24"/>
          <w:lang w:val="en-US"/>
        </w:rPr>
        <w:t xml:space="preserve">A LIB contains </w:t>
      </w:r>
      <w:r w:rsidRPr="009A64AC">
        <w:rPr>
          <w:rFonts w:ascii="Times New Roman" w:hAnsi="Times New Roman" w:cs="Times New Roman"/>
          <w:color w:val="000000" w:themeColor="text1"/>
          <w:sz w:val="24"/>
          <w:szCs w:val="24"/>
          <w:lang w:val="en-US"/>
        </w:rPr>
        <w:t xml:space="preserve">two porous electrodes separated by a porous membrane. </w:t>
      </w:r>
      <w:r w:rsidRPr="009A64AC">
        <w:rPr>
          <w:rFonts w:ascii="Times New Roman" w:hAnsi="Times New Roman" w:cs="Times New Roman"/>
          <w:noProof/>
          <w:sz w:val="24"/>
          <w:szCs w:val="24"/>
          <w:lang w:val="en-US"/>
        </w:rPr>
        <w:t xml:space="preserve">A </w:t>
      </w:r>
      <w:r w:rsidRPr="009A64AC">
        <w:rPr>
          <w:rFonts w:ascii="Times New Roman" w:hAnsi="Times New Roman" w:cs="Times New Roman"/>
          <w:color w:val="000000" w:themeColor="text1"/>
          <w:sz w:val="24"/>
          <w:szCs w:val="24"/>
          <w:lang w:val="en-US"/>
        </w:rPr>
        <w:t xml:space="preserve">liquid electrolyte fills the pores in the electrodes and membrane. </w:t>
      </w:r>
      <w:r w:rsidRPr="009A64AC">
        <w:rPr>
          <w:rFonts w:ascii="Times New Roman" w:hAnsi="Times New Roman" w:cs="Times New Roman"/>
          <w:noProof/>
          <w:sz w:val="24"/>
          <w:szCs w:val="24"/>
          <w:lang w:val="en-US"/>
        </w:rPr>
        <w:t>Lithium salt (e.g. LiPF</w:t>
      </w:r>
      <w:r w:rsidRPr="009A64AC">
        <w:rPr>
          <w:rFonts w:ascii="Times New Roman" w:hAnsi="Times New Roman" w:cs="Times New Roman"/>
          <w:noProof/>
          <w:sz w:val="24"/>
          <w:szCs w:val="24"/>
          <w:vertAlign w:val="subscript"/>
          <w:lang w:val="en-US"/>
        </w:rPr>
        <w:t>6</w:t>
      </w:r>
      <w:r w:rsidRPr="009A64AC">
        <w:rPr>
          <w:rFonts w:ascii="Times New Roman" w:hAnsi="Times New Roman" w:cs="Times New Roman"/>
          <w:noProof/>
          <w:sz w:val="24"/>
          <w:szCs w:val="24"/>
          <w:lang w:val="en-US"/>
        </w:rPr>
        <w:t xml:space="preserve">) </w:t>
      </w:r>
      <w:r w:rsidRPr="009A64AC">
        <w:rPr>
          <w:rFonts w:ascii="Times New Roman" w:hAnsi="Times New Roman" w:cs="Times New Roman"/>
          <w:color w:val="000000" w:themeColor="text1"/>
          <w:sz w:val="24"/>
          <w:szCs w:val="24"/>
          <w:lang w:val="en-US"/>
        </w:rPr>
        <w:t xml:space="preserve">is </w:t>
      </w:r>
      <w:r w:rsidRPr="009A64AC">
        <w:rPr>
          <w:rFonts w:ascii="Times New Roman" w:hAnsi="Times New Roman" w:cs="Times New Roman"/>
          <w:noProof/>
          <w:sz w:val="24"/>
          <w:szCs w:val="24"/>
          <w:lang w:val="en-US"/>
        </w:rPr>
        <w:t>disolved in the electrolyte to form Li</w:t>
      </w:r>
      <w:r w:rsidRPr="009A64AC">
        <w:rPr>
          <w:rFonts w:ascii="Times New Roman" w:hAnsi="Times New Roman" w:cs="Times New Roman"/>
          <w:noProof/>
          <w:sz w:val="24"/>
          <w:szCs w:val="24"/>
          <w:vertAlign w:val="superscript"/>
          <w:lang w:val="en-US"/>
        </w:rPr>
        <w:t>+</w:t>
      </w:r>
      <w:r w:rsidRPr="009A64AC">
        <w:rPr>
          <w:rFonts w:ascii="Times New Roman" w:hAnsi="Times New Roman" w:cs="Times New Roman"/>
          <w:noProof/>
          <w:sz w:val="24"/>
          <w:szCs w:val="24"/>
          <w:lang w:val="en-US"/>
        </w:rPr>
        <w:t xml:space="preserve"> and PF</w:t>
      </w:r>
      <w:r w:rsidRPr="009A64AC">
        <w:rPr>
          <w:rFonts w:ascii="Times New Roman" w:hAnsi="Times New Roman" w:cs="Times New Roman"/>
          <w:noProof/>
          <w:sz w:val="24"/>
          <w:szCs w:val="24"/>
          <w:vertAlign w:val="subscript"/>
          <w:lang w:val="en-US"/>
        </w:rPr>
        <w:t>6</w:t>
      </w:r>
      <w:r w:rsidRPr="009A64AC">
        <w:rPr>
          <w:rFonts w:ascii="Times New Roman" w:hAnsi="Times New Roman" w:cs="Times New Roman"/>
          <w:noProof/>
          <w:sz w:val="24"/>
          <w:szCs w:val="24"/>
          <w:vertAlign w:val="superscript"/>
          <w:lang w:val="en-US"/>
        </w:rPr>
        <w:t>-</w:t>
      </w:r>
      <w:r w:rsidRPr="009A64AC">
        <w:rPr>
          <w:rFonts w:ascii="Times New Roman" w:hAnsi="Times New Roman" w:cs="Times New Roman"/>
          <w:noProof/>
          <w:sz w:val="24"/>
          <w:szCs w:val="24"/>
          <w:lang w:val="en-US"/>
        </w:rPr>
        <w:t xml:space="preserve"> ions. The ions can move from one electrode to the other via the pores in the electrolyte and membrane. Both the positive and negative electrode materials can react with the Li</w:t>
      </w:r>
      <w:r w:rsidRPr="009A64AC">
        <w:rPr>
          <w:rFonts w:ascii="Times New Roman" w:hAnsi="Times New Roman" w:cs="Times New Roman"/>
          <w:noProof/>
          <w:sz w:val="24"/>
          <w:szCs w:val="24"/>
          <w:vertAlign w:val="superscript"/>
          <w:lang w:val="en-US"/>
        </w:rPr>
        <w:t>+</w:t>
      </w:r>
      <w:r w:rsidRPr="009A64AC">
        <w:rPr>
          <w:rFonts w:ascii="Times New Roman" w:hAnsi="Times New Roman" w:cs="Times New Roman"/>
          <w:noProof/>
          <w:sz w:val="24"/>
          <w:szCs w:val="24"/>
          <w:lang w:val="en-US"/>
        </w:rPr>
        <w:t xml:space="preserve"> ions. </w:t>
      </w:r>
      <w:r w:rsidRPr="009A64AC">
        <w:rPr>
          <w:rFonts w:ascii="Times New Roman" w:hAnsi="Times New Roman" w:cs="Times New Roman"/>
          <w:color w:val="000000" w:themeColor="text1"/>
          <w:sz w:val="24"/>
          <w:szCs w:val="24"/>
          <w:lang w:val="en-US"/>
        </w:rPr>
        <w:t xml:space="preserve">The negative electrode in a LIB is typically made of carbon and the positive of a Lithium metal oxide. Electrons cannot migrate through the electrolyte and the membrane physically separates the two electrodes to avoid electrons crossing from the negative to the positive electrode and thereby internally short circuiting the battery. </w:t>
      </w:r>
      <w:r w:rsidRPr="009A64AC">
        <w:rPr>
          <w:rFonts w:ascii="Times New Roman" w:hAnsi="Times New Roman" w:cs="Times New Roman"/>
          <w:noProof/>
          <w:sz w:val="24"/>
          <w:szCs w:val="24"/>
          <w:lang w:val="en-US"/>
        </w:rPr>
        <w:t xml:space="preserve">The individual components in the LIB are presented in </w:t>
      </w:r>
      <w:r w:rsidRPr="009A64AC">
        <w:rPr>
          <w:rFonts w:ascii="Times New Roman" w:hAnsi="Times New Roman" w:cs="Times New Roman"/>
          <w:noProof/>
          <w:sz w:val="24"/>
          <w:szCs w:val="24"/>
        </w:rPr>
        <w:fldChar w:fldCharType="begin"/>
      </w:r>
      <w:r w:rsidRPr="009A64AC">
        <w:rPr>
          <w:rFonts w:ascii="Times New Roman" w:hAnsi="Times New Roman" w:cs="Times New Roman"/>
          <w:noProof/>
          <w:sz w:val="24"/>
          <w:szCs w:val="24"/>
          <w:lang w:val="en-US"/>
        </w:rPr>
        <w:instrText xml:space="preserve"> REF _Ref527098599 \h  \* MERGEFORMAT </w:instrText>
      </w:r>
      <w:r w:rsidRPr="009A64AC">
        <w:rPr>
          <w:rFonts w:ascii="Times New Roman" w:hAnsi="Times New Roman" w:cs="Times New Roman"/>
          <w:noProof/>
          <w:sz w:val="24"/>
          <w:szCs w:val="24"/>
        </w:rPr>
      </w:r>
      <w:r w:rsidRPr="009A64AC">
        <w:rPr>
          <w:rFonts w:ascii="Times New Roman" w:hAnsi="Times New Roman" w:cs="Times New Roman"/>
          <w:noProof/>
          <w:sz w:val="24"/>
          <w:szCs w:val="24"/>
        </w:rPr>
        <w:fldChar w:fldCharType="separate"/>
      </w:r>
      <w:r w:rsidR="00E60026" w:rsidRPr="00E60026">
        <w:rPr>
          <w:rFonts w:ascii="Times New Roman" w:hAnsi="Times New Roman" w:cs="Times New Roman"/>
          <w:sz w:val="24"/>
          <w:szCs w:val="24"/>
          <w:lang w:val="en-US"/>
        </w:rPr>
        <w:t xml:space="preserve">Figure </w:t>
      </w:r>
      <w:r w:rsidR="00E60026" w:rsidRPr="00E60026">
        <w:rPr>
          <w:rFonts w:ascii="Times New Roman" w:hAnsi="Times New Roman" w:cs="Times New Roman"/>
          <w:noProof/>
          <w:sz w:val="24"/>
          <w:szCs w:val="24"/>
          <w:lang w:val="en-US"/>
        </w:rPr>
        <w:t>1</w:t>
      </w:r>
      <w:r w:rsidRPr="009A64AC">
        <w:rPr>
          <w:rFonts w:ascii="Times New Roman" w:hAnsi="Times New Roman" w:cs="Times New Roman"/>
          <w:noProof/>
          <w:sz w:val="24"/>
          <w:szCs w:val="24"/>
        </w:rPr>
        <w:fldChar w:fldCharType="end"/>
      </w:r>
      <w:r w:rsidRPr="009A64AC">
        <w:rPr>
          <w:rFonts w:ascii="Times New Roman" w:hAnsi="Times New Roman" w:cs="Times New Roman"/>
          <w:noProof/>
          <w:sz w:val="24"/>
          <w:szCs w:val="24"/>
          <w:lang w:val="en-US"/>
        </w:rPr>
        <w:t>.</w:t>
      </w:r>
    </w:p>
    <w:p w14:paraId="74EE394D" w14:textId="77777777" w:rsidR="00E709D7" w:rsidRPr="009A64AC" w:rsidRDefault="00E709D7" w:rsidP="002D5496">
      <w:pPr>
        <w:tabs>
          <w:tab w:val="left" w:pos="6946"/>
        </w:tabs>
        <w:spacing w:after="0"/>
        <w:rPr>
          <w:rFonts w:ascii="Times New Roman" w:hAnsi="Times New Roman" w:cs="Times New Roman"/>
          <w:noProof/>
          <w:sz w:val="24"/>
          <w:szCs w:val="24"/>
          <w:lang w:val="en-US"/>
        </w:rPr>
      </w:pPr>
    </w:p>
    <w:p w14:paraId="402BA231" w14:textId="0ED00433" w:rsidR="002D5496" w:rsidRPr="009A64AC" w:rsidRDefault="007E4B53" w:rsidP="002D5496">
      <w:pPr>
        <w:keepNext/>
        <w:spacing w:line="276" w:lineRule="auto"/>
        <w:jc w:val="center"/>
        <w:rPr>
          <w:rFonts w:ascii="Times New Roman" w:hAnsi="Times New Roman" w:cs="Times New Roman"/>
        </w:rPr>
      </w:pPr>
      <w:r w:rsidRPr="0061002F">
        <w:rPr>
          <w:noProof/>
          <w:lang w:eastAsia="da-DK"/>
        </w:rPr>
        <w:drawing>
          <wp:inline distT="0" distB="0" distL="0" distR="0" wp14:anchorId="5D3DE1E1" wp14:editId="4BBC4890">
            <wp:extent cx="3519054" cy="30405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20104" cy="3041450"/>
                    </a:xfrm>
                    <a:prstGeom prst="rect">
                      <a:avLst/>
                    </a:prstGeom>
                  </pic:spPr>
                </pic:pic>
              </a:graphicData>
            </a:graphic>
          </wp:inline>
        </w:drawing>
      </w:r>
    </w:p>
    <w:p w14:paraId="64FA057E" w14:textId="3AC97CB0" w:rsidR="002D5496" w:rsidRPr="009A64AC" w:rsidRDefault="002D5496" w:rsidP="00E709D7">
      <w:pPr>
        <w:pStyle w:val="Caption"/>
        <w:rPr>
          <w:rFonts w:ascii="Times New Roman" w:hAnsi="Times New Roman" w:cs="Times New Roman"/>
        </w:rPr>
      </w:pPr>
      <w:bookmarkStart w:id="9" w:name="_Ref527098599"/>
      <w:proofErr w:type="gramStart"/>
      <w:r w:rsidRPr="009A64AC">
        <w:rPr>
          <w:rFonts w:ascii="Times New Roman" w:hAnsi="Times New Roman" w:cs="Times New Roman"/>
          <w:b w:val="0"/>
          <w:i/>
          <w:color w:val="44546A" w:themeColor="text2"/>
          <w:sz w:val="22"/>
          <w:szCs w:val="22"/>
        </w:rPr>
        <w:t xml:space="preserve">Figure </w:t>
      </w:r>
      <w:r w:rsidRPr="009A64AC">
        <w:rPr>
          <w:rFonts w:ascii="Times New Roman" w:hAnsi="Times New Roman" w:cs="Times New Roman"/>
          <w:b w:val="0"/>
          <w:i/>
          <w:color w:val="44546A" w:themeColor="text2"/>
          <w:sz w:val="22"/>
          <w:szCs w:val="22"/>
        </w:rPr>
        <w:fldChar w:fldCharType="begin"/>
      </w:r>
      <w:r w:rsidRPr="009A64AC">
        <w:rPr>
          <w:rFonts w:ascii="Times New Roman" w:hAnsi="Times New Roman" w:cs="Times New Roman"/>
          <w:b w:val="0"/>
          <w:i/>
          <w:color w:val="44546A" w:themeColor="text2"/>
          <w:sz w:val="22"/>
          <w:szCs w:val="22"/>
        </w:rPr>
        <w:instrText xml:space="preserve"> SEQ Figure \* ARABIC </w:instrText>
      </w:r>
      <w:r w:rsidRPr="009A64AC">
        <w:rPr>
          <w:rFonts w:ascii="Times New Roman" w:hAnsi="Times New Roman" w:cs="Times New Roman"/>
          <w:b w:val="0"/>
          <w:i/>
          <w:color w:val="44546A" w:themeColor="text2"/>
          <w:sz w:val="22"/>
          <w:szCs w:val="22"/>
        </w:rPr>
        <w:fldChar w:fldCharType="separate"/>
      </w:r>
      <w:r w:rsidR="00E60026">
        <w:rPr>
          <w:rFonts w:ascii="Times New Roman" w:hAnsi="Times New Roman" w:cs="Times New Roman"/>
          <w:b w:val="0"/>
          <w:i/>
          <w:noProof/>
          <w:color w:val="44546A" w:themeColor="text2"/>
          <w:sz w:val="22"/>
          <w:szCs w:val="22"/>
        </w:rPr>
        <w:t>1</w:t>
      </w:r>
      <w:r w:rsidRPr="009A64AC">
        <w:rPr>
          <w:rFonts w:ascii="Times New Roman" w:hAnsi="Times New Roman" w:cs="Times New Roman"/>
          <w:b w:val="0"/>
          <w:i/>
          <w:color w:val="44546A" w:themeColor="text2"/>
          <w:sz w:val="22"/>
          <w:szCs w:val="22"/>
        </w:rPr>
        <w:fldChar w:fldCharType="end"/>
      </w:r>
      <w:bookmarkEnd w:id="9"/>
      <w:r w:rsidRPr="009A64AC">
        <w:rPr>
          <w:rFonts w:ascii="Times New Roman" w:hAnsi="Times New Roman" w:cs="Times New Roman"/>
          <w:b w:val="0"/>
          <w:i/>
          <w:color w:val="44546A" w:themeColor="text2"/>
          <w:sz w:val="22"/>
          <w:szCs w:val="22"/>
        </w:rPr>
        <w:t>.</w:t>
      </w:r>
      <w:proofErr w:type="gramEnd"/>
      <w:r w:rsidRPr="009A64AC">
        <w:rPr>
          <w:rFonts w:ascii="Times New Roman" w:hAnsi="Times New Roman" w:cs="Times New Roman"/>
        </w:rPr>
        <w:t xml:space="preserve"> </w:t>
      </w:r>
      <w:proofErr w:type="gramStart"/>
      <w:r w:rsidRPr="009A64AC">
        <w:rPr>
          <w:rFonts w:ascii="Times New Roman" w:hAnsi="Times New Roman" w:cs="Times New Roman"/>
          <w:b w:val="0"/>
          <w:i/>
          <w:color w:val="44546A" w:themeColor="text2"/>
          <w:sz w:val="22"/>
          <w:szCs w:val="22"/>
        </w:rPr>
        <w:t>Schematic diagram of a typical LIB system displaying the individual components in the battery.</w:t>
      </w:r>
      <w:proofErr w:type="gramEnd"/>
      <w:r w:rsidRPr="009A64AC">
        <w:rPr>
          <w:rFonts w:ascii="Times New Roman" w:hAnsi="Times New Roman" w:cs="Times New Roman"/>
          <w:b w:val="0"/>
          <w:i/>
          <w:color w:val="44546A" w:themeColor="text2"/>
          <w:sz w:val="22"/>
          <w:szCs w:val="22"/>
        </w:rPr>
        <w:t xml:space="preserve">  </w:t>
      </w:r>
    </w:p>
    <w:p w14:paraId="3C5A72AD" w14:textId="77777777" w:rsidR="00E709D7" w:rsidRDefault="00E709D7" w:rsidP="002D5496">
      <w:pPr>
        <w:tabs>
          <w:tab w:val="left" w:pos="6946"/>
        </w:tabs>
        <w:spacing w:after="0"/>
        <w:rPr>
          <w:rFonts w:ascii="Times New Roman" w:hAnsi="Times New Roman" w:cs="Times New Roman"/>
          <w:noProof/>
          <w:sz w:val="24"/>
          <w:szCs w:val="24"/>
          <w:lang w:val="en-US"/>
        </w:rPr>
      </w:pPr>
    </w:p>
    <w:p w14:paraId="61E1E52D" w14:textId="4C146C9E" w:rsidR="002D5496" w:rsidRPr="009A64AC" w:rsidRDefault="002D5496" w:rsidP="002D5496">
      <w:pPr>
        <w:tabs>
          <w:tab w:val="left" w:pos="6946"/>
        </w:tabs>
        <w:spacing w:after="0"/>
        <w:rPr>
          <w:rFonts w:ascii="Times New Roman" w:hAnsi="Times New Roman" w:cs="Times New Roman"/>
          <w:noProof/>
          <w:sz w:val="24"/>
          <w:szCs w:val="24"/>
          <w:lang w:val="en-US"/>
        </w:rPr>
      </w:pPr>
      <w:r w:rsidRPr="009A64AC">
        <w:rPr>
          <w:rFonts w:ascii="Times New Roman" w:hAnsi="Times New Roman" w:cs="Times New Roman"/>
          <w:noProof/>
          <w:sz w:val="24"/>
          <w:szCs w:val="24"/>
          <w:lang w:val="en-US"/>
        </w:rPr>
        <w:t>When the two electrodes are connected via an external circuit the battery start to discharge. During the discharge process electrons flow via the external circuit from the negative electrode to the positive. At the same time Li</w:t>
      </w:r>
      <w:r w:rsidRPr="009A64AC">
        <w:rPr>
          <w:rFonts w:ascii="Times New Roman" w:hAnsi="Times New Roman" w:cs="Times New Roman"/>
          <w:noProof/>
          <w:sz w:val="24"/>
          <w:szCs w:val="24"/>
          <w:vertAlign w:val="superscript"/>
          <w:lang w:val="en-US"/>
        </w:rPr>
        <w:t>+</w:t>
      </w:r>
      <w:r w:rsidRPr="009A64AC">
        <w:rPr>
          <w:rFonts w:ascii="Times New Roman" w:hAnsi="Times New Roman" w:cs="Times New Roman"/>
          <w:noProof/>
          <w:sz w:val="24"/>
          <w:szCs w:val="24"/>
          <w:lang w:val="en-US"/>
        </w:rPr>
        <w:t xml:space="preserve"> ions leaves the negative electrode and flows through the electrolyte towards the positive electrode where they react with the positive electrode. The process runs spontaniously since the two electrodes are made of different materials. In popular terms the positive electrode “likes” the electrons and the Li</w:t>
      </w:r>
      <w:r w:rsidRPr="009A64AC">
        <w:rPr>
          <w:rFonts w:ascii="Times New Roman" w:hAnsi="Times New Roman" w:cs="Times New Roman"/>
          <w:noProof/>
          <w:sz w:val="24"/>
          <w:szCs w:val="24"/>
          <w:vertAlign w:val="superscript"/>
          <w:lang w:val="en-US"/>
        </w:rPr>
        <w:t>+</w:t>
      </w:r>
      <w:r w:rsidRPr="009A64AC">
        <w:rPr>
          <w:rFonts w:ascii="Times New Roman" w:hAnsi="Times New Roman" w:cs="Times New Roman"/>
          <w:noProof/>
          <w:sz w:val="24"/>
          <w:szCs w:val="24"/>
          <w:lang w:val="en-US"/>
        </w:rPr>
        <w:t xml:space="preserve"> ions better than the ne</w:t>
      </w:r>
      <w:r w:rsidR="00E20D7C">
        <w:rPr>
          <w:rFonts w:ascii="Times New Roman" w:hAnsi="Times New Roman" w:cs="Times New Roman"/>
          <w:noProof/>
          <w:sz w:val="24"/>
          <w:szCs w:val="24"/>
          <w:lang w:val="en-US"/>
        </w:rPr>
        <w:t>g</w:t>
      </w:r>
      <w:r w:rsidRPr="009A64AC">
        <w:rPr>
          <w:rFonts w:ascii="Times New Roman" w:hAnsi="Times New Roman" w:cs="Times New Roman"/>
          <w:noProof/>
          <w:sz w:val="24"/>
          <w:szCs w:val="24"/>
          <w:lang w:val="en-US"/>
        </w:rPr>
        <w:t xml:space="preserve">ative electrode. </w:t>
      </w:r>
    </w:p>
    <w:p w14:paraId="3221CF55" w14:textId="77777777" w:rsidR="002D5496" w:rsidRPr="009A64AC" w:rsidRDefault="002D5496" w:rsidP="002D5496">
      <w:pPr>
        <w:tabs>
          <w:tab w:val="left" w:pos="6946"/>
        </w:tabs>
        <w:spacing w:after="0"/>
        <w:rPr>
          <w:rFonts w:ascii="Times New Roman" w:hAnsi="Times New Roman" w:cs="Times New Roman"/>
          <w:noProof/>
          <w:sz w:val="24"/>
          <w:szCs w:val="24"/>
          <w:lang w:val="en-US"/>
        </w:rPr>
      </w:pPr>
    </w:p>
    <w:p w14:paraId="561BBD81" w14:textId="23CFA814" w:rsidR="002D5496" w:rsidRPr="009A64AC" w:rsidRDefault="002D5496" w:rsidP="002D5496">
      <w:pPr>
        <w:tabs>
          <w:tab w:val="left" w:pos="6946"/>
        </w:tabs>
        <w:spacing w:after="0"/>
        <w:rPr>
          <w:rFonts w:ascii="Times New Roman" w:hAnsi="Times New Roman" w:cs="Times New Roman"/>
          <w:noProof/>
          <w:sz w:val="24"/>
          <w:szCs w:val="24"/>
          <w:lang w:val="en-US"/>
        </w:rPr>
      </w:pPr>
      <w:r w:rsidRPr="009A64AC">
        <w:rPr>
          <w:rFonts w:ascii="Times New Roman" w:hAnsi="Times New Roman" w:cs="Times New Roman"/>
          <w:noProof/>
          <w:sz w:val="24"/>
          <w:szCs w:val="24"/>
          <w:lang w:val="en-US"/>
        </w:rPr>
        <w:lastRenderedPageBreak/>
        <w:t>The energy released by having one Li</w:t>
      </w:r>
      <w:r w:rsidRPr="009A64AC">
        <w:rPr>
          <w:rFonts w:ascii="Times New Roman" w:hAnsi="Times New Roman" w:cs="Times New Roman"/>
          <w:noProof/>
          <w:sz w:val="24"/>
          <w:szCs w:val="24"/>
          <w:vertAlign w:val="superscript"/>
          <w:lang w:val="en-US"/>
        </w:rPr>
        <w:t>+</w:t>
      </w:r>
      <w:r w:rsidRPr="009A64AC">
        <w:rPr>
          <w:rFonts w:ascii="Times New Roman" w:hAnsi="Times New Roman" w:cs="Times New Roman"/>
          <w:noProof/>
          <w:sz w:val="24"/>
          <w:szCs w:val="24"/>
          <w:lang w:val="en-US"/>
        </w:rPr>
        <w:t xml:space="preserve"> ion, and one electron, leaving the negative electrode and entering the positive electrode is measured as the battery voltage times the charge of the electron. In other words the battery voltage </w:t>
      </w:r>
      <w:r w:rsidR="00B63D6C">
        <w:rPr>
          <w:rFonts w:ascii="Times New Roman" w:hAnsi="Times New Roman" w:cs="Times New Roman"/>
          <w:noProof/>
          <w:sz w:val="24"/>
          <w:szCs w:val="24"/>
          <w:lang w:val="en-US"/>
        </w:rPr>
        <w:t xml:space="preserve">- also known as the </w:t>
      </w:r>
      <w:r w:rsidR="00B63D6C">
        <w:rPr>
          <w:rFonts w:ascii="Times New Roman" w:hAnsi="Times New Roman" w:cs="Times New Roman"/>
          <w:i/>
          <w:noProof/>
          <w:sz w:val="24"/>
          <w:szCs w:val="24"/>
          <w:lang w:val="en-US"/>
        </w:rPr>
        <w:t>electromotive force</w:t>
      </w:r>
      <w:r w:rsidR="00B63D6C">
        <w:rPr>
          <w:rFonts w:ascii="Times New Roman" w:hAnsi="Times New Roman" w:cs="Times New Roman"/>
          <w:noProof/>
          <w:sz w:val="24"/>
          <w:szCs w:val="24"/>
          <w:lang w:val="en-US"/>
        </w:rPr>
        <w:t>:</w:t>
      </w:r>
      <w:r w:rsidR="00B63D6C">
        <w:rPr>
          <w:rFonts w:ascii="Times New Roman" w:hAnsi="Times New Roman" w:cs="Times New Roman"/>
          <w:i/>
          <w:noProof/>
          <w:sz w:val="24"/>
          <w:szCs w:val="24"/>
          <w:lang w:val="en-US"/>
        </w:rPr>
        <w:t xml:space="preserve"> EMF </w:t>
      </w:r>
      <w:r w:rsidR="00B63D6C">
        <w:rPr>
          <w:rFonts w:ascii="Times New Roman" w:hAnsi="Times New Roman" w:cs="Times New Roman"/>
          <w:noProof/>
          <w:sz w:val="24"/>
          <w:szCs w:val="24"/>
          <w:lang w:val="en-US"/>
        </w:rPr>
        <w:t xml:space="preserve">- </w:t>
      </w:r>
      <w:r w:rsidRPr="009A64AC">
        <w:rPr>
          <w:rFonts w:ascii="Times New Roman" w:hAnsi="Times New Roman" w:cs="Times New Roman"/>
          <w:noProof/>
          <w:sz w:val="24"/>
          <w:szCs w:val="24"/>
          <w:lang w:val="en-US"/>
        </w:rPr>
        <w:t xml:space="preserve">measures the energy per electron released during the discharge process. </w:t>
      </w:r>
      <w:r w:rsidR="00B63D6C">
        <w:rPr>
          <w:rFonts w:ascii="Times New Roman" w:hAnsi="Times New Roman" w:cs="Times New Roman"/>
          <w:i/>
          <w:noProof/>
          <w:sz w:val="24"/>
          <w:szCs w:val="24"/>
          <w:lang w:val="en-US"/>
        </w:rPr>
        <w:t>EMF</w:t>
      </w:r>
      <w:r w:rsidR="005A6803">
        <w:rPr>
          <w:rFonts w:ascii="Times New Roman" w:hAnsi="Times New Roman" w:cs="Times New Roman"/>
          <w:noProof/>
          <w:sz w:val="24"/>
          <w:szCs w:val="24"/>
          <w:lang w:val="en-US"/>
        </w:rPr>
        <w:t xml:space="preserve"> </w:t>
      </w:r>
      <w:r w:rsidR="009612A9">
        <w:rPr>
          <w:rFonts w:ascii="Times New Roman" w:hAnsi="Times New Roman" w:cs="Times New Roman"/>
          <w:noProof/>
          <w:sz w:val="24"/>
          <w:szCs w:val="24"/>
          <w:lang w:val="en-US"/>
        </w:rPr>
        <w:t>is typically a around 3-4</w:t>
      </w:r>
      <w:r w:rsidR="009612A9" w:rsidRPr="009A64AC">
        <w:rPr>
          <w:rFonts w:ascii="Times New Roman" w:hAnsi="Times New Roman" w:cs="Times New Roman"/>
          <w:noProof/>
          <w:sz w:val="24"/>
          <w:szCs w:val="24"/>
          <w:lang w:val="en-US"/>
        </w:rPr>
        <w:t xml:space="preserve"> Volts</w:t>
      </w:r>
      <w:r w:rsidR="009612A9">
        <w:rPr>
          <w:rFonts w:ascii="Times New Roman" w:hAnsi="Times New Roman" w:cs="Times New Roman"/>
          <w:noProof/>
          <w:sz w:val="24"/>
          <w:szCs w:val="24"/>
          <w:lang w:val="en-US"/>
        </w:rPr>
        <w:t xml:space="preserve"> and </w:t>
      </w:r>
      <w:r w:rsidR="005A6803">
        <w:rPr>
          <w:rFonts w:ascii="Times New Roman" w:hAnsi="Times New Roman" w:cs="Times New Roman"/>
          <w:noProof/>
          <w:sz w:val="24"/>
          <w:szCs w:val="24"/>
          <w:lang w:val="en-US"/>
        </w:rPr>
        <w:t>depend</w:t>
      </w:r>
      <w:r w:rsidR="009612A9">
        <w:rPr>
          <w:rFonts w:ascii="Times New Roman" w:hAnsi="Times New Roman" w:cs="Times New Roman"/>
          <w:noProof/>
          <w:sz w:val="24"/>
          <w:szCs w:val="24"/>
          <w:lang w:val="en-US"/>
        </w:rPr>
        <w:t>s</w:t>
      </w:r>
      <w:r w:rsidR="005A6803">
        <w:rPr>
          <w:rFonts w:ascii="Times New Roman" w:hAnsi="Times New Roman" w:cs="Times New Roman"/>
          <w:noProof/>
          <w:sz w:val="24"/>
          <w:szCs w:val="24"/>
          <w:lang w:val="en-US"/>
        </w:rPr>
        <w:t xml:space="preserve"> on the LIB cell</w:t>
      </w:r>
      <w:r w:rsidR="009612A9">
        <w:rPr>
          <w:rFonts w:ascii="Times New Roman" w:hAnsi="Times New Roman" w:cs="Times New Roman"/>
          <w:noProof/>
          <w:sz w:val="24"/>
          <w:szCs w:val="24"/>
          <w:lang w:val="en-US"/>
        </w:rPr>
        <w:t xml:space="preserve"> chemistry, the</w:t>
      </w:r>
      <w:r w:rsidR="009612A9">
        <w:rPr>
          <w:rFonts w:ascii="Times New Roman" w:hAnsi="Times New Roman" w:cs="Times New Roman"/>
          <w:sz w:val="24"/>
          <w:szCs w:val="24"/>
          <w:lang w:val="en-US"/>
        </w:rPr>
        <w:t xml:space="preserve"> temperature </w:t>
      </w:r>
      <w:r w:rsidR="005A6803">
        <w:rPr>
          <w:rFonts w:ascii="Times New Roman" w:hAnsi="Times New Roman" w:cs="Times New Roman"/>
          <w:noProof/>
          <w:sz w:val="24"/>
          <w:szCs w:val="24"/>
          <w:lang w:val="en-US"/>
        </w:rPr>
        <w:t>and</w:t>
      </w:r>
      <w:r w:rsidR="009612A9">
        <w:rPr>
          <w:rFonts w:ascii="Times New Roman" w:hAnsi="Times New Roman" w:cs="Times New Roman"/>
          <w:noProof/>
          <w:sz w:val="24"/>
          <w:szCs w:val="24"/>
          <w:lang w:val="en-US"/>
        </w:rPr>
        <w:t xml:space="preserve"> </w:t>
      </w:r>
      <w:r w:rsidR="009612A9">
        <w:rPr>
          <w:rFonts w:ascii="Times New Roman" w:hAnsi="Times New Roman" w:cs="Times New Roman"/>
          <w:sz w:val="24"/>
          <w:szCs w:val="24"/>
          <w:lang w:val="en-US"/>
        </w:rPr>
        <w:t>the state of charge (</w:t>
      </w:r>
      <w:r w:rsidR="009612A9" w:rsidRPr="00443122">
        <w:rPr>
          <w:rFonts w:ascii="Times New Roman" w:hAnsi="Times New Roman" w:cs="Times New Roman"/>
          <w:sz w:val="24"/>
          <w:szCs w:val="24"/>
          <w:lang w:val="en-US"/>
        </w:rPr>
        <w:t>SOC</w:t>
      </w:r>
      <w:r w:rsidR="009612A9">
        <w:rPr>
          <w:rFonts w:ascii="Times New Roman" w:hAnsi="Times New Roman" w:cs="Times New Roman"/>
          <w:sz w:val="24"/>
          <w:szCs w:val="24"/>
          <w:lang w:val="en-US"/>
        </w:rPr>
        <w:t xml:space="preserve"> – see below)</w:t>
      </w:r>
      <w:r w:rsidRPr="009A64AC">
        <w:rPr>
          <w:rFonts w:ascii="Times New Roman" w:hAnsi="Times New Roman" w:cs="Times New Roman"/>
          <w:noProof/>
          <w:sz w:val="24"/>
          <w:szCs w:val="24"/>
          <w:lang w:val="en-US"/>
        </w:rPr>
        <w:t xml:space="preserve">. When e.g. a light bulb is inserted in the external circuit the voltage primarily drops across the light bulb and therefore the energy released in the LIB is dissipated in the light bulb. If the light bulb is substituted with a voltage source (e.g. a power supply) the process in the battery can be reversed and thereby electric energy can be stored in the battery. </w:t>
      </w:r>
    </w:p>
    <w:p w14:paraId="0141DE9A" w14:textId="77777777" w:rsidR="002D5496" w:rsidRPr="009A64AC" w:rsidRDefault="002D5496" w:rsidP="002D5496">
      <w:pPr>
        <w:tabs>
          <w:tab w:val="left" w:pos="6946"/>
        </w:tabs>
        <w:spacing w:after="0"/>
        <w:rPr>
          <w:rFonts w:ascii="Times New Roman" w:hAnsi="Times New Roman" w:cs="Times New Roman"/>
          <w:noProof/>
          <w:sz w:val="24"/>
          <w:szCs w:val="24"/>
          <w:lang w:val="en-US"/>
        </w:rPr>
      </w:pPr>
    </w:p>
    <w:p w14:paraId="1AD15100" w14:textId="6BF91E56" w:rsidR="009612A9" w:rsidRPr="009A64AC" w:rsidRDefault="002D5496" w:rsidP="002C35EF">
      <w:pPr>
        <w:tabs>
          <w:tab w:val="left" w:pos="6946"/>
        </w:tabs>
        <w:spacing w:after="0"/>
        <w:rPr>
          <w:rFonts w:ascii="Times New Roman" w:hAnsi="Times New Roman" w:cs="Times New Roman"/>
          <w:noProof/>
          <w:sz w:val="24"/>
          <w:szCs w:val="24"/>
          <w:lang w:val="en-US"/>
        </w:rPr>
      </w:pPr>
      <w:r w:rsidRPr="009A64AC">
        <w:rPr>
          <w:rFonts w:ascii="Times New Roman" w:hAnsi="Times New Roman" w:cs="Times New Roman"/>
          <w:noProof/>
          <w:sz w:val="24"/>
          <w:szCs w:val="24"/>
          <w:lang w:val="en-US"/>
        </w:rPr>
        <w:t xml:space="preserve">The discharge and charge process is outlined in </w:t>
      </w:r>
      <w:r w:rsidRPr="009A64AC">
        <w:rPr>
          <w:rFonts w:ascii="Times New Roman" w:hAnsi="Times New Roman" w:cs="Times New Roman"/>
          <w:noProof/>
          <w:sz w:val="24"/>
          <w:szCs w:val="24"/>
        </w:rPr>
        <w:fldChar w:fldCharType="begin"/>
      </w:r>
      <w:r w:rsidRPr="009A64AC">
        <w:rPr>
          <w:rFonts w:ascii="Times New Roman" w:hAnsi="Times New Roman" w:cs="Times New Roman"/>
          <w:noProof/>
          <w:sz w:val="24"/>
          <w:szCs w:val="24"/>
          <w:lang w:val="en-US"/>
        </w:rPr>
        <w:instrText xml:space="preserve"> REF _Ref527098757 \h  \* MERGEFORMAT </w:instrText>
      </w:r>
      <w:r w:rsidRPr="009A64AC">
        <w:rPr>
          <w:rFonts w:ascii="Times New Roman" w:hAnsi="Times New Roman" w:cs="Times New Roman"/>
          <w:noProof/>
          <w:sz w:val="24"/>
          <w:szCs w:val="24"/>
        </w:rPr>
      </w:r>
      <w:r w:rsidRPr="009A64AC">
        <w:rPr>
          <w:rFonts w:ascii="Times New Roman" w:hAnsi="Times New Roman" w:cs="Times New Roman"/>
          <w:noProof/>
          <w:sz w:val="24"/>
          <w:szCs w:val="24"/>
        </w:rPr>
        <w:fldChar w:fldCharType="separate"/>
      </w:r>
      <w:r w:rsidR="00E60026" w:rsidRPr="00E60026">
        <w:rPr>
          <w:rFonts w:ascii="Times New Roman" w:hAnsi="Times New Roman" w:cs="Times New Roman"/>
          <w:sz w:val="24"/>
          <w:szCs w:val="24"/>
          <w:lang w:val="en-US"/>
        </w:rPr>
        <w:t xml:space="preserve">Figure </w:t>
      </w:r>
      <w:r w:rsidR="00E60026" w:rsidRPr="00E60026">
        <w:rPr>
          <w:rFonts w:ascii="Times New Roman" w:hAnsi="Times New Roman" w:cs="Times New Roman"/>
          <w:noProof/>
          <w:sz w:val="24"/>
          <w:szCs w:val="24"/>
          <w:lang w:val="en-US"/>
        </w:rPr>
        <w:t>2</w:t>
      </w:r>
      <w:r w:rsidRPr="009A64AC">
        <w:rPr>
          <w:rFonts w:ascii="Times New Roman" w:hAnsi="Times New Roman" w:cs="Times New Roman"/>
          <w:noProof/>
          <w:sz w:val="24"/>
          <w:szCs w:val="24"/>
        </w:rPr>
        <w:fldChar w:fldCharType="end"/>
      </w:r>
      <w:r w:rsidRPr="009A64AC">
        <w:rPr>
          <w:rFonts w:ascii="Times New Roman" w:hAnsi="Times New Roman" w:cs="Times New Roman"/>
          <w:noProof/>
          <w:sz w:val="24"/>
          <w:szCs w:val="24"/>
          <w:lang w:val="en-US"/>
        </w:rPr>
        <w:t>.</w:t>
      </w:r>
      <w:r w:rsidR="002C35EF">
        <w:rPr>
          <w:rFonts w:ascii="Times New Roman" w:hAnsi="Times New Roman" w:cs="Times New Roman"/>
          <w:noProof/>
          <w:sz w:val="24"/>
          <w:szCs w:val="24"/>
          <w:lang w:val="en-US"/>
        </w:rPr>
        <w:t xml:space="preserve"> The battery is fully discharged when nearly all the Lithium have left the negative ele</w:t>
      </w:r>
      <w:r w:rsidR="00A46A42">
        <w:rPr>
          <w:rFonts w:ascii="Times New Roman" w:hAnsi="Times New Roman" w:cs="Times New Roman"/>
          <w:noProof/>
          <w:sz w:val="24"/>
          <w:szCs w:val="24"/>
          <w:lang w:val="en-US"/>
        </w:rPr>
        <w:t xml:space="preserve">ctrode </w:t>
      </w:r>
      <w:r w:rsidR="002C35EF">
        <w:rPr>
          <w:rFonts w:ascii="Times New Roman" w:hAnsi="Times New Roman" w:cs="Times New Roman"/>
          <w:noProof/>
          <w:sz w:val="24"/>
          <w:szCs w:val="24"/>
          <w:lang w:val="en-US"/>
        </w:rPr>
        <w:t xml:space="preserve">and reacted with the positive electrode. If the battery is discharged beyond this point the electrode chemistries become unstable and </w:t>
      </w:r>
      <w:r w:rsidR="004F0F93">
        <w:rPr>
          <w:rFonts w:ascii="Times New Roman" w:hAnsi="Times New Roman" w:cs="Times New Roman"/>
          <w:noProof/>
          <w:sz w:val="24"/>
          <w:szCs w:val="24"/>
          <w:lang w:val="en-US"/>
        </w:rPr>
        <w:t>starte degrading</w:t>
      </w:r>
      <w:r w:rsidR="002C35EF">
        <w:rPr>
          <w:rFonts w:ascii="Times New Roman" w:hAnsi="Times New Roman" w:cs="Times New Roman"/>
          <w:noProof/>
          <w:sz w:val="24"/>
          <w:szCs w:val="24"/>
          <w:lang w:val="en-US"/>
        </w:rPr>
        <w:t xml:space="preserve">. When the </w:t>
      </w:r>
      <w:r w:rsidR="00721276">
        <w:rPr>
          <w:rFonts w:ascii="Times New Roman" w:hAnsi="Times New Roman" w:cs="Times New Roman"/>
          <w:noProof/>
          <w:sz w:val="24"/>
          <w:szCs w:val="24"/>
          <w:lang w:val="en-US"/>
        </w:rPr>
        <w:t xml:space="preserve">LIB </w:t>
      </w:r>
      <w:r w:rsidR="002C35EF">
        <w:rPr>
          <w:rFonts w:ascii="Times New Roman" w:hAnsi="Times New Roman" w:cs="Times New Roman"/>
          <w:noProof/>
          <w:sz w:val="24"/>
          <w:szCs w:val="24"/>
          <w:lang w:val="en-US"/>
        </w:rPr>
        <w:t xml:space="preserve">is fully discharged </w:t>
      </w:r>
      <w:r w:rsidR="00B63D6C">
        <w:rPr>
          <w:rFonts w:ascii="Times New Roman" w:hAnsi="Times New Roman" w:cs="Times New Roman"/>
          <w:noProof/>
          <w:sz w:val="24"/>
          <w:szCs w:val="24"/>
          <w:lang w:val="en-US"/>
        </w:rPr>
        <w:t xml:space="preserve">the </w:t>
      </w:r>
      <w:r w:rsidR="00B63D6C">
        <w:rPr>
          <w:rFonts w:ascii="Times New Roman" w:hAnsi="Times New Roman" w:cs="Times New Roman"/>
          <w:i/>
          <w:noProof/>
          <w:sz w:val="24"/>
          <w:szCs w:val="24"/>
          <w:lang w:val="en-US"/>
        </w:rPr>
        <w:t>EMF</w:t>
      </w:r>
      <w:r w:rsidR="002C35EF">
        <w:rPr>
          <w:rFonts w:ascii="Times New Roman" w:hAnsi="Times New Roman" w:cs="Times New Roman"/>
          <w:noProof/>
          <w:sz w:val="24"/>
          <w:szCs w:val="24"/>
          <w:lang w:val="en-US"/>
        </w:rPr>
        <w:t xml:space="preserve"> is low compared </w:t>
      </w:r>
      <w:r w:rsidR="00721276">
        <w:rPr>
          <w:rFonts w:ascii="Times New Roman" w:hAnsi="Times New Roman" w:cs="Times New Roman"/>
          <w:noProof/>
          <w:sz w:val="24"/>
          <w:szCs w:val="24"/>
          <w:lang w:val="en-US"/>
        </w:rPr>
        <w:t>to when it is fully charged</w:t>
      </w:r>
      <w:r w:rsidR="00880BC5">
        <w:rPr>
          <w:rFonts w:ascii="Times New Roman" w:hAnsi="Times New Roman" w:cs="Times New Roman"/>
          <w:noProof/>
          <w:sz w:val="24"/>
          <w:szCs w:val="24"/>
          <w:lang w:val="en-US"/>
        </w:rPr>
        <w:t xml:space="preserve">. Each LIB chemistry has a safe voltage range for the </w:t>
      </w:r>
      <w:r w:rsidR="00880BC5" w:rsidRPr="00880BC5">
        <w:rPr>
          <w:rFonts w:ascii="Times New Roman" w:hAnsi="Times New Roman" w:cs="Times New Roman"/>
          <w:i/>
          <w:noProof/>
          <w:sz w:val="24"/>
          <w:szCs w:val="24"/>
          <w:lang w:val="en-US"/>
        </w:rPr>
        <w:t>EMF</w:t>
      </w:r>
      <w:r w:rsidR="00880BC5">
        <w:rPr>
          <w:rFonts w:ascii="Times New Roman" w:hAnsi="Times New Roman" w:cs="Times New Roman"/>
          <w:noProof/>
          <w:sz w:val="24"/>
          <w:szCs w:val="24"/>
          <w:lang w:val="en-US"/>
        </w:rPr>
        <w:t xml:space="preserve"> and the endpoints of the range typically </w:t>
      </w:r>
      <w:r w:rsidR="00A46A42">
        <w:rPr>
          <w:rFonts w:ascii="Times New Roman" w:hAnsi="Times New Roman" w:cs="Times New Roman"/>
          <w:noProof/>
          <w:sz w:val="24"/>
          <w:szCs w:val="24"/>
          <w:lang w:val="en-US"/>
        </w:rPr>
        <w:t>define</w:t>
      </w:r>
      <w:r w:rsidR="00721276">
        <w:rPr>
          <w:rFonts w:ascii="Times New Roman" w:hAnsi="Times New Roman" w:cs="Times New Roman"/>
          <w:noProof/>
          <w:sz w:val="24"/>
          <w:szCs w:val="24"/>
          <w:lang w:val="en-US"/>
        </w:rPr>
        <w:t xml:space="preserve"> 0% and 100% state of charge (SOC). </w:t>
      </w:r>
      <w:r w:rsidR="002C35EF" w:rsidRPr="009A64AC">
        <w:rPr>
          <w:rFonts w:ascii="Times New Roman" w:hAnsi="Times New Roman" w:cs="Times New Roman"/>
          <w:noProof/>
          <w:sz w:val="24"/>
          <w:szCs w:val="24"/>
          <w:lang w:val="en-US"/>
        </w:rPr>
        <w:t xml:space="preserve">The discharge capacity is measured in units of </w:t>
      </w:r>
      <w:r w:rsidR="00405A51">
        <w:rPr>
          <w:rFonts w:ascii="Times New Roman" w:hAnsi="Times New Roman" w:cs="Times New Roman"/>
          <w:noProof/>
          <w:sz w:val="24"/>
          <w:szCs w:val="24"/>
          <w:lang w:val="en-US"/>
        </w:rPr>
        <w:t xml:space="preserve">Ampere times hours, Ah, and </w:t>
      </w:r>
      <w:r w:rsidR="002C35EF" w:rsidRPr="009A64AC">
        <w:rPr>
          <w:rFonts w:ascii="Times New Roman" w:hAnsi="Times New Roman" w:cs="Times New Roman"/>
          <w:noProof/>
          <w:sz w:val="24"/>
          <w:szCs w:val="24"/>
          <w:lang w:val="en-US"/>
        </w:rPr>
        <w:t xml:space="preserve">depends on the type and amount of </w:t>
      </w:r>
      <w:r w:rsidR="00405A51" w:rsidRPr="009A64AC">
        <w:rPr>
          <w:rFonts w:ascii="Times New Roman" w:hAnsi="Times New Roman" w:cs="Times New Roman"/>
          <w:noProof/>
          <w:sz w:val="24"/>
          <w:szCs w:val="24"/>
          <w:lang w:val="en-US"/>
        </w:rPr>
        <w:t xml:space="preserve">material </w:t>
      </w:r>
      <w:r w:rsidR="00405A51">
        <w:rPr>
          <w:rFonts w:ascii="Times New Roman" w:hAnsi="Times New Roman" w:cs="Times New Roman"/>
          <w:noProof/>
          <w:sz w:val="24"/>
          <w:szCs w:val="24"/>
          <w:lang w:val="en-US"/>
        </w:rPr>
        <w:t xml:space="preserve">in the </w:t>
      </w:r>
      <w:r w:rsidR="002C35EF" w:rsidRPr="009A64AC">
        <w:rPr>
          <w:rFonts w:ascii="Times New Roman" w:hAnsi="Times New Roman" w:cs="Times New Roman"/>
          <w:noProof/>
          <w:sz w:val="24"/>
          <w:szCs w:val="24"/>
          <w:lang w:val="en-US"/>
        </w:rPr>
        <w:t>electrode</w:t>
      </w:r>
      <w:r w:rsidR="00405A51">
        <w:rPr>
          <w:rFonts w:ascii="Times New Roman" w:hAnsi="Times New Roman" w:cs="Times New Roman"/>
          <w:noProof/>
          <w:sz w:val="24"/>
          <w:szCs w:val="24"/>
          <w:lang w:val="en-US"/>
        </w:rPr>
        <w:t>s</w:t>
      </w:r>
      <w:r w:rsidR="002C35EF" w:rsidRPr="009A64AC">
        <w:rPr>
          <w:rFonts w:ascii="Times New Roman" w:hAnsi="Times New Roman" w:cs="Times New Roman"/>
          <w:noProof/>
          <w:sz w:val="24"/>
          <w:szCs w:val="24"/>
          <w:lang w:val="en-US"/>
        </w:rPr>
        <w:t xml:space="preserve">. </w:t>
      </w:r>
    </w:p>
    <w:p w14:paraId="35C3F03C" w14:textId="35B31837" w:rsidR="002D5496" w:rsidRPr="009A64AC" w:rsidRDefault="002D5496" w:rsidP="002D5496">
      <w:pPr>
        <w:tabs>
          <w:tab w:val="left" w:pos="6946"/>
        </w:tabs>
        <w:spacing w:after="0"/>
        <w:rPr>
          <w:rFonts w:ascii="Times New Roman" w:hAnsi="Times New Roman" w:cs="Times New Roman"/>
          <w:noProof/>
          <w:sz w:val="24"/>
          <w:szCs w:val="24"/>
          <w:lang w:val="en-US"/>
        </w:rPr>
      </w:pPr>
    </w:p>
    <w:p w14:paraId="1EE62B50" w14:textId="77777777" w:rsidR="002D5496" w:rsidRPr="009A64AC" w:rsidRDefault="002D5496" w:rsidP="002D5496">
      <w:pPr>
        <w:keepNext/>
        <w:spacing w:line="276" w:lineRule="auto"/>
        <w:jc w:val="center"/>
        <w:rPr>
          <w:rFonts w:ascii="Times New Roman" w:hAnsi="Times New Roman" w:cs="Times New Roman"/>
          <w:i/>
          <w:color w:val="44546A" w:themeColor="text2"/>
        </w:rPr>
      </w:pPr>
      <w:r w:rsidRPr="009A64AC">
        <w:rPr>
          <w:rFonts w:ascii="Times New Roman" w:hAnsi="Times New Roman" w:cs="Times New Roman"/>
          <w:noProof/>
          <w:lang w:eastAsia="da-DK"/>
        </w:rPr>
        <w:drawing>
          <wp:inline distT="0" distB="0" distL="0" distR="0" wp14:anchorId="7B35F166" wp14:editId="48C31047">
            <wp:extent cx="5126182" cy="2394957"/>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26183" cy="2394957"/>
                    </a:xfrm>
                    <a:prstGeom prst="rect">
                      <a:avLst/>
                    </a:prstGeom>
                  </pic:spPr>
                </pic:pic>
              </a:graphicData>
            </a:graphic>
          </wp:inline>
        </w:drawing>
      </w:r>
    </w:p>
    <w:p w14:paraId="7F18560E" w14:textId="26773284" w:rsidR="002D5496" w:rsidRPr="009A64AC" w:rsidRDefault="002D5496" w:rsidP="00E709D7">
      <w:pPr>
        <w:pStyle w:val="Caption"/>
        <w:rPr>
          <w:rFonts w:ascii="Times New Roman" w:hAnsi="Times New Roman" w:cs="Times New Roman"/>
          <w:b w:val="0"/>
          <w:i/>
          <w:color w:val="44546A" w:themeColor="text2"/>
          <w:sz w:val="22"/>
          <w:szCs w:val="22"/>
        </w:rPr>
      </w:pPr>
      <w:bookmarkStart w:id="10" w:name="_Ref527098757"/>
      <w:proofErr w:type="gramStart"/>
      <w:r w:rsidRPr="009A64AC">
        <w:rPr>
          <w:rFonts w:ascii="Times New Roman" w:hAnsi="Times New Roman" w:cs="Times New Roman"/>
          <w:b w:val="0"/>
          <w:i/>
          <w:color w:val="44546A" w:themeColor="text2"/>
          <w:sz w:val="22"/>
          <w:szCs w:val="22"/>
        </w:rPr>
        <w:t xml:space="preserve">Figure </w:t>
      </w:r>
      <w:r w:rsidRPr="009A64AC">
        <w:rPr>
          <w:rFonts w:ascii="Times New Roman" w:hAnsi="Times New Roman" w:cs="Times New Roman"/>
          <w:b w:val="0"/>
          <w:i/>
          <w:color w:val="44546A" w:themeColor="text2"/>
          <w:sz w:val="22"/>
          <w:szCs w:val="22"/>
        </w:rPr>
        <w:fldChar w:fldCharType="begin"/>
      </w:r>
      <w:r w:rsidRPr="009A64AC">
        <w:rPr>
          <w:rFonts w:ascii="Times New Roman" w:hAnsi="Times New Roman" w:cs="Times New Roman"/>
          <w:b w:val="0"/>
          <w:i/>
          <w:color w:val="44546A" w:themeColor="text2"/>
          <w:sz w:val="22"/>
          <w:szCs w:val="22"/>
        </w:rPr>
        <w:instrText xml:space="preserve"> SEQ Figure \* ARABIC </w:instrText>
      </w:r>
      <w:r w:rsidRPr="009A64AC">
        <w:rPr>
          <w:rFonts w:ascii="Times New Roman" w:hAnsi="Times New Roman" w:cs="Times New Roman"/>
          <w:b w:val="0"/>
          <w:i/>
          <w:color w:val="44546A" w:themeColor="text2"/>
          <w:sz w:val="22"/>
          <w:szCs w:val="22"/>
        </w:rPr>
        <w:fldChar w:fldCharType="separate"/>
      </w:r>
      <w:r w:rsidR="00E60026">
        <w:rPr>
          <w:rFonts w:ascii="Times New Roman" w:hAnsi="Times New Roman" w:cs="Times New Roman"/>
          <w:b w:val="0"/>
          <w:i/>
          <w:noProof/>
          <w:color w:val="44546A" w:themeColor="text2"/>
          <w:sz w:val="22"/>
          <w:szCs w:val="22"/>
        </w:rPr>
        <w:t>2</w:t>
      </w:r>
      <w:r w:rsidRPr="009A64AC">
        <w:rPr>
          <w:rFonts w:ascii="Times New Roman" w:hAnsi="Times New Roman" w:cs="Times New Roman"/>
          <w:b w:val="0"/>
          <w:i/>
          <w:color w:val="44546A" w:themeColor="text2"/>
          <w:sz w:val="22"/>
          <w:szCs w:val="22"/>
        </w:rPr>
        <w:fldChar w:fldCharType="end"/>
      </w:r>
      <w:bookmarkEnd w:id="10"/>
      <w:r w:rsidRPr="009A64AC">
        <w:rPr>
          <w:rFonts w:ascii="Times New Roman" w:hAnsi="Times New Roman" w:cs="Times New Roman"/>
          <w:b w:val="0"/>
          <w:i/>
          <w:color w:val="44546A" w:themeColor="text2"/>
          <w:sz w:val="22"/>
          <w:szCs w:val="22"/>
        </w:rPr>
        <w:t>.</w:t>
      </w:r>
      <w:proofErr w:type="gramEnd"/>
      <w:r w:rsidRPr="009A64AC">
        <w:rPr>
          <w:rFonts w:ascii="Times New Roman" w:hAnsi="Times New Roman" w:cs="Times New Roman"/>
          <w:b w:val="0"/>
          <w:i/>
          <w:color w:val="44546A" w:themeColor="text2"/>
          <w:sz w:val="22"/>
          <w:szCs w:val="22"/>
        </w:rPr>
        <w:t xml:space="preserve"> </w:t>
      </w:r>
      <w:proofErr w:type="gramStart"/>
      <w:r w:rsidRPr="009A64AC">
        <w:rPr>
          <w:rFonts w:ascii="Times New Roman" w:hAnsi="Times New Roman" w:cs="Times New Roman"/>
          <w:b w:val="0"/>
          <w:i/>
          <w:color w:val="44546A" w:themeColor="text2"/>
          <w:sz w:val="22"/>
          <w:szCs w:val="22"/>
        </w:rPr>
        <w:t xml:space="preserve">Schematic diagram of </w:t>
      </w:r>
      <w:r w:rsidRPr="009A64AC">
        <w:rPr>
          <w:rFonts w:ascii="Times New Roman" w:hAnsi="Times New Roman" w:cs="Times New Roman"/>
          <w:b w:val="0"/>
          <w:i/>
          <w:noProof/>
          <w:color w:val="44546A" w:themeColor="text2"/>
          <w:sz w:val="22"/>
          <w:szCs w:val="22"/>
        </w:rPr>
        <w:t xml:space="preserve">a LIB </w:t>
      </w:r>
      <w:r w:rsidRPr="009A64AC">
        <w:rPr>
          <w:rFonts w:ascii="Times New Roman" w:hAnsi="Times New Roman" w:cs="Times New Roman"/>
          <w:b w:val="0"/>
          <w:i/>
          <w:color w:val="44546A" w:themeColor="text2"/>
          <w:sz w:val="22"/>
          <w:szCs w:val="22"/>
        </w:rPr>
        <w:t>system in charge and discharge mode.</w:t>
      </w:r>
      <w:proofErr w:type="gramEnd"/>
      <w:r w:rsidRPr="009A64AC">
        <w:rPr>
          <w:rFonts w:ascii="Times New Roman" w:hAnsi="Times New Roman" w:cs="Times New Roman"/>
          <w:b w:val="0"/>
          <w:i/>
          <w:color w:val="44546A" w:themeColor="text2"/>
          <w:sz w:val="22"/>
          <w:szCs w:val="22"/>
        </w:rPr>
        <w:t xml:space="preserve"> During discharge the green Li</w:t>
      </w:r>
      <w:r w:rsidRPr="009A64AC">
        <w:rPr>
          <w:rFonts w:ascii="Times New Roman" w:hAnsi="Times New Roman" w:cs="Times New Roman"/>
          <w:b w:val="0"/>
          <w:i/>
          <w:color w:val="44546A" w:themeColor="text2"/>
          <w:sz w:val="22"/>
          <w:szCs w:val="22"/>
          <w:vertAlign w:val="superscript"/>
        </w:rPr>
        <w:t>+</w:t>
      </w:r>
      <w:r w:rsidRPr="009A64AC">
        <w:rPr>
          <w:rFonts w:ascii="Times New Roman" w:hAnsi="Times New Roman" w:cs="Times New Roman"/>
          <w:b w:val="0"/>
          <w:i/>
          <w:color w:val="44546A" w:themeColor="text2"/>
          <w:sz w:val="22"/>
          <w:szCs w:val="22"/>
        </w:rPr>
        <w:t xml:space="preserve"> ions moves from the negative electrode (left side) to the positive electrode. The process is reversed during charge mode (right side).</w:t>
      </w:r>
    </w:p>
    <w:p w14:paraId="643FC784" w14:textId="7DD5F9AD" w:rsidR="004A7C48" w:rsidRDefault="004A7C48" w:rsidP="004A7C48">
      <w:pPr>
        <w:rPr>
          <w:rFonts w:ascii="Times New Roman" w:hAnsi="Times New Roman" w:cs="Times New Roman"/>
          <w:lang w:val="en-US"/>
        </w:rPr>
      </w:pPr>
    </w:p>
    <w:p w14:paraId="103907D6" w14:textId="5C4AFB3B" w:rsidR="00544654" w:rsidRPr="00544654" w:rsidRDefault="00544654" w:rsidP="004A7C48">
      <w:pPr>
        <w:rPr>
          <w:rFonts w:ascii="Times New Roman" w:hAnsi="Times New Roman" w:cs="Times New Roman"/>
          <w:sz w:val="24"/>
          <w:lang w:val="en-US"/>
        </w:rPr>
      </w:pPr>
      <w:r w:rsidRPr="00544654">
        <w:rPr>
          <w:rFonts w:ascii="Times New Roman" w:hAnsi="Times New Roman" w:cs="Times New Roman"/>
          <w:sz w:val="24"/>
          <w:lang w:val="en-US"/>
        </w:rPr>
        <w:t>The first lithium batter</w:t>
      </w:r>
      <w:r>
        <w:rPr>
          <w:rFonts w:ascii="Times New Roman" w:hAnsi="Times New Roman" w:cs="Times New Roman"/>
          <w:sz w:val="24"/>
          <w:lang w:val="en-US"/>
        </w:rPr>
        <w:t xml:space="preserve">ies </w:t>
      </w:r>
      <w:r w:rsidRPr="00544654">
        <w:rPr>
          <w:rFonts w:ascii="Times New Roman" w:hAnsi="Times New Roman" w:cs="Times New Roman"/>
          <w:sz w:val="24"/>
          <w:lang w:val="en-US"/>
        </w:rPr>
        <w:t>were developed in the early 1970’ies</w:t>
      </w:r>
      <w:r>
        <w:rPr>
          <w:rFonts w:ascii="Times New Roman" w:hAnsi="Times New Roman" w:cs="Times New Roman"/>
          <w:sz w:val="24"/>
          <w:lang w:val="en-US"/>
        </w:rPr>
        <w:t xml:space="preserve"> and</w:t>
      </w:r>
      <w:r w:rsidRPr="00544654">
        <w:rPr>
          <w:rFonts w:ascii="Times New Roman" w:hAnsi="Times New Roman" w:cs="Times New Roman"/>
          <w:sz w:val="24"/>
          <w:lang w:val="en-US"/>
        </w:rPr>
        <w:t xml:space="preserve"> Sony released the first commercial lithium-ion battery</w:t>
      </w:r>
      <w:r>
        <w:rPr>
          <w:rFonts w:ascii="Times New Roman" w:hAnsi="Times New Roman" w:cs="Times New Roman"/>
          <w:sz w:val="24"/>
          <w:lang w:val="en-US"/>
        </w:rPr>
        <w:t xml:space="preserve"> in 1991. During the ‘90s and early 2000s the LIBs gradually matured via the pull from the cell-phone market. The </w:t>
      </w:r>
      <w:r w:rsidRPr="00544654">
        <w:rPr>
          <w:rFonts w:ascii="Times New Roman" w:hAnsi="Times New Roman" w:cs="Times New Roman"/>
          <w:sz w:val="24"/>
          <w:lang w:val="en-US"/>
        </w:rPr>
        <w:t xml:space="preserve">Tesla Roadster was </w:t>
      </w:r>
      <w:r>
        <w:rPr>
          <w:rFonts w:ascii="Times New Roman" w:hAnsi="Times New Roman" w:cs="Times New Roman"/>
          <w:sz w:val="24"/>
          <w:lang w:val="en-US"/>
        </w:rPr>
        <w:t xml:space="preserve">released to customers in 2008 and was </w:t>
      </w:r>
      <w:r w:rsidRPr="00544654">
        <w:rPr>
          <w:rFonts w:ascii="Times New Roman" w:hAnsi="Times New Roman" w:cs="Times New Roman"/>
          <w:sz w:val="24"/>
          <w:lang w:val="en-US"/>
        </w:rPr>
        <w:t>the first highway legal serial production all-electric car to use lithium-ion battery cells</w:t>
      </w:r>
      <w:r>
        <w:rPr>
          <w:rFonts w:ascii="Times New Roman" w:hAnsi="Times New Roman" w:cs="Times New Roman"/>
          <w:sz w:val="24"/>
          <w:lang w:val="en-US"/>
        </w:rPr>
        <w:t xml:space="preserve">. Further, around 2010 the LIBs expanded into the energy storage sector.  </w:t>
      </w:r>
    </w:p>
    <w:p w14:paraId="29F51BDC" w14:textId="2877AC09" w:rsidR="008649F0" w:rsidRPr="009A64AC" w:rsidRDefault="007903D3" w:rsidP="00A95A70">
      <w:pPr>
        <w:pStyle w:val="Heading2"/>
        <w:rPr>
          <w:rFonts w:ascii="Times New Roman" w:hAnsi="Times New Roman" w:cs="Times New Roman"/>
        </w:rPr>
      </w:pPr>
      <w:bookmarkStart w:id="11" w:name="_Toc528918098"/>
      <w:bookmarkStart w:id="12" w:name="_Toc529169824"/>
      <w:bookmarkStart w:id="13" w:name="_Toc529178823"/>
      <w:bookmarkStart w:id="14" w:name="_Toc529178938"/>
      <w:r w:rsidRPr="009A64AC">
        <w:rPr>
          <w:rFonts w:ascii="Times New Roman" w:hAnsi="Times New Roman" w:cs="Times New Roman"/>
        </w:rPr>
        <w:lastRenderedPageBreak/>
        <w:t>Lithium</w:t>
      </w:r>
      <w:r w:rsidR="00D95E05">
        <w:rPr>
          <w:rFonts w:ascii="Times New Roman" w:hAnsi="Times New Roman" w:cs="Times New Roman"/>
        </w:rPr>
        <w:t>-i</w:t>
      </w:r>
      <w:r w:rsidRPr="009A64AC">
        <w:rPr>
          <w:rFonts w:ascii="Times New Roman" w:hAnsi="Times New Roman" w:cs="Times New Roman"/>
        </w:rPr>
        <w:t>on</w:t>
      </w:r>
      <w:r w:rsidR="008649F0" w:rsidRPr="009A64AC">
        <w:rPr>
          <w:rFonts w:ascii="Times New Roman" w:hAnsi="Times New Roman" w:cs="Times New Roman"/>
        </w:rPr>
        <w:t xml:space="preserve"> chemistries</w:t>
      </w:r>
      <w:bookmarkEnd w:id="11"/>
      <w:bookmarkEnd w:id="12"/>
      <w:bookmarkEnd w:id="13"/>
      <w:bookmarkEnd w:id="14"/>
    </w:p>
    <w:p w14:paraId="724B8177" w14:textId="061D6C03" w:rsidR="00575C9D" w:rsidRDefault="00575C9D" w:rsidP="00575C9D">
      <w:pPr>
        <w:rPr>
          <w:rFonts w:ascii="Times New Roman" w:hAnsi="Times New Roman" w:cs="Times New Roman"/>
          <w:sz w:val="24"/>
          <w:lang w:val="en-US"/>
        </w:rPr>
      </w:pPr>
      <w:r w:rsidRPr="00481E63">
        <w:rPr>
          <w:rFonts w:ascii="Times New Roman" w:hAnsi="Times New Roman" w:cs="Times New Roman"/>
          <w:sz w:val="24"/>
          <w:lang w:val="en-US"/>
        </w:rPr>
        <w:fldChar w:fldCharType="begin"/>
      </w:r>
      <w:r w:rsidRPr="00481E63">
        <w:rPr>
          <w:rFonts w:ascii="Times New Roman" w:hAnsi="Times New Roman" w:cs="Times New Roman"/>
          <w:sz w:val="24"/>
          <w:lang w:val="en-US"/>
        </w:rPr>
        <w:instrText xml:space="preserve"> REF _Ref527841509 \h  \* MERGEFORMAT </w:instrText>
      </w:r>
      <w:r w:rsidRPr="00481E63">
        <w:rPr>
          <w:rFonts w:ascii="Times New Roman" w:hAnsi="Times New Roman" w:cs="Times New Roman"/>
          <w:sz w:val="24"/>
          <w:lang w:val="en-US"/>
        </w:rPr>
      </w:r>
      <w:r w:rsidRPr="00481E63">
        <w:rPr>
          <w:rFonts w:ascii="Times New Roman" w:hAnsi="Times New Roman" w:cs="Times New Roman"/>
          <w:sz w:val="24"/>
          <w:lang w:val="en-US"/>
        </w:rPr>
        <w:fldChar w:fldCharType="separate"/>
      </w:r>
      <w:r w:rsidR="00E60026" w:rsidRPr="00E60026">
        <w:rPr>
          <w:rFonts w:ascii="Times New Roman" w:hAnsi="Times New Roman" w:cs="Times New Roman"/>
          <w:sz w:val="24"/>
          <w:lang w:val="en-US"/>
        </w:rPr>
        <w:t xml:space="preserve">Table </w:t>
      </w:r>
      <w:r w:rsidR="00E60026" w:rsidRPr="00E60026">
        <w:rPr>
          <w:rFonts w:ascii="Times New Roman" w:hAnsi="Times New Roman" w:cs="Times New Roman"/>
          <w:noProof/>
          <w:sz w:val="24"/>
          <w:lang w:val="en-US"/>
        </w:rPr>
        <w:t>1</w:t>
      </w:r>
      <w:r w:rsidRPr="00481E63">
        <w:rPr>
          <w:rFonts w:ascii="Times New Roman" w:hAnsi="Times New Roman" w:cs="Times New Roman"/>
          <w:sz w:val="24"/>
          <w:lang w:val="en-US"/>
        </w:rPr>
        <w:fldChar w:fldCharType="end"/>
      </w:r>
      <w:r w:rsidRPr="00481E63">
        <w:rPr>
          <w:rFonts w:ascii="Times New Roman" w:hAnsi="Times New Roman" w:cs="Times New Roman"/>
          <w:sz w:val="24"/>
          <w:lang w:val="en-US"/>
        </w:rPr>
        <w:t xml:space="preserve"> shows a comparison of the </w:t>
      </w:r>
      <w:r>
        <w:rPr>
          <w:rFonts w:ascii="Times New Roman" w:hAnsi="Times New Roman" w:cs="Times New Roman"/>
          <w:sz w:val="24"/>
          <w:lang w:val="en-US"/>
        </w:rPr>
        <w:t>three</w:t>
      </w:r>
      <w:r w:rsidRPr="00481E63">
        <w:rPr>
          <w:rFonts w:ascii="Times New Roman" w:hAnsi="Times New Roman" w:cs="Times New Roman"/>
          <w:sz w:val="24"/>
          <w:lang w:val="en-US"/>
        </w:rPr>
        <w:t xml:space="preserve"> most widely used LIB chemistries</w:t>
      </w:r>
      <w:r>
        <w:rPr>
          <w:rFonts w:ascii="Times New Roman" w:hAnsi="Times New Roman" w:cs="Times New Roman"/>
          <w:sz w:val="24"/>
          <w:lang w:val="en-US"/>
        </w:rPr>
        <w:t xml:space="preserve"> for grid-connected LIB systems</w:t>
      </w:r>
      <w:r w:rsidR="00B4148D">
        <w:rPr>
          <w:rFonts w:ascii="Times New Roman" w:hAnsi="Times New Roman" w:cs="Times New Roman"/>
          <w:sz w:val="24"/>
          <w:lang w:val="en-US"/>
        </w:rPr>
        <w:t xml:space="preserve"> and the major manufactures</w:t>
      </w:r>
      <w:r>
        <w:rPr>
          <w:rFonts w:ascii="Times New Roman" w:hAnsi="Times New Roman" w:cs="Times New Roman"/>
          <w:sz w:val="24"/>
          <w:lang w:val="en-US"/>
        </w:rPr>
        <w:t xml:space="preserve">. </w:t>
      </w:r>
      <w:r w:rsidR="00D15F32">
        <w:rPr>
          <w:rFonts w:ascii="Times New Roman" w:hAnsi="Times New Roman" w:cs="Times New Roman"/>
          <w:sz w:val="24"/>
          <w:lang w:val="en-US"/>
        </w:rPr>
        <w:t xml:space="preserve">Other LIB chemistries such as LCO, LMO and NCA are not used for grid electricity storage and are therefore not included in the table. </w:t>
      </w:r>
      <w:r>
        <w:rPr>
          <w:rFonts w:ascii="Times New Roman" w:hAnsi="Times New Roman" w:cs="Times New Roman"/>
          <w:sz w:val="24"/>
          <w:lang w:val="en-US"/>
        </w:rPr>
        <w:t xml:space="preserve">The numbers </w:t>
      </w:r>
      <w:r w:rsidR="00D15F32">
        <w:rPr>
          <w:rFonts w:ascii="Times New Roman" w:hAnsi="Times New Roman" w:cs="Times New Roman"/>
          <w:sz w:val="24"/>
          <w:lang w:val="en-US"/>
        </w:rPr>
        <w:t xml:space="preserve">in the table </w:t>
      </w:r>
      <w:r>
        <w:rPr>
          <w:rFonts w:ascii="Times New Roman" w:hAnsi="Times New Roman" w:cs="Times New Roman"/>
          <w:sz w:val="24"/>
          <w:lang w:val="en-US"/>
        </w:rPr>
        <w:t xml:space="preserve">are taken from cell manufactures, product or system suppliers.  NMC is the most widely used of the three chemistries due to the increased </w:t>
      </w:r>
      <w:r w:rsidR="00D5367B">
        <w:rPr>
          <w:rFonts w:ascii="Times New Roman" w:hAnsi="Times New Roman" w:cs="Times New Roman"/>
          <w:sz w:val="24"/>
          <w:lang w:val="en-US"/>
        </w:rPr>
        <w:t xml:space="preserve">production </w:t>
      </w:r>
      <w:r>
        <w:rPr>
          <w:rFonts w:ascii="Times New Roman" w:hAnsi="Times New Roman" w:cs="Times New Roman"/>
          <w:sz w:val="24"/>
          <w:lang w:val="en-US"/>
        </w:rPr>
        <w:t xml:space="preserve">volume and lower prices lead by the automotive sector. The NMC battery has a high energy density but uses </w:t>
      </w:r>
      <w:r w:rsidR="00D15F32">
        <w:rPr>
          <w:rFonts w:ascii="Times New Roman" w:hAnsi="Times New Roman" w:cs="Times New Roman"/>
          <w:sz w:val="24"/>
          <w:lang w:val="en-US"/>
        </w:rPr>
        <w:t>cobalt.</w:t>
      </w:r>
      <w:r>
        <w:rPr>
          <w:rFonts w:ascii="Times New Roman" w:hAnsi="Times New Roman" w:cs="Times New Roman"/>
          <w:sz w:val="24"/>
          <w:lang w:val="en-US"/>
        </w:rPr>
        <w:t xml:space="preserve"> The </w:t>
      </w:r>
      <w:r w:rsidR="00D15F32">
        <w:rPr>
          <w:rFonts w:ascii="Times New Roman" w:hAnsi="Times New Roman" w:cs="Times New Roman"/>
          <w:sz w:val="24"/>
          <w:lang w:val="en-US"/>
        </w:rPr>
        <w:t xml:space="preserve">environmental </w:t>
      </w:r>
      <w:r>
        <w:rPr>
          <w:rFonts w:ascii="Times New Roman" w:hAnsi="Times New Roman" w:cs="Times New Roman"/>
          <w:sz w:val="24"/>
          <w:lang w:val="en-US"/>
        </w:rPr>
        <w:t xml:space="preserve">challenges in using </w:t>
      </w:r>
      <w:r w:rsidR="00D15F32">
        <w:rPr>
          <w:rFonts w:ascii="Times New Roman" w:hAnsi="Times New Roman" w:cs="Times New Roman"/>
          <w:sz w:val="24"/>
          <w:lang w:val="en-US"/>
        </w:rPr>
        <w:t>cobalt</w:t>
      </w:r>
      <w:r>
        <w:rPr>
          <w:rFonts w:ascii="Times New Roman" w:hAnsi="Times New Roman" w:cs="Times New Roman"/>
          <w:sz w:val="24"/>
          <w:lang w:val="en-US"/>
        </w:rPr>
        <w:t xml:space="preserve"> </w:t>
      </w:r>
      <w:r w:rsidR="00D15F32">
        <w:rPr>
          <w:rFonts w:ascii="Times New Roman" w:hAnsi="Times New Roman" w:cs="Times New Roman"/>
          <w:sz w:val="24"/>
          <w:lang w:val="en-US"/>
        </w:rPr>
        <w:t>are described</w:t>
      </w:r>
      <w:r>
        <w:rPr>
          <w:rFonts w:ascii="Times New Roman" w:hAnsi="Times New Roman" w:cs="Times New Roman"/>
          <w:sz w:val="24"/>
          <w:lang w:val="en-US"/>
        </w:rPr>
        <w:t xml:space="preserve"> in the section: “Environment”.</w:t>
      </w:r>
    </w:p>
    <w:p w14:paraId="55B2AD56" w14:textId="604552CE" w:rsidR="00575C9D" w:rsidRDefault="00575C9D" w:rsidP="00575C9D">
      <w:pPr>
        <w:rPr>
          <w:rFonts w:ascii="Times New Roman" w:hAnsi="Times New Roman" w:cs="Times New Roman"/>
          <w:lang w:val="en-US"/>
        </w:rPr>
      </w:pPr>
      <w:r>
        <w:rPr>
          <w:rFonts w:ascii="Times New Roman" w:hAnsi="Times New Roman" w:cs="Times New Roman"/>
          <w:sz w:val="24"/>
          <w:lang w:val="en-US"/>
        </w:rPr>
        <w:t xml:space="preserve">The LFP battery do not use </w:t>
      </w:r>
      <w:r w:rsidR="00D15F32">
        <w:rPr>
          <w:rFonts w:ascii="Times New Roman" w:hAnsi="Times New Roman" w:cs="Times New Roman"/>
          <w:sz w:val="24"/>
          <w:lang w:val="en-US"/>
        </w:rPr>
        <w:t>cobalt</w:t>
      </w:r>
      <w:r>
        <w:rPr>
          <w:rFonts w:ascii="Times New Roman" w:hAnsi="Times New Roman" w:cs="Times New Roman"/>
          <w:sz w:val="24"/>
          <w:lang w:val="en-US"/>
        </w:rPr>
        <w:t xml:space="preserve"> in the cathode, but are not as widely used as NMC, and are therefore generally higher priced</w:t>
      </w:r>
      <w:r w:rsidR="00D15F32">
        <w:rPr>
          <w:rFonts w:ascii="Times New Roman" w:hAnsi="Times New Roman" w:cs="Times New Roman"/>
          <w:sz w:val="24"/>
          <w:lang w:val="en-US"/>
        </w:rPr>
        <w:t>, primarily</w:t>
      </w:r>
      <w:r>
        <w:rPr>
          <w:rFonts w:ascii="Times New Roman" w:hAnsi="Times New Roman" w:cs="Times New Roman"/>
          <w:sz w:val="24"/>
          <w:lang w:val="en-US"/>
        </w:rPr>
        <w:t xml:space="preserve"> due to </w:t>
      </w:r>
      <w:r w:rsidR="00D15F32">
        <w:rPr>
          <w:rFonts w:ascii="Times New Roman" w:hAnsi="Times New Roman" w:cs="Times New Roman"/>
          <w:sz w:val="24"/>
          <w:lang w:val="en-US"/>
        </w:rPr>
        <w:t xml:space="preserve">the </w:t>
      </w:r>
      <w:r>
        <w:rPr>
          <w:rFonts w:ascii="Times New Roman" w:hAnsi="Times New Roman" w:cs="Times New Roman"/>
          <w:sz w:val="24"/>
          <w:lang w:val="en-US"/>
        </w:rPr>
        <w:t xml:space="preserve">lower </w:t>
      </w:r>
      <w:r w:rsidR="00D15F32">
        <w:rPr>
          <w:rFonts w:ascii="Times New Roman" w:hAnsi="Times New Roman" w:cs="Times New Roman"/>
          <w:sz w:val="24"/>
          <w:lang w:val="en-US"/>
        </w:rPr>
        <w:t xml:space="preserve">production </w:t>
      </w:r>
      <w:r>
        <w:rPr>
          <w:rFonts w:ascii="Times New Roman" w:hAnsi="Times New Roman" w:cs="Times New Roman"/>
          <w:sz w:val="24"/>
          <w:lang w:val="en-US"/>
        </w:rPr>
        <w:t>volumes.</w:t>
      </w:r>
    </w:p>
    <w:p w14:paraId="42B0A6DE" w14:textId="06FF54A9" w:rsidR="00575C9D" w:rsidRDefault="00D15F32" w:rsidP="00575C9D">
      <w:pPr>
        <w:rPr>
          <w:rFonts w:ascii="Times New Roman" w:hAnsi="Times New Roman" w:cs="Times New Roman"/>
          <w:lang w:val="en-US"/>
        </w:rPr>
      </w:pPr>
      <w:r>
        <w:rPr>
          <w:rFonts w:ascii="Times New Roman" w:hAnsi="Times New Roman" w:cs="Times New Roman"/>
          <w:lang w:val="en-US"/>
        </w:rPr>
        <w:t xml:space="preserve">Both </w:t>
      </w:r>
      <w:r w:rsidR="00575C9D">
        <w:rPr>
          <w:rFonts w:ascii="Times New Roman" w:hAnsi="Times New Roman" w:cs="Times New Roman"/>
          <w:lang w:val="en-US"/>
        </w:rPr>
        <w:t xml:space="preserve">NMC and LFP batteries have graphite anodes. </w:t>
      </w:r>
      <w:r>
        <w:rPr>
          <w:rFonts w:ascii="Times New Roman" w:hAnsi="Times New Roman" w:cs="Times New Roman"/>
          <w:lang w:val="en-US"/>
        </w:rPr>
        <w:t>T</w:t>
      </w:r>
      <w:r w:rsidR="00575C9D">
        <w:rPr>
          <w:rFonts w:ascii="Times New Roman" w:hAnsi="Times New Roman" w:cs="Times New Roman"/>
          <w:lang w:val="en-US"/>
        </w:rPr>
        <w:t>he main cause for degradation of NMC and LFP LIBs</w:t>
      </w:r>
      <w:r>
        <w:rPr>
          <w:rFonts w:ascii="Times New Roman" w:hAnsi="Times New Roman" w:cs="Times New Roman"/>
          <w:lang w:val="en-US"/>
        </w:rPr>
        <w:t xml:space="preserve"> is graphite exfoliation and </w:t>
      </w:r>
      <w:r w:rsidR="00B04465" w:rsidRPr="00B04465">
        <w:rPr>
          <w:rFonts w:ascii="Times New Roman" w:hAnsi="Times New Roman" w:cs="Times New Roman"/>
          <w:lang w:val="en-US"/>
        </w:rPr>
        <w:t xml:space="preserve">electrolyte degradation </w:t>
      </w:r>
      <w:r>
        <w:rPr>
          <w:rFonts w:ascii="Times New Roman" w:hAnsi="Times New Roman" w:cs="Times New Roman"/>
          <w:lang w:val="en-US"/>
        </w:rPr>
        <w:t>which in particular occur during deep cycling</w:t>
      </w:r>
      <w:r w:rsidR="00575C9D">
        <w:rPr>
          <w:rFonts w:ascii="Times New Roman" w:hAnsi="Times New Roman" w:cs="Times New Roman"/>
          <w:lang w:val="en-US"/>
        </w:rPr>
        <w:t>.</w:t>
      </w:r>
    </w:p>
    <w:p w14:paraId="0DFE5856" w14:textId="693A22EC" w:rsidR="00575C9D" w:rsidRPr="009A64AC" w:rsidRDefault="00575C9D" w:rsidP="00575C9D">
      <w:pPr>
        <w:rPr>
          <w:rFonts w:ascii="Times New Roman" w:hAnsi="Times New Roman" w:cs="Times New Roman"/>
          <w:lang w:val="en-US"/>
        </w:rPr>
      </w:pPr>
      <w:r>
        <w:rPr>
          <w:rFonts w:ascii="Times New Roman" w:hAnsi="Times New Roman" w:cs="Times New Roman"/>
          <w:lang w:val="en-US"/>
        </w:rPr>
        <w:t xml:space="preserve">LTO LIBs are the most expensive cell chemistry of the three. </w:t>
      </w:r>
      <w:r w:rsidR="00D15F32">
        <w:rPr>
          <w:rFonts w:ascii="Times New Roman" w:hAnsi="Times New Roman" w:cs="Times New Roman"/>
          <w:lang w:val="en-US"/>
        </w:rPr>
        <w:t>In LTOs t</w:t>
      </w:r>
      <w:r>
        <w:rPr>
          <w:rFonts w:ascii="Times New Roman" w:hAnsi="Times New Roman" w:cs="Times New Roman"/>
          <w:lang w:val="en-US"/>
        </w:rPr>
        <w:t xml:space="preserve">he graphite anode is replaced with a Lithium </w:t>
      </w:r>
      <w:proofErr w:type="spellStart"/>
      <w:r>
        <w:rPr>
          <w:rFonts w:ascii="Times New Roman" w:hAnsi="Times New Roman" w:cs="Times New Roman"/>
          <w:lang w:val="en-US"/>
        </w:rPr>
        <w:t>Titanate</w:t>
      </w:r>
      <w:proofErr w:type="spellEnd"/>
      <w:r>
        <w:rPr>
          <w:rFonts w:ascii="Times New Roman" w:hAnsi="Times New Roman" w:cs="Times New Roman"/>
          <w:lang w:val="en-US"/>
        </w:rPr>
        <w:t xml:space="preserve"> anode. The cathode of a LTO battery can be NMC, LFP or other battery cathode chemistries. The LTO </w:t>
      </w:r>
      <w:r w:rsidR="002E3FD0">
        <w:rPr>
          <w:rFonts w:ascii="Times New Roman" w:hAnsi="Times New Roman" w:cs="Times New Roman"/>
          <w:lang w:val="en-US"/>
        </w:rPr>
        <w:t>battery is</w:t>
      </w:r>
      <w:r>
        <w:rPr>
          <w:rFonts w:ascii="Times New Roman" w:hAnsi="Times New Roman" w:cs="Times New Roman"/>
          <w:lang w:val="en-US"/>
        </w:rPr>
        <w:t xml:space="preserve"> </w:t>
      </w:r>
      <w:r w:rsidRPr="00663F90">
        <w:rPr>
          <w:rFonts w:ascii="Times New Roman" w:hAnsi="Times New Roman" w:cs="Times New Roman"/>
          <w:lang w:val="en-US"/>
        </w:rPr>
        <w:t>characterized</w:t>
      </w:r>
      <w:r>
        <w:rPr>
          <w:rFonts w:ascii="Times New Roman" w:hAnsi="Times New Roman" w:cs="Times New Roman"/>
          <w:lang w:val="en-US"/>
        </w:rPr>
        <w:t xml:space="preserve"> by long calendar lifetime and high number of cycles.</w:t>
      </w:r>
    </w:p>
    <w:p w14:paraId="718F8BDE" w14:textId="77777777" w:rsidR="00575C9D" w:rsidRPr="0037154E" w:rsidRDefault="00575C9D" w:rsidP="00575C9D">
      <w:pPr>
        <w:pStyle w:val="Caption"/>
        <w:rPr>
          <w:rFonts w:ascii="Times New Roman" w:hAnsi="Times New Roman" w:cs="Times New Roman"/>
          <w:b w:val="0"/>
          <w:i/>
          <w:color w:val="44546A" w:themeColor="text2"/>
          <w:sz w:val="32"/>
        </w:rPr>
      </w:pPr>
      <w:bookmarkStart w:id="15" w:name="_Ref527841509"/>
      <w:proofErr w:type="gramStart"/>
      <w:r w:rsidRPr="0037154E">
        <w:rPr>
          <w:rFonts w:ascii="Times New Roman" w:hAnsi="Times New Roman" w:cs="Times New Roman"/>
          <w:b w:val="0"/>
          <w:i/>
          <w:color w:val="44546A" w:themeColor="text2"/>
          <w:sz w:val="22"/>
        </w:rPr>
        <w:t xml:space="preserve">Table </w:t>
      </w:r>
      <w:r w:rsidRPr="0037154E">
        <w:rPr>
          <w:rFonts w:ascii="Times New Roman" w:hAnsi="Times New Roman" w:cs="Times New Roman"/>
          <w:b w:val="0"/>
          <w:i/>
          <w:color w:val="44546A" w:themeColor="text2"/>
          <w:sz w:val="22"/>
        </w:rPr>
        <w:fldChar w:fldCharType="begin"/>
      </w:r>
      <w:r w:rsidRPr="0037154E">
        <w:rPr>
          <w:rFonts w:ascii="Times New Roman" w:hAnsi="Times New Roman" w:cs="Times New Roman"/>
          <w:b w:val="0"/>
          <w:i/>
          <w:color w:val="44546A" w:themeColor="text2"/>
          <w:sz w:val="22"/>
        </w:rPr>
        <w:instrText xml:space="preserve"> SEQ Table \* ARABIC </w:instrText>
      </w:r>
      <w:r w:rsidRPr="0037154E">
        <w:rPr>
          <w:rFonts w:ascii="Times New Roman" w:hAnsi="Times New Roman" w:cs="Times New Roman"/>
          <w:b w:val="0"/>
          <w:i/>
          <w:color w:val="44546A" w:themeColor="text2"/>
          <w:sz w:val="22"/>
        </w:rPr>
        <w:fldChar w:fldCharType="separate"/>
      </w:r>
      <w:r w:rsidR="00E60026">
        <w:rPr>
          <w:rFonts w:ascii="Times New Roman" w:hAnsi="Times New Roman" w:cs="Times New Roman"/>
          <w:b w:val="0"/>
          <w:i/>
          <w:noProof/>
          <w:color w:val="44546A" w:themeColor="text2"/>
          <w:sz w:val="22"/>
        </w:rPr>
        <w:t>1</w:t>
      </w:r>
      <w:r w:rsidRPr="0037154E">
        <w:rPr>
          <w:rFonts w:ascii="Times New Roman" w:hAnsi="Times New Roman" w:cs="Times New Roman"/>
          <w:b w:val="0"/>
          <w:i/>
          <w:color w:val="44546A" w:themeColor="text2"/>
          <w:sz w:val="22"/>
        </w:rPr>
        <w:fldChar w:fldCharType="end"/>
      </w:r>
      <w:bookmarkEnd w:id="15"/>
      <w:r>
        <w:rPr>
          <w:rFonts w:ascii="Times New Roman" w:hAnsi="Times New Roman" w:cs="Times New Roman"/>
          <w:b w:val="0"/>
          <w:i/>
          <w:color w:val="44546A" w:themeColor="text2"/>
          <w:sz w:val="22"/>
        </w:rPr>
        <w:t>.</w:t>
      </w:r>
      <w:proofErr w:type="gramEnd"/>
      <w:r w:rsidRPr="0037154E">
        <w:rPr>
          <w:rFonts w:ascii="Times New Roman" w:hAnsi="Times New Roman" w:cs="Times New Roman"/>
          <w:b w:val="0"/>
          <w:i/>
          <w:color w:val="44546A" w:themeColor="text2"/>
          <w:sz w:val="22"/>
        </w:rPr>
        <w:t xml:space="preserve"> </w:t>
      </w:r>
      <w:proofErr w:type="gramStart"/>
      <w:r w:rsidRPr="0037154E">
        <w:rPr>
          <w:rFonts w:ascii="Times New Roman" w:hAnsi="Times New Roman" w:cs="Times New Roman"/>
          <w:b w:val="0"/>
          <w:i/>
          <w:color w:val="44546A" w:themeColor="text2"/>
          <w:sz w:val="22"/>
        </w:rPr>
        <w:t>A comparison of four widely used LIB chemistries.</w:t>
      </w:r>
      <w:proofErr w:type="gramEnd"/>
    </w:p>
    <w:tbl>
      <w:tblPr>
        <w:tblStyle w:val="TableGrid"/>
        <w:tblW w:w="4890" w:type="pct"/>
        <w:tblLayout w:type="fixed"/>
        <w:tblLook w:val="04A0" w:firstRow="1" w:lastRow="0" w:firstColumn="1" w:lastColumn="0" w:noHBand="0" w:noVBand="1"/>
      </w:tblPr>
      <w:tblGrid>
        <w:gridCol w:w="816"/>
        <w:gridCol w:w="897"/>
        <w:gridCol w:w="947"/>
        <w:gridCol w:w="1417"/>
        <w:gridCol w:w="992"/>
        <w:gridCol w:w="709"/>
        <w:gridCol w:w="1086"/>
        <w:gridCol w:w="1466"/>
        <w:gridCol w:w="709"/>
      </w:tblGrid>
      <w:tr w:rsidR="00D5367B" w:rsidRPr="0037154E" w14:paraId="710488FA" w14:textId="77777777" w:rsidTr="006512E5">
        <w:trPr>
          <w:trHeight w:val="701"/>
        </w:trPr>
        <w:tc>
          <w:tcPr>
            <w:tcW w:w="451" w:type="pct"/>
          </w:tcPr>
          <w:p w14:paraId="2AF5BF6E"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Short name</w:t>
            </w:r>
          </w:p>
        </w:tc>
        <w:tc>
          <w:tcPr>
            <w:tcW w:w="496" w:type="pct"/>
          </w:tcPr>
          <w:p w14:paraId="30BDBB80"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Name</w:t>
            </w:r>
          </w:p>
        </w:tc>
        <w:tc>
          <w:tcPr>
            <w:tcW w:w="524" w:type="pct"/>
          </w:tcPr>
          <w:p w14:paraId="79CEDD7C"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Anode</w:t>
            </w:r>
          </w:p>
        </w:tc>
        <w:tc>
          <w:tcPr>
            <w:tcW w:w="784" w:type="pct"/>
          </w:tcPr>
          <w:p w14:paraId="1013E2E6"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Cathode</w:t>
            </w:r>
          </w:p>
        </w:tc>
        <w:tc>
          <w:tcPr>
            <w:tcW w:w="549" w:type="pct"/>
          </w:tcPr>
          <w:p w14:paraId="65F446FA"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 xml:space="preserve">Energy density </w:t>
            </w:r>
            <w:proofErr w:type="spellStart"/>
            <w:r w:rsidRPr="00133C2E">
              <w:rPr>
                <w:rFonts w:ascii="Times New Roman" w:hAnsi="Times New Roman" w:cs="Times New Roman"/>
                <w:b/>
                <w:color w:val="000000" w:themeColor="text1"/>
                <w:sz w:val="20"/>
                <w:szCs w:val="20"/>
                <w:lang w:val="en-US"/>
              </w:rPr>
              <w:t>Wh</w:t>
            </w:r>
            <w:proofErr w:type="spellEnd"/>
            <w:r w:rsidRPr="00133C2E">
              <w:rPr>
                <w:rFonts w:ascii="Times New Roman" w:hAnsi="Times New Roman" w:cs="Times New Roman"/>
                <w:b/>
                <w:color w:val="000000" w:themeColor="text1"/>
                <w:sz w:val="20"/>
                <w:szCs w:val="20"/>
                <w:lang w:val="en-US"/>
              </w:rPr>
              <w:t>/kg</w:t>
            </w:r>
          </w:p>
        </w:tc>
        <w:tc>
          <w:tcPr>
            <w:tcW w:w="392" w:type="pct"/>
          </w:tcPr>
          <w:p w14:paraId="6753D237"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Cycles</w:t>
            </w:r>
          </w:p>
        </w:tc>
        <w:tc>
          <w:tcPr>
            <w:tcW w:w="601" w:type="pct"/>
          </w:tcPr>
          <w:p w14:paraId="15B46951"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Calendar life</w:t>
            </w:r>
          </w:p>
        </w:tc>
        <w:tc>
          <w:tcPr>
            <w:tcW w:w="811" w:type="pct"/>
          </w:tcPr>
          <w:p w14:paraId="4538FA07"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Major manufactures</w:t>
            </w:r>
          </w:p>
        </w:tc>
        <w:tc>
          <w:tcPr>
            <w:tcW w:w="392" w:type="pct"/>
          </w:tcPr>
          <w:p w14:paraId="35DCC1D3"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References</w:t>
            </w:r>
          </w:p>
        </w:tc>
      </w:tr>
      <w:tr w:rsidR="00D5367B" w:rsidRPr="009A64AC" w14:paraId="1E222B57" w14:textId="77777777" w:rsidTr="006512E5">
        <w:trPr>
          <w:trHeight w:val="1174"/>
        </w:trPr>
        <w:tc>
          <w:tcPr>
            <w:tcW w:w="451" w:type="pct"/>
          </w:tcPr>
          <w:p w14:paraId="5607CA0B" w14:textId="77777777" w:rsidR="00575C9D" w:rsidRPr="00133C2E" w:rsidRDefault="00575C9D" w:rsidP="00DE6D09">
            <w:pPr>
              <w:tabs>
                <w:tab w:val="left" w:pos="6946"/>
              </w:tabs>
              <w:rPr>
                <w:rFonts w:ascii="Times New Roman" w:hAnsi="Times New Roman" w:cs="Times New Roman"/>
                <w:b/>
                <w:color w:val="000000" w:themeColor="text1"/>
                <w:sz w:val="20"/>
                <w:szCs w:val="20"/>
                <w:lang w:val="en-US"/>
              </w:rPr>
            </w:pPr>
            <w:r w:rsidRPr="00133C2E">
              <w:rPr>
                <w:rFonts w:ascii="Times New Roman" w:hAnsi="Times New Roman" w:cs="Times New Roman"/>
                <w:b/>
                <w:color w:val="000000" w:themeColor="text1"/>
                <w:sz w:val="20"/>
                <w:szCs w:val="20"/>
                <w:lang w:val="en-US"/>
              </w:rPr>
              <w:t>NMC</w:t>
            </w:r>
          </w:p>
        </w:tc>
        <w:tc>
          <w:tcPr>
            <w:tcW w:w="496" w:type="pct"/>
          </w:tcPr>
          <w:p w14:paraId="03DEDF24" w14:textId="77777777" w:rsidR="00575C9D" w:rsidRPr="009A64AC" w:rsidRDefault="00575C9D" w:rsidP="00DE6D09">
            <w:pPr>
              <w:rPr>
                <w:rFonts w:ascii="Times New Roman" w:hAnsi="Times New Roman" w:cs="Times New Roman"/>
                <w:sz w:val="20"/>
                <w:szCs w:val="20"/>
              </w:rPr>
            </w:pPr>
            <w:r w:rsidRPr="0037154E">
              <w:rPr>
                <w:rFonts w:ascii="Times New Roman" w:hAnsi="Times New Roman" w:cs="Times New Roman"/>
                <w:color w:val="333333"/>
                <w:sz w:val="20"/>
                <w:szCs w:val="20"/>
                <w:shd w:val="clear" w:color="auto" w:fill="FFFFFF"/>
                <w:lang w:val="en-US"/>
              </w:rPr>
              <w:t>Lithium Nickel Manga</w:t>
            </w:r>
            <w:proofErr w:type="spellStart"/>
            <w:r w:rsidRPr="009A64AC">
              <w:rPr>
                <w:rFonts w:ascii="Times New Roman" w:hAnsi="Times New Roman" w:cs="Times New Roman"/>
                <w:color w:val="333333"/>
                <w:sz w:val="20"/>
                <w:szCs w:val="20"/>
                <w:shd w:val="clear" w:color="auto" w:fill="FFFFFF"/>
              </w:rPr>
              <w:t>nese</w:t>
            </w:r>
            <w:proofErr w:type="spellEnd"/>
            <w:r w:rsidRPr="009A64AC">
              <w:rPr>
                <w:rFonts w:ascii="Times New Roman" w:hAnsi="Times New Roman" w:cs="Times New Roman"/>
                <w:color w:val="333333"/>
                <w:sz w:val="20"/>
                <w:szCs w:val="20"/>
                <w:shd w:val="clear" w:color="auto" w:fill="FFFFFF"/>
              </w:rPr>
              <w:t xml:space="preserve"> </w:t>
            </w:r>
            <w:proofErr w:type="spellStart"/>
            <w:r w:rsidRPr="009A64AC">
              <w:rPr>
                <w:rFonts w:ascii="Times New Roman" w:hAnsi="Times New Roman" w:cs="Times New Roman"/>
                <w:color w:val="333333"/>
                <w:sz w:val="20"/>
                <w:szCs w:val="20"/>
                <w:shd w:val="clear" w:color="auto" w:fill="FFFFFF"/>
              </w:rPr>
              <w:t>Cobalt</w:t>
            </w:r>
            <w:proofErr w:type="spellEnd"/>
            <w:r w:rsidRPr="009A64AC">
              <w:rPr>
                <w:rFonts w:ascii="Times New Roman" w:hAnsi="Times New Roman" w:cs="Times New Roman"/>
                <w:color w:val="333333"/>
                <w:sz w:val="20"/>
                <w:szCs w:val="20"/>
                <w:shd w:val="clear" w:color="auto" w:fill="FFFFFF"/>
              </w:rPr>
              <w:t xml:space="preserve"> </w:t>
            </w:r>
            <w:proofErr w:type="spellStart"/>
            <w:r w:rsidRPr="009A64AC">
              <w:rPr>
                <w:rFonts w:ascii="Times New Roman" w:hAnsi="Times New Roman" w:cs="Times New Roman"/>
                <w:color w:val="333333"/>
                <w:sz w:val="20"/>
                <w:szCs w:val="20"/>
                <w:shd w:val="clear" w:color="auto" w:fill="FFFFFF"/>
              </w:rPr>
              <w:t>Oxide</w:t>
            </w:r>
            <w:proofErr w:type="spellEnd"/>
          </w:p>
          <w:p w14:paraId="18232513" w14:textId="77777777" w:rsidR="00575C9D" w:rsidRPr="009A64AC" w:rsidRDefault="00575C9D" w:rsidP="00DE6D09">
            <w:pPr>
              <w:tabs>
                <w:tab w:val="left" w:pos="6946"/>
              </w:tabs>
              <w:rPr>
                <w:rFonts w:ascii="Times New Roman" w:hAnsi="Times New Roman" w:cs="Times New Roman"/>
                <w:color w:val="000000" w:themeColor="text1"/>
                <w:sz w:val="20"/>
                <w:szCs w:val="20"/>
              </w:rPr>
            </w:pPr>
          </w:p>
        </w:tc>
        <w:tc>
          <w:tcPr>
            <w:tcW w:w="524" w:type="pct"/>
          </w:tcPr>
          <w:p w14:paraId="1751F7D6" w14:textId="77777777" w:rsidR="00575C9D" w:rsidRPr="009A64AC" w:rsidRDefault="00575C9D" w:rsidP="00DE6D09">
            <w:pPr>
              <w:tabs>
                <w:tab w:val="left" w:pos="6946"/>
              </w:tabs>
              <w:rPr>
                <w:rFonts w:ascii="Times New Roman" w:hAnsi="Times New Roman" w:cs="Times New Roman"/>
                <w:color w:val="000000" w:themeColor="text1"/>
                <w:sz w:val="20"/>
                <w:szCs w:val="20"/>
              </w:rPr>
            </w:pPr>
            <w:proofErr w:type="spellStart"/>
            <w:r w:rsidRPr="009A64AC">
              <w:rPr>
                <w:rFonts w:ascii="Times New Roman" w:hAnsi="Times New Roman" w:cs="Times New Roman"/>
                <w:color w:val="000000" w:themeColor="text1"/>
                <w:sz w:val="20"/>
                <w:szCs w:val="20"/>
              </w:rPr>
              <w:t>Graphite</w:t>
            </w:r>
            <w:proofErr w:type="spellEnd"/>
          </w:p>
          <w:p w14:paraId="3E9D8D7B" w14:textId="77777777" w:rsidR="00575C9D" w:rsidRPr="009A64AC" w:rsidRDefault="00575C9D" w:rsidP="00DE6D09">
            <w:pPr>
              <w:tabs>
                <w:tab w:val="left" w:pos="6946"/>
              </w:tabs>
              <w:rPr>
                <w:rFonts w:ascii="Times New Roman" w:hAnsi="Times New Roman" w:cs="Times New Roman"/>
                <w:color w:val="000000" w:themeColor="text1"/>
                <w:sz w:val="20"/>
                <w:szCs w:val="20"/>
              </w:rPr>
            </w:pPr>
          </w:p>
        </w:tc>
        <w:tc>
          <w:tcPr>
            <w:tcW w:w="784" w:type="pct"/>
          </w:tcPr>
          <w:p w14:paraId="44377103" w14:textId="77777777" w:rsidR="006512E5" w:rsidRDefault="00575C9D" w:rsidP="00DE6D09">
            <w:pPr>
              <w:tabs>
                <w:tab w:val="left" w:pos="6946"/>
              </w:tabs>
              <w:rPr>
                <w:rFonts w:ascii="Times New Roman" w:hAnsi="Times New Roman" w:cs="Times New Roman"/>
                <w:color w:val="000000" w:themeColor="text1"/>
                <w:sz w:val="20"/>
                <w:szCs w:val="20"/>
              </w:rPr>
            </w:pPr>
            <w:r w:rsidRPr="006512E5">
              <w:rPr>
                <w:rFonts w:ascii="Times New Roman" w:hAnsi="Times New Roman" w:cs="Times New Roman"/>
                <w:color w:val="000000" w:themeColor="text1"/>
                <w:sz w:val="20"/>
                <w:szCs w:val="20"/>
              </w:rPr>
              <w:t>Li</w:t>
            </w:r>
          </w:p>
          <w:p w14:paraId="3D497F20" w14:textId="58EC1359" w:rsidR="00D5367B" w:rsidRPr="006512E5" w:rsidRDefault="00575C9D" w:rsidP="00DE6D09">
            <w:pPr>
              <w:tabs>
                <w:tab w:val="left" w:pos="6946"/>
              </w:tabs>
              <w:rPr>
                <w:rFonts w:ascii="Times New Roman" w:hAnsi="Times New Roman" w:cs="Times New Roman"/>
                <w:color w:val="000000" w:themeColor="text1"/>
                <w:sz w:val="20"/>
                <w:szCs w:val="20"/>
                <w:vertAlign w:val="subscript"/>
                <w:lang w:val="en-US"/>
              </w:rPr>
            </w:pPr>
            <w:r w:rsidRPr="006512E5">
              <w:rPr>
                <w:rFonts w:ascii="Times New Roman" w:hAnsi="Times New Roman" w:cs="Times New Roman"/>
                <w:color w:val="000000" w:themeColor="text1"/>
                <w:sz w:val="20"/>
                <w:szCs w:val="20"/>
              </w:rPr>
              <w:t>Ni</w:t>
            </w:r>
            <w:r w:rsidR="006512E5">
              <w:rPr>
                <w:rFonts w:ascii="Times New Roman" w:hAnsi="Times New Roman" w:cs="Times New Roman"/>
                <w:color w:val="000000" w:themeColor="text1"/>
                <w:sz w:val="20"/>
                <w:szCs w:val="20"/>
                <w:vertAlign w:val="subscript"/>
                <w:lang w:val="en-US"/>
              </w:rPr>
              <w:t>0.6</w:t>
            </w:r>
            <w:r w:rsidRPr="006512E5">
              <w:rPr>
                <w:rFonts w:ascii="Times New Roman" w:hAnsi="Times New Roman" w:cs="Times New Roman"/>
                <w:color w:val="000000" w:themeColor="text1"/>
                <w:sz w:val="20"/>
                <w:szCs w:val="20"/>
              </w:rPr>
              <w:t>Co</w:t>
            </w:r>
            <w:r w:rsidR="006512E5">
              <w:rPr>
                <w:rFonts w:ascii="Times New Roman" w:hAnsi="Times New Roman" w:cs="Times New Roman"/>
                <w:color w:val="000000" w:themeColor="text1"/>
                <w:sz w:val="20"/>
                <w:szCs w:val="20"/>
                <w:vertAlign w:val="subscript"/>
                <w:lang w:val="en-US"/>
              </w:rPr>
              <w:t>0.2</w:t>
            </w:r>
            <w:r w:rsidRPr="006512E5">
              <w:rPr>
                <w:rFonts w:ascii="Times New Roman" w:hAnsi="Times New Roman" w:cs="Times New Roman"/>
                <w:color w:val="000000" w:themeColor="text1"/>
                <w:sz w:val="20"/>
                <w:szCs w:val="20"/>
              </w:rPr>
              <w:t>Mn</w:t>
            </w:r>
            <w:r w:rsidR="006512E5">
              <w:rPr>
                <w:rFonts w:ascii="Times New Roman" w:hAnsi="Times New Roman" w:cs="Times New Roman"/>
                <w:color w:val="000000" w:themeColor="text1"/>
                <w:sz w:val="20"/>
                <w:szCs w:val="20"/>
                <w:vertAlign w:val="subscript"/>
                <w:lang w:val="en-US"/>
              </w:rPr>
              <w:t>0.2</w:t>
            </w:r>
            <w:r w:rsidRPr="006512E5">
              <w:rPr>
                <w:rFonts w:ascii="Times New Roman" w:hAnsi="Times New Roman" w:cs="Times New Roman"/>
                <w:color w:val="000000" w:themeColor="text1"/>
                <w:sz w:val="20"/>
                <w:szCs w:val="20"/>
                <w:lang w:val="en-US"/>
              </w:rPr>
              <w:t>O</w:t>
            </w:r>
            <w:r w:rsidRPr="006512E5">
              <w:rPr>
                <w:rFonts w:ascii="Times New Roman" w:hAnsi="Times New Roman" w:cs="Times New Roman"/>
                <w:color w:val="000000" w:themeColor="text1"/>
                <w:sz w:val="20"/>
                <w:szCs w:val="20"/>
                <w:vertAlign w:val="subscript"/>
                <w:lang w:val="en-US"/>
              </w:rPr>
              <w:t>2</w:t>
            </w:r>
          </w:p>
        </w:tc>
        <w:tc>
          <w:tcPr>
            <w:tcW w:w="549" w:type="pct"/>
          </w:tcPr>
          <w:p w14:paraId="479EC77D"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r w:rsidRPr="006512E5">
              <w:rPr>
                <w:rFonts w:ascii="Times New Roman" w:hAnsi="Times New Roman" w:cs="Times New Roman"/>
                <w:color w:val="000000" w:themeColor="text1"/>
                <w:sz w:val="20"/>
                <w:szCs w:val="20"/>
                <w:lang w:val="en-US"/>
              </w:rPr>
              <w:t>120-300</w:t>
            </w:r>
          </w:p>
        </w:tc>
        <w:tc>
          <w:tcPr>
            <w:tcW w:w="392" w:type="pct"/>
          </w:tcPr>
          <w:p w14:paraId="3157F096"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r w:rsidRPr="006512E5">
              <w:rPr>
                <w:rFonts w:ascii="Times New Roman" w:hAnsi="Times New Roman" w:cs="Times New Roman"/>
                <w:color w:val="000000" w:themeColor="text1"/>
                <w:sz w:val="20"/>
                <w:szCs w:val="20"/>
                <w:lang w:val="en-US"/>
              </w:rPr>
              <w:t>3000-10000</w:t>
            </w:r>
          </w:p>
        </w:tc>
        <w:tc>
          <w:tcPr>
            <w:tcW w:w="601" w:type="pct"/>
          </w:tcPr>
          <w:p w14:paraId="15B56CBB"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r w:rsidRPr="006512E5">
              <w:rPr>
                <w:rFonts w:ascii="Times New Roman" w:hAnsi="Times New Roman" w:cs="Times New Roman"/>
                <w:color w:val="000000" w:themeColor="text1"/>
                <w:sz w:val="20"/>
                <w:szCs w:val="20"/>
                <w:lang w:val="en-US"/>
              </w:rPr>
              <w:t>10-20 years</w:t>
            </w:r>
          </w:p>
        </w:tc>
        <w:tc>
          <w:tcPr>
            <w:tcW w:w="811" w:type="pct"/>
          </w:tcPr>
          <w:p w14:paraId="6C190B49"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r w:rsidRPr="006512E5">
              <w:rPr>
                <w:rFonts w:ascii="Times New Roman" w:hAnsi="Times New Roman" w:cs="Times New Roman"/>
                <w:color w:val="000000" w:themeColor="text1"/>
                <w:sz w:val="20"/>
                <w:szCs w:val="20"/>
                <w:lang w:val="en-US"/>
              </w:rPr>
              <w:t>Samsung SDI</w:t>
            </w:r>
          </w:p>
          <w:p w14:paraId="17D2E90E"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r w:rsidRPr="006512E5">
              <w:rPr>
                <w:rFonts w:ascii="Times New Roman" w:hAnsi="Times New Roman" w:cs="Times New Roman"/>
                <w:color w:val="000000" w:themeColor="text1"/>
                <w:sz w:val="20"/>
                <w:szCs w:val="20"/>
                <w:lang w:val="en-US"/>
              </w:rPr>
              <w:t xml:space="preserve">LG </w:t>
            </w:r>
            <w:proofErr w:type="spellStart"/>
            <w:r w:rsidRPr="006512E5">
              <w:rPr>
                <w:rFonts w:ascii="Times New Roman" w:hAnsi="Times New Roman" w:cs="Times New Roman"/>
                <w:color w:val="000000" w:themeColor="text1"/>
                <w:sz w:val="20"/>
                <w:szCs w:val="20"/>
                <w:lang w:val="en-US"/>
              </w:rPr>
              <w:t>Chem</w:t>
            </w:r>
            <w:proofErr w:type="spellEnd"/>
          </w:p>
          <w:p w14:paraId="1143898B"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r w:rsidRPr="006512E5">
              <w:rPr>
                <w:rFonts w:ascii="Times New Roman" w:hAnsi="Times New Roman" w:cs="Times New Roman"/>
                <w:color w:val="000000" w:themeColor="text1"/>
                <w:sz w:val="20"/>
                <w:szCs w:val="20"/>
                <w:lang w:val="en-US"/>
              </w:rPr>
              <w:t>SK Innovation</w:t>
            </w:r>
          </w:p>
          <w:p w14:paraId="67004999"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proofErr w:type="spellStart"/>
            <w:r w:rsidRPr="006512E5">
              <w:rPr>
                <w:rFonts w:ascii="Times New Roman" w:hAnsi="Times New Roman" w:cs="Times New Roman"/>
                <w:color w:val="000000" w:themeColor="text1"/>
                <w:sz w:val="20"/>
                <w:szCs w:val="20"/>
                <w:lang w:val="en-US"/>
              </w:rPr>
              <w:t>Leclanche</w:t>
            </w:r>
            <w:proofErr w:type="spellEnd"/>
          </w:p>
          <w:p w14:paraId="111463F4"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proofErr w:type="spellStart"/>
            <w:r w:rsidRPr="006512E5">
              <w:rPr>
                <w:rFonts w:ascii="Times New Roman" w:hAnsi="Times New Roman" w:cs="Times New Roman"/>
                <w:color w:val="000000" w:themeColor="text1"/>
                <w:sz w:val="20"/>
                <w:szCs w:val="20"/>
                <w:lang w:val="en-US"/>
              </w:rPr>
              <w:t>Kokam</w:t>
            </w:r>
            <w:proofErr w:type="spellEnd"/>
          </w:p>
        </w:tc>
        <w:tc>
          <w:tcPr>
            <w:tcW w:w="392" w:type="pct"/>
          </w:tcPr>
          <w:p w14:paraId="564B344C" w14:textId="0C46CEBF" w:rsidR="00575C9D" w:rsidRPr="009A64AC" w:rsidRDefault="00575C9D" w:rsidP="004646E5">
            <w:pPr>
              <w:tabs>
                <w:tab w:val="left" w:pos="6946"/>
              </w:tabs>
              <w:rPr>
                <w:rFonts w:ascii="Times New Roman" w:hAnsi="Times New Roman" w:cs="Times New Roman"/>
                <w:color w:val="000000" w:themeColor="text1"/>
                <w:sz w:val="20"/>
                <w:szCs w:val="20"/>
              </w:rPr>
            </w:pPr>
            <w:r w:rsidRPr="009A64AC">
              <w:rPr>
                <w:rFonts w:ascii="Times New Roman" w:hAnsi="Times New Roman" w:cs="Times New Roman"/>
                <w:color w:val="000000" w:themeColor="text1"/>
                <w:sz w:val="20"/>
                <w:szCs w:val="20"/>
              </w:rPr>
              <w:fldChar w:fldCharType="begin" w:fldLock="1"/>
            </w:r>
            <w:r w:rsidR="00056AD4" w:rsidRPr="006512E5">
              <w:rPr>
                <w:rFonts w:ascii="Times New Roman" w:hAnsi="Times New Roman" w:cs="Times New Roman"/>
                <w:color w:val="000000" w:themeColor="text1"/>
                <w:sz w:val="20"/>
                <w:szCs w:val="20"/>
                <w:lang w:val="en-US"/>
              </w:rPr>
              <w:instrText>ADDIN CSL_CITATION {"citationItems":[{"id":"</w:instrText>
            </w:r>
            <w:r w:rsidR="00056AD4">
              <w:rPr>
                <w:rFonts w:ascii="Times New Roman" w:hAnsi="Times New Roman" w:cs="Times New Roman"/>
                <w:color w:val="000000" w:themeColor="text1"/>
                <w:sz w:val="20"/>
                <w:szCs w:val="20"/>
              </w:rPr>
              <w:instrText>ITEM-1","itemData":{"URL":"http://www.leclanche.com/technology-products/leclanche-technology/lithium-ion-cells/","author":[{"dropping-particle":"","family":"Leclanche","given":"","non-dropping-particle":"","parse-names":false,"suffix":""}],"container-title":"Lithium Ion Technology","id":"ITEM-1","issued":{"date-parts":[["2018"]]},"title":"Lithium Ion Technology","type":"webpage"},"uris":["http://www.mendeley.com/documents/?uuid=3ff47f59-7458-4e68-a22e-d5fb40128508"]},{"id":"ITEM-2","itemData":{"URL":"http://www.samsungsdi.com/upload/ess_brochure/201809_SamsungSDI ESS_EN.pdf","author":[{"dropping-particle":"","family":"Samsung","given":"","non-dropping-particle":"","parse-names":false,"suffix":""}],"id":"ITEM-2","issued":{"date-parts":[["2018"]]},"title":"ESS Batteries by Samsung SDI Top Safety &amp; Reliability Solutions","type":"webpage"},"uris":["http://www.mendeley.com/documents/?uuid=8daf1546-d22a-4e17-b6ef-d1d6ad53c301"]},{"id":"ITEM-3","itemData":{"author":[{"dropping-particle":"","family":"Kokam Co.","given":"Ltd.","non-dropping-particle":"","parse-names":false,"suffix":""}],"id":"ITEM-3","issued":{"date-parts":[["2018"]]},"title":"Total Energy Storage Solution Provider","type":"article-journal"},"uris":["http://www.mendeley.com/documents/?uuid=6292833a-db6b-4e5f-a323-c417fd09c817"]},{"id":"ITEM-4","itemData":{"author":[{"dropping-particle":"","family":"Kokam Co.","given":"Ltd.","non-dropping-particle":"","parse-names":false,"suffix":""}],"id":"ITEM-4","issued":{"date-parts":[["2017"]]},"page":"1","title":"Kokam Li-ion / Polymer Cell","type":"article-journal"},"uris":["http://www.mendeley.com/documents/?uuid=3e0e91c0-5fbe-4912-843b-5a01f5d4b414"]},{"id":"ITEM-5","itemData":{"URL":"https://www.ads-tec.de/fileadmin/download/doc/brochure/Datasheet_Energy_Industrial_EN.pdf","author":[{"dropping-particle":"","family":"adstec","given":"","non-dropping-particle":"","parse-names":false,"suffix":""}],"id":"ITEM-5","issued":{"date-parts":[["2018"]]},"title":"StoraXe Industrial &amp; Infrastructure Scalable battery storage system","type":"webpage"},"uris":["http://www.mendeley.com/documents/?uuid=2f3bd72e-b3eb-48ee-ad97-c8a6359d05f0"]}],"mendeley":{"formattedCitation":"[1–5]","plainTextFormattedCitation":"[1–5]","previouslyFormattedCitation":"[1–5]"},"properties":{"noteIndex":0},"schema":"https://github.com/citation-style-language/schema/raw/master/csl-citation.json"}</w:instrText>
            </w:r>
            <w:r w:rsidRPr="009A64AC">
              <w:rPr>
                <w:rFonts w:ascii="Times New Roman" w:hAnsi="Times New Roman" w:cs="Times New Roman"/>
                <w:color w:val="000000" w:themeColor="text1"/>
                <w:sz w:val="20"/>
                <w:szCs w:val="20"/>
              </w:rPr>
              <w:fldChar w:fldCharType="separate"/>
            </w:r>
            <w:r w:rsidR="00544654" w:rsidRPr="00544654">
              <w:rPr>
                <w:rFonts w:ascii="Times New Roman" w:hAnsi="Times New Roman" w:cs="Times New Roman"/>
                <w:noProof/>
                <w:color w:val="000000" w:themeColor="text1"/>
                <w:sz w:val="20"/>
                <w:szCs w:val="20"/>
              </w:rPr>
              <w:t>[1–5]</w:t>
            </w:r>
            <w:r w:rsidRPr="009A64AC">
              <w:rPr>
                <w:rFonts w:ascii="Times New Roman" w:hAnsi="Times New Roman" w:cs="Times New Roman"/>
                <w:color w:val="000000" w:themeColor="text1"/>
                <w:sz w:val="20"/>
                <w:szCs w:val="20"/>
              </w:rPr>
              <w:fldChar w:fldCharType="end"/>
            </w:r>
          </w:p>
        </w:tc>
      </w:tr>
      <w:tr w:rsidR="00D5367B" w:rsidRPr="009A64AC" w14:paraId="64137630" w14:textId="77777777" w:rsidTr="006512E5">
        <w:trPr>
          <w:trHeight w:val="732"/>
        </w:trPr>
        <w:tc>
          <w:tcPr>
            <w:tcW w:w="451" w:type="pct"/>
          </w:tcPr>
          <w:p w14:paraId="1FE57961" w14:textId="77777777" w:rsidR="00575C9D" w:rsidRPr="00133C2E" w:rsidRDefault="00575C9D" w:rsidP="00DE6D09">
            <w:pPr>
              <w:tabs>
                <w:tab w:val="left" w:pos="6946"/>
              </w:tabs>
              <w:rPr>
                <w:rFonts w:ascii="Times New Roman" w:hAnsi="Times New Roman" w:cs="Times New Roman"/>
                <w:b/>
                <w:color w:val="000000" w:themeColor="text1"/>
                <w:sz w:val="20"/>
                <w:szCs w:val="20"/>
              </w:rPr>
            </w:pPr>
            <w:r w:rsidRPr="00133C2E">
              <w:rPr>
                <w:rFonts w:ascii="Times New Roman" w:hAnsi="Times New Roman" w:cs="Times New Roman"/>
                <w:b/>
                <w:color w:val="000000" w:themeColor="text1"/>
                <w:sz w:val="20"/>
                <w:szCs w:val="20"/>
              </w:rPr>
              <w:t>LFP</w:t>
            </w:r>
          </w:p>
        </w:tc>
        <w:tc>
          <w:tcPr>
            <w:tcW w:w="496" w:type="pct"/>
          </w:tcPr>
          <w:p w14:paraId="416E50BC" w14:textId="77777777" w:rsidR="00575C9D" w:rsidRPr="009A64AC" w:rsidRDefault="00575C9D" w:rsidP="00DE6D09">
            <w:pPr>
              <w:rPr>
                <w:rFonts w:ascii="Times New Roman" w:hAnsi="Times New Roman" w:cs="Times New Roman"/>
                <w:sz w:val="20"/>
                <w:szCs w:val="20"/>
              </w:rPr>
            </w:pPr>
            <w:proofErr w:type="spellStart"/>
            <w:r w:rsidRPr="009A64AC">
              <w:rPr>
                <w:rFonts w:ascii="Times New Roman" w:hAnsi="Times New Roman" w:cs="Times New Roman"/>
                <w:sz w:val="20"/>
                <w:szCs w:val="20"/>
              </w:rPr>
              <w:t>Lithum</w:t>
            </w:r>
            <w:proofErr w:type="spellEnd"/>
            <w:r w:rsidRPr="009A64AC">
              <w:rPr>
                <w:rFonts w:ascii="Times New Roman" w:hAnsi="Times New Roman" w:cs="Times New Roman"/>
                <w:sz w:val="20"/>
                <w:szCs w:val="20"/>
              </w:rPr>
              <w:t xml:space="preserve"> </w:t>
            </w:r>
            <w:proofErr w:type="spellStart"/>
            <w:r w:rsidRPr="009A64AC">
              <w:rPr>
                <w:rFonts w:ascii="Times New Roman" w:hAnsi="Times New Roman" w:cs="Times New Roman"/>
                <w:sz w:val="20"/>
                <w:szCs w:val="20"/>
              </w:rPr>
              <w:t>Iron</w:t>
            </w:r>
            <w:proofErr w:type="spellEnd"/>
            <w:r w:rsidRPr="009A64AC">
              <w:rPr>
                <w:rFonts w:ascii="Times New Roman" w:hAnsi="Times New Roman" w:cs="Times New Roman"/>
                <w:sz w:val="20"/>
                <w:szCs w:val="20"/>
              </w:rPr>
              <w:t xml:space="preserve"> </w:t>
            </w:r>
            <w:proofErr w:type="spellStart"/>
            <w:r w:rsidRPr="009A64AC">
              <w:rPr>
                <w:rFonts w:ascii="Times New Roman" w:hAnsi="Times New Roman" w:cs="Times New Roman"/>
                <w:sz w:val="20"/>
                <w:szCs w:val="20"/>
              </w:rPr>
              <w:t>Phosphate</w:t>
            </w:r>
            <w:proofErr w:type="spellEnd"/>
          </w:p>
          <w:p w14:paraId="401C159D" w14:textId="77777777" w:rsidR="00575C9D" w:rsidRPr="009A64AC" w:rsidRDefault="00575C9D" w:rsidP="00DE6D09">
            <w:pPr>
              <w:tabs>
                <w:tab w:val="left" w:pos="6946"/>
              </w:tabs>
              <w:rPr>
                <w:rFonts w:ascii="Times New Roman" w:hAnsi="Times New Roman" w:cs="Times New Roman"/>
                <w:color w:val="000000" w:themeColor="text1"/>
                <w:sz w:val="20"/>
                <w:szCs w:val="20"/>
              </w:rPr>
            </w:pPr>
          </w:p>
        </w:tc>
        <w:tc>
          <w:tcPr>
            <w:tcW w:w="524" w:type="pct"/>
          </w:tcPr>
          <w:p w14:paraId="1075EF4C" w14:textId="77777777" w:rsidR="00575C9D" w:rsidRPr="009A64AC" w:rsidRDefault="00575C9D" w:rsidP="00DE6D09">
            <w:pPr>
              <w:tabs>
                <w:tab w:val="left" w:pos="6946"/>
              </w:tabs>
              <w:rPr>
                <w:rFonts w:ascii="Times New Roman" w:hAnsi="Times New Roman" w:cs="Times New Roman"/>
                <w:color w:val="000000" w:themeColor="text1"/>
                <w:sz w:val="20"/>
                <w:szCs w:val="20"/>
              </w:rPr>
            </w:pPr>
            <w:proofErr w:type="spellStart"/>
            <w:r w:rsidRPr="009A64AC">
              <w:rPr>
                <w:rFonts w:ascii="Times New Roman" w:hAnsi="Times New Roman" w:cs="Times New Roman"/>
                <w:color w:val="000000" w:themeColor="text1"/>
                <w:sz w:val="20"/>
                <w:szCs w:val="20"/>
              </w:rPr>
              <w:t>Graphite</w:t>
            </w:r>
            <w:proofErr w:type="spellEnd"/>
          </w:p>
          <w:p w14:paraId="1769E01F" w14:textId="77777777" w:rsidR="00575C9D" w:rsidRPr="009A64AC" w:rsidRDefault="00575C9D" w:rsidP="00DE6D09">
            <w:pPr>
              <w:tabs>
                <w:tab w:val="left" w:pos="6946"/>
              </w:tabs>
              <w:rPr>
                <w:rFonts w:ascii="Times New Roman" w:hAnsi="Times New Roman" w:cs="Times New Roman"/>
                <w:color w:val="000000" w:themeColor="text1"/>
                <w:sz w:val="20"/>
                <w:szCs w:val="20"/>
              </w:rPr>
            </w:pPr>
          </w:p>
        </w:tc>
        <w:tc>
          <w:tcPr>
            <w:tcW w:w="784" w:type="pct"/>
          </w:tcPr>
          <w:p w14:paraId="53C7D0DD" w14:textId="77777777" w:rsidR="00575C9D" w:rsidRPr="009A64AC" w:rsidRDefault="00575C9D" w:rsidP="00DE6D09">
            <w:pPr>
              <w:tabs>
                <w:tab w:val="left" w:pos="6946"/>
              </w:tabs>
              <w:rPr>
                <w:rFonts w:ascii="Times New Roman" w:hAnsi="Times New Roman" w:cs="Times New Roman"/>
                <w:color w:val="000000" w:themeColor="text1"/>
                <w:sz w:val="20"/>
                <w:szCs w:val="20"/>
              </w:rPr>
            </w:pPr>
            <w:r w:rsidRPr="009A64AC">
              <w:rPr>
                <w:rFonts w:ascii="Times New Roman" w:hAnsi="Times New Roman" w:cs="Times New Roman"/>
                <w:color w:val="000000" w:themeColor="text1"/>
                <w:sz w:val="20"/>
                <w:szCs w:val="20"/>
              </w:rPr>
              <w:t>LiFePO</w:t>
            </w:r>
            <w:r w:rsidRPr="009A64AC">
              <w:rPr>
                <w:rFonts w:ascii="Times New Roman" w:hAnsi="Times New Roman" w:cs="Times New Roman"/>
                <w:color w:val="000000" w:themeColor="text1"/>
                <w:sz w:val="20"/>
                <w:szCs w:val="20"/>
                <w:vertAlign w:val="subscript"/>
              </w:rPr>
              <w:t>4</w:t>
            </w:r>
          </w:p>
        </w:tc>
        <w:tc>
          <w:tcPr>
            <w:tcW w:w="549" w:type="pct"/>
          </w:tcPr>
          <w:p w14:paraId="33A492B1" w14:textId="77777777" w:rsidR="00575C9D" w:rsidRPr="009A64AC" w:rsidRDefault="00575C9D" w:rsidP="00DE6D09">
            <w:pPr>
              <w:tabs>
                <w:tab w:val="left" w:pos="6946"/>
              </w:tabs>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50-130</w:t>
            </w:r>
          </w:p>
        </w:tc>
        <w:tc>
          <w:tcPr>
            <w:tcW w:w="392" w:type="pct"/>
          </w:tcPr>
          <w:p w14:paraId="4B9C5310" w14:textId="77777777" w:rsidR="00575C9D" w:rsidRPr="009A64AC" w:rsidRDefault="00575C9D" w:rsidP="00DE6D09">
            <w:pPr>
              <w:tabs>
                <w:tab w:val="left" w:pos="6946"/>
              </w:tabs>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6000-8000</w:t>
            </w:r>
          </w:p>
        </w:tc>
        <w:tc>
          <w:tcPr>
            <w:tcW w:w="601" w:type="pct"/>
          </w:tcPr>
          <w:p w14:paraId="472B6095" w14:textId="77777777" w:rsidR="00575C9D" w:rsidRPr="009A64AC" w:rsidRDefault="00575C9D" w:rsidP="00DE6D09">
            <w:pPr>
              <w:tabs>
                <w:tab w:val="left" w:pos="6946"/>
              </w:tabs>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10-20 </w:t>
            </w:r>
            <w:proofErr w:type="spellStart"/>
            <w:r>
              <w:rPr>
                <w:rFonts w:ascii="Times New Roman" w:hAnsi="Times New Roman" w:cs="Times New Roman"/>
                <w:color w:val="000000" w:themeColor="text1"/>
                <w:sz w:val="20"/>
                <w:szCs w:val="20"/>
              </w:rPr>
              <w:t>years</w:t>
            </w:r>
            <w:proofErr w:type="spellEnd"/>
          </w:p>
        </w:tc>
        <w:tc>
          <w:tcPr>
            <w:tcW w:w="811" w:type="pct"/>
          </w:tcPr>
          <w:p w14:paraId="662510D0" w14:textId="77777777" w:rsidR="00575C9D" w:rsidRDefault="00575C9D" w:rsidP="00DE6D09">
            <w:pPr>
              <w:tabs>
                <w:tab w:val="left" w:pos="6946"/>
              </w:tabs>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BYD/</w:t>
            </w:r>
            <w:proofErr w:type="spellStart"/>
            <w:r>
              <w:rPr>
                <w:rFonts w:ascii="Times New Roman" w:hAnsi="Times New Roman" w:cs="Times New Roman"/>
                <w:color w:val="000000" w:themeColor="text1"/>
                <w:sz w:val="20"/>
                <w:szCs w:val="20"/>
              </w:rPr>
              <w:t>Fenecon</w:t>
            </w:r>
            <w:proofErr w:type="spellEnd"/>
          </w:p>
          <w:p w14:paraId="3702EFDA" w14:textId="77777777" w:rsidR="00575C9D" w:rsidRDefault="00575C9D" w:rsidP="00DE6D09">
            <w:pPr>
              <w:tabs>
                <w:tab w:val="left" w:pos="6946"/>
              </w:tabs>
              <w:rPr>
                <w:rFonts w:ascii="Times New Roman" w:hAnsi="Times New Roman" w:cs="Times New Roman"/>
                <w:color w:val="000000" w:themeColor="text1"/>
                <w:sz w:val="20"/>
                <w:szCs w:val="20"/>
              </w:rPr>
            </w:pPr>
            <w:proofErr w:type="spellStart"/>
            <w:r>
              <w:rPr>
                <w:rFonts w:ascii="Times New Roman" w:hAnsi="Times New Roman" w:cs="Times New Roman"/>
                <w:color w:val="000000" w:themeColor="text1"/>
                <w:sz w:val="20"/>
                <w:szCs w:val="20"/>
              </w:rPr>
              <w:t>Fronius</w:t>
            </w:r>
            <w:proofErr w:type="spellEnd"/>
            <w:r>
              <w:rPr>
                <w:rFonts w:ascii="Times New Roman" w:hAnsi="Times New Roman" w:cs="Times New Roman"/>
                <w:color w:val="000000" w:themeColor="text1"/>
                <w:sz w:val="20"/>
                <w:szCs w:val="20"/>
              </w:rPr>
              <w:t>/Sony*</w:t>
            </w:r>
          </w:p>
          <w:p w14:paraId="06B85471" w14:textId="77777777" w:rsidR="00575C9D" w:rsidRPr="009A64AC" w:rsidRDefault="00575C9D" w:rsidP="00DE6D09">
            <w:pPr>
              <w:tabs>
                <w:tab w:val="left" w:pos="6946"/>
              </w:tabs>
              <w:rPr>
                <w:rFonts w:ascii="Times New Roman" w:hAnsi="Times New Roman" w:cs="Times New Roman"/>
                <w:color w:val="000000" w:themeColor="text1"/>
                <w:sz w:val="20"/>
                <w:szCs w:val="20"/>
              </w:rPr>
            </w:pPr>
          </w:p>
        </w:tc>
        <w:tc>
          <w:tcPr>
            <w:tcW w:w="392" w:type="pct"/>
          </w:tcPr>
          <w:p w14:paraId="688C2926" w14:textId="71AF1DE9" w:rsidR="00575C9D" w:rsidRPr="009A64AC" w:rsidRDefault="00575C9D" w:rsidP="004646E5">
            <w:pPr>
              <w:tabs>
                <w:tab w:val="left" w:pos="6946"/>
              </w:tabs>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fldChar w:fldCharType="begin" w:fldLock="1"/>
            </w:r>
            <w:r w:rsidR="00056AD4">
              <w:rPr>
                <w:rFonts w:ascii="Times New Roman" w:hAnsi="Times New Roman" w:cs="Times New Roman"/>
                <w:color w:val="000000" w:themeColor="text1"/>
                <w:sz w:val="20"/>
                <w:szCs w:val="20"/>
              </w:rPr>
              <w:instrText>ADDIN CSL_CITATION {"citationItems":[{"id":"ITEM-1","itemData":{"URL":"http://www.fronius.com/en/photovoltaics/products/all-products/solutions/fronius-storage-solution/fronius-energy-package/fronius-energy-package","author":[{"dropping-particle":"","family":"Fronius","given":"","non-dropping-particle":"","parse-names":false,"suffix":""}],"id":"ITEM-1","issued":{"date-parts":[["2018"]]},"title":"Fronius Energy Package","type":"webpage"},"uris":["http://www.mendeley.com/documents/?uuid=f11d8e59-b384-4e77-ba10-59990ca7bce2"]},{"id":"ITEM-2","itemData":{"URL":"https://www.fenecon.de/en_US/page/infocenter#fenecon-industrial","author":[{"dropping-particle":"","family":"Fenecon","given":"","non-dropping-particle":"","parse-names":false,"suffix":""}],"id":"ITEM-2","issued":{"date-parts":[["2018"]]},"title":"FENECON Commercial 50-series Battery module | Battery rack","type":"webpage"},"uris":["http://www.mendeley.com/documents/?uuid=d2f04b9d-9219-4f9d-a811-dc85230a44d9"]}],"mendeley":{"formattedCitation":"[6,7]","plainTextFormattedCitation":"[6,7]","previouslyFormattedCitation":"[6,7]"},"properties":{"noteIndex":0},"schema":"https://github.com/citation-style-language/schema/raw/master/csl-citation.json"}</w:instrText>
            </w:r>
            <w:r>
              <w:rPr>
                <w:rFonts w:ascii="Times New Roman" w:hAnsi="Times New Roman" w:cs="Times New Roman"/>
                <w:color w:val="000000" w:themeColor="text1"/>
                <w:sz w:val="20"/>
                <w:szCs w:val="20"/>
              </w:rPr>
              <w:fldChar w:fldCharType="separate"/>
            </w:r>
            <w:r w:rsidR="00544654" w:rsidRPr="00544654">
              <w:rPr>
                <w:rFonts w:ascii="Times New Roman" w:hAnsi="Times New Roman" w:cs="Times New Roman"/>
                <w:noProof/>
                <w:color w:val="000000" w:themeColor="text1"/>
                <w:sz w:val="20"/>
                <w:szCs w:val="20"/>
              </w:rPr>
              <w:t>[6,7]</w:t>
            </w:r>
            <w:r>
              <w:rPr>
                <w:rFonts w:ascii="Times New Roman" w:hAnsi="Times New Roman" w:cs="Times New Roman"/>
                <w:color w:val="000000" w:themeColor="text1"/>
                <w:sz w:val="20"/>
                <w:szCs w:val="20"/>
              </w:rPr>
              <w:fldChar w:fldCharType="end"/>
            </w:r>
          </w:p>
        </w:tc>
      </w:tr>
      <w:tr w:rsidR="00D5367B" w:rsidRPr="009A64AC" w14:paraId="7C7B51B3" w14:textId="77777777" w:rsidTr="006512E5">
        <w:trPr>
          <w:trHeight w:val="701"/>
        </w:trPr>
        <w:tc>
          <w:tcPr>
            <w:tcW w:w="451" w:type="pct"/>
          </w:tcPr>
          <w:p w14:paraId="59A9F20B" w14:textId="77777777" w:rsidR="00575C9D" w:rsidRPr="00133C2E" w:rsidRDefault="00575C9D" w:rsidP="00DE6D09">
            <w:pPr>
              <w:tabs>
                <w:tab w:val="left" w:pos="6946"/>
              </w:tabs>
              <w:rPr>
                <w:rFonts w:ascii="Times New Roman" w:hAnsi="Times New Roman" w:cs="Times New Roman"/>
                <w:b/>
                <w:color w:val="000000" w:themeColor="text1"/>
                <w:sz w:val="20"/>
                <w:szCs w:val="20"/>
              </w:rPr>
            </w:pPr>
            <w:r w:rsidRPr="00133C2E">
              <w:rPr>
                <w:rFonts w:ascii="Times New Roman" w:hAnsi="Times New Roman" w:cs="Times New Roman"/>
                <w:b/>
                <w:color w:val="000000" w:themeColor="text1"/>
                <w:sz w:val="20"/>
                <w:szCs w:val="20"/>
              </w:rPr>
              <w:t>LTO</w:t>
            </w:r>
          </w:p>
        </w:tc>
        <w:tc>
          <w:tcPr>
            <w:tcW w:w="496" w:type="pct"/>
          </w:tcPr>
          <w:p w14:paraId="67B76B55" w14:textId="77777777" w:rsidR="00575C9D" w:rsidRPr="009A64AC" w:rsidRDefault="00575C9D" w:rsidP="00DE6D09">
            <w:pPr>
              <w:rPr>
                <w:rFonts w:ascii="Times New Roman" w:hAnsi="Times New Roman" w:cs="Times New Roman"/>
                <w:sz w:val="20"/>
                <w:szCs w:val="20"/>
              </w:rPr>
            </w:pPr>
            <w:proofErr w:type="spellStart"/>
            <w:r w:rsidRPr="009A64AC">
              <w:rPr>
                <w:rFonts w:ascii="Times New Roman" w:hAnsi="Times New Roman" w:cs="Times New Roman"/>
                <w:color w:val="333333"/>
                <w:sz w:val="20"/>
                <w:szCs w:val="20"/>
                <w:shd w:val="clear" w:color="auto" w:fill="FFFFFF"/>
              </w:rPr>
              <w:t>Lithium</w:t>
            </w:r>
            <w:proofErr w:type="spellEnd"/>
            <w:r w:rsidRPr="009A64AC">
              <w:rPr>
                <w:rFonts w:ascii="Times New Roman" w:hAnsi="Times New Roman" w:cs="Times New Roman"/>
                <w:color w:val="333333"/>
                <w:sz w:val="20"/>
                <w:szCs w:val="20"/>
                <w:shd w:val="clear" w:color="auto" w:fill="FFFFFF"/>
              </w:rPr>
              <w:t xml:space="preserve"> </w:t>
            </w:r>
            <w:proofErr w:type="spellStart"/>
            <w:r w:rsidRPr="009A64AC">
              <w:rPr>
                <w:rFonts w:ascii="Times New Roman" w:hAnsi="Times New Roman" w:cs="Times New Roman"/>
                <w:color w:val="333333"/>
                <w:sz w:val="20"/>
                <w:szCs w:val="20"/>
                <w:shd w:val="clear" w:color="auto" w:fill="FFFFFF"/>
              </w:rPr>
              <w:t>Titanate</w:t>
            </w:r>
            <w:proofErr w:type="spellEnd"/>
          </w:p>
          <w:p w14:paraId="029D85D5" w14:textId="77777777" w:rsidR="00575C9D" w:rsidRPr="009A64AC" w:rsidRDefault="00575C9D" w:rsidP="00DE6D09">
            <w:pPr>
              <w:tabs>
                <w:tab w:val="left" w:pos="6946"/>
              </w:tabs>
              <w:rPr>
                <w:rFonts w:ascii="Times New Roman" w:hAnsi="Times New Roman" w:cs="Times New Roman"/>
                <w:color w:val="000000" w:themeColor="text1"/>
                <w:sz w:val="20"/>
                <w:szCs w:val="20"/>
              </w:rPr>
            </w:pPr>
          </w:p>
        </w:tc>
        <w:tc>
          <w:tcPr>
            <w:tcW w:w="524" w:type="pct"/>
          </w:tcPr>
          <w:p w14:paraId="7023E9B5" w14:textId="77777777" w:rsidR="00575C9D" w:rsidRPr="009A64AC" w:rsidRDefault="00575C9D" w:rsidP="00DE6D09">
            <w:pPr>
              <w:tabs>
                <w:tab w:val="left" w:pos="6946"/>
              </w:tabs>
              <w:rPr>
                <w:rFonts w:ascii="Times New Roman" w:hAnsi="Times New Roman" w:cs="Times New Roman"/>
                <w:color w:val="000000" w:themeColor="text1"/>
                <w:sz w:val="20"/>
                <w:szCs w:val="20"/>
              </w:rPr>
            </w:pPr>
            <w:r w:rsidRPr="009A64AC">
              <w:rPr>
                <w:rFonts w:ascii="Times New Roman" w:hAnsi="Times New Roman" w:cs="Times New Roman"/>
                <w:color w:val="000000" w:themeColor="text1"/>
                <w:sz w:val="20"/>
                <w:szCs w:val="20"/>
              </w:rPr>
              <w:t>LiTO</w:t>
            </w:r>
            <w:r w:rsidRPr="009A64AC">
              <w:rPr>
                <w:rFonts w:ascii="Times New Roman" w:hAnsi="Times New Roman" w:cs="Times New Roman"/>
                <w:color w:val="000000" w:themeColor="text1"/>
                <w:sz w:val="20"/>
                <w:szCs w:val="20"/>
                <w:vertAlign w:val="subscript"/>
              </w:rPr>
              <w:t>2</w:t>
            </w:r>
          </w:p>
        </w:tc>
        <w:tc>
          <w:tcPr>
            <w:tcW w:w="784" w:type="pct"/>
          </w:tcPr>
          <w:p w14:paraId="50FFFA1C" w14:textId="77777777" w:rsidR="006512E5" w:rsidRPr="00E60026" w:rsidRDefault="00575C9D" w:rsidP="006512E5">
            <w:pPr>
              <w:tabs>
                <w:tab w:val="left" w:pos="6946"/>
              </w:tabs>
              <w:rPr>
                <w:rFonts w:ascii="Times New Roman" w:hAnsi="Times New Roman" w:cs="Times New Roman"/>
                <w:color w:val="000000" w:themeColor="text1"/>
                <w:sz w:val="20"/>
                <w:szCs w:val="20"/>
                <w:lang w:val="en-US"/>
              </w:rPr>
            </w:pPr>
            <w:r w:rsidRPr="00E60026">
              <w:rPr>
                <w:rFonts w:ascii="Times New Roman" w:hAnsi="Times New Roman" w:cs="Times New Roman"/>
                <w:color w:val="000000" w:themeColor="text1"/>
                <w:sz w:val="20"/>
                <w:szCs w:val="20"/>
                <w:lang w:val="en-US"/>
              </w:rPr>
              <w:t>LiFePO</w:t>
            </w:r>
            <w:r w:rsidRPr="00E60026">
              <w:rPr>
                <w:rFonts w:ascii="Times New Roman" w:hAnsi="Times New Roman" w:cs="Times New Roman"/>
                <w:color w:val="000000" w:themeColor="text1"/>
                <w:sz w:val="20"/>
                <w:szCs w:val="20"/>
                <w:vertAlign w:val="subscript"/>
                <w:lang w:val="en-US"/>
              </w:rPr>
              <w:t xml:space="preserve">4 </w:t>
            </w:r>
            <w:r w:rsidRPr="00E60026">
              <w:rPr>
                <w:rFonts w:ascii="Times New Roman" w:hAnsi="Times New Roman" w:cs="Times New Roman"/>
                <w:color w:val="000000" w:themeColor="text1"/>
                <w:sz w:val="20"/>
                <w:szCs w:val="20"/>
                <w:lang w:val="en-US"/>
              </w:rPr>
              <w:t xml:space="preserve">or </w:t>
            </w:r>
            <w:r w:rsidR="006512E5" w:rsidRPr="00E60026">
              <w:rPr>
                <w:rFonts w:ascii="Times New Roman" w:hAnsi="Times New Roman" w:cs="Times New Roman"/>
                <w:color w:val="000000" w:themeColor="text1"/>
                <w:sz w:val="20"/>
                <w:szCs w:val="20"/>
                <w:lang w:val="en-US"/>
              </w:rPr>
              <w:t>Li</w:t>
            </w:r>
          </w:p>
          <w:p w14:paraId="2CC9C0D7" w14:textId="072AE967" w:rsidR="00575C9D" w:rsidRPr="006512E5" w:rsidRDefault="006512E5" w:rsidP="006512E5">
            <w:pPr>
              <w:tabs>
                <w:tab w:val="left" w:pos="6946"/>
              </w:tabs>
              <w:rPr>
                <w:rFonts w:ascii="Times New Roman" w:hAnsi="Times New Roman" w:cs="Times New Roman"/>
                <w:color w:val="000000" w:themeColor="text1"/>
                <w:sz w:val="20"/>
                <w:szCs w:val="20"/>
                <w:lang w:val="en-US"/>
              </w:rPr>
            </w:pPr>
            <w:r w:rsidRPr="00E60026">
              <w:rPr>
                <w:rFonts w:ascii="Times New Roman" w:hAnsi="Times New Roman" w:cs="Times New Roman"/>
                <w:color w:val="000000" w:themeColor="text1"/>
                <w:sz w:val="20"/>
                <w:szCs w:val="20"/>
                <w:lang w:val="en-US"/>
              </w:rPr>
              <w:t>Ni</w:t>
            </w:r>
            <w:r>
              <w:rPr>
                <w:rFonts w:ascii="Times New Roman" w:hAnsi="Times New Roman" w:cs="Times New Roman"/>
                <w:color w:val="000000" w:themeColor="text1"/>
                <w:sz w:val="20"/>
                <w:szCs w:val="20"/>
                <w:vertAlign w:val="subscript"/>
                <w:lang w:val="en-US"/>
              </w:rPr>
              <w:t>0.6</w:t>
            </w:r>
            <w:r w:rsidRPr="00E60026">
              <w:rPr>
                <w:rFonts w:ascii="Times New Roman" w:hAnsi="Times New Roman" w:cs="Times New Roman"/>
                <w:color w:val="000000" w:themeColor="text1"/>
                <w:sz w:val="20"/>
                <w:szCs w:val="20"/>
                <w:lang w:val="en-US"/>
              </w:rPr>
              <w:t>Co</w:t>
            </w:r>
            <w:r>
              <w:rPr>
                <w:rFonts w:ascii="Times New Roman" w:hAnsi="Times New Roman" w:cs="Times New Roman"/>
                <w:color w:val="000000" w:themeColor="text1"/>
                <w:sz w:val="20"/>
                <w:szCs w:val="20"/>
                <w:vertAlign w:val="subscript"/>
                <w:lang w:val="en-US"/>
              </w:rPr>
              <w:t>0.2</w:t>
            </w:r>
            <w:r w:rsidRPr="00E60026">
              <w:rPr>
                <w:rFonts w:ascii="Times New Roman" w:hAnsi="Times New Roman" w:cs="Times New Roman"/>
                <w:color w:val="000000" w:themeColor="text1"/>
                <w:sz w:val="20"/>
                <w:szCs w:val="20"/>
                <w:lang w:val="en-US"/>
              </w:rPr>
              <w:t>Mn</w:t>
            </w:r>
            <w:r>
              <w:rPr>
                <w:rFonts w:ascii="Times New Roman" w:hAnsi="Times New Roman" w:cs="Times New Roman"/>
                <w:color w:val="000000" w:themeColor="text1"/>
                <w:sz w:val="20"/>
                <w:szCs w:val="20"/>
                <w:vertAlign w:val="subscript"/>
                <w:lang w:val="en-US"/>
              </w:rPr>
              <w:t>0.2</w:t>
            </w:r>
            <w:r w:rsidRPr="006512E5">
              <w:rPr>
                <w:rFonts w:ascii="Times New Roman" w:hAnsi="Times New Roman" w:cs="Times New Roman"/>
                <w:color w:val="000000" w:themeColor="text1"/>
                <w:sz w:val="20"/>
                <w:szCs w:val="20"/>
                <w:lang w:val="en-US"/>
              </w:rPr>
              <w:t>O</w:t>
            </w:r>
            <w:r w:rsidRPr="006512E5">
              <w:rPr>
                <w:rFonts w:ascii="Times New Roman" w:hAnsi="Times New Roman" w:cs="Times New Roman"/>
                <w:color w:val="000000" w:themeColor="text1"/>
                <w:sz w:val="20"/>
                <w:szCs w:val="20"/>
                <w:vertAlign w:val="subscript"/>
                <w:lang w:val="en-US"/>
              </w:rPr>
              <w:t>2</w:t>
            </w:r>
          </w:p>
        </w:tc>
        <w:tc>
          <w:tcPr>
            <w:tcW w:w="549" w:type="pct"/>
          </w:tcPr>
          <w:p w14:paraId="52F7BADE"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r w:rsidRPr="006512E5">
              <w:rPr>
                <w:rFonts w:ascii="Times New Roman" w:hAnsi="Times New Roman" w:cs="Times New Roman"/>
                <w:color w:val="000000" w:themeColor="text1"/>
                <w:sz w:val="20"/>
                <w:szCs w:val="20"/>
                <w:lang w:val="en-US"/>
              </w:rPr>
              <w:t>70-80</w:t>
            </w:r>
          </w:p>
        </w:tc>
        <w:tc>
          <w:tcPr>
            <w:tcW w:w="392" w:type="pct"/>
          </w:tcPr>
          <w:p w14:paraId="04C8AA6C"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r w:rsidRPr="006512E5">
              <w:rPr>
                <w:rFonts w:ascii="Times New Roman" w:hAnsi="Times New Roman" w:cs="Times New Roman"/>
                <w:color w:val="000000" w:themeColor="text1"/>
                <w:sz w:val="20"/>
                <w:szCs w:val="20"/>
                <w:lang w:val="en-US"/>
              </w:rPr>
              <w:t>15000-20000</w:t>
            </w:r>
          </w:p>
        </w:tc>
        <w:tc>
          <w:tcPr>
            <w:tcW w:w="601" w:type="pct"/>
          </w:tcPr>
          <w:p w14:paraId="213EA78F"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r w:rsidRPr="006512E5">
              <w:rPr>
                <w:rFonts w:ascii="Times New Roman" w:hAnsi="Times New Roman" w:cs="Times New Roman"/>
                <w:color w:val="000000" w:themeColor="text1"/>
                <w:sz w:val="20"/>
                <w:szCs w:val="20"/>
                <w:lang w:val="en-US"/>
              </w:rPr>
              <w:t>25 years</w:t>
            </w:r>
          </w:p>
        </w:tc>
        <w:tc>
          <w:tcPr>
            <w:tcW w:w="811" w:type="pct"/>
          </w:tcPr>
          <w:p w14:paraId="7BAEE6DF"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proofErr w:type="spellStart"/>
            <w:r w:rsidRPr="006512E5">
              <w:rPr>
                <w:rFonts w:ascii="Times New Roman" w:hAnsi="Times New Roman" w:cs="Times New Roman"/>
                <w:color w:val="000000" w:themeColor="text1"/>
                <w:sz w:val="20"/>
                <w:szCs w:val="20"/>
                <w:lang w:val="en-US"/>
              </w:rPr>
              <w:t>Leclanche</w:t>
            </w:r>
            <w:proofErr w:type="spellEnd"/>
          </w:p>
          <w:p w14:paraId="7FDBF59D"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proofErr w:type="spellStart"/>
            <w:r w:rsidRPr="006512E5">
              <w:rPr>
                <w:rFonts w:ascii="Times New Roman" w:hAnsi="Times New Roman" w:cs="Times New Roman"/>
                <w:color w:val="000000" w:themeColor="text1"/>
                <w:sz w:val="20"/>
                <w:szCs w:val="20"/>
                <w:lang w:val="en-US"/>
              </w:rPr>
              <w:t>Kokam</w:t>
            </w:r>
            <w:proofErr w:type="spellEnd"/>
          </w:p>
          <w:p w14:paraId="346A8AF0" w14:textId="77777777" w:rsidR="00575C9D" w:rsidRPr="006512E5" w:rsidRDefault="00575C9D" w:rsidP="00DE6D09">
            <w:pPr>
              <w:tabs>
                <w:tab w:val="left" w:pos="6946"/>
              </w:tabs>
              <w:rPr>
                <w:rFonts w:ascii="Times New Roman" w:hAnsi="Times New Roman" w:cs="Times New Roman"/>
                <w:color w:val="000000" w:themeColor="text1"/>
                <w:sz w:val="20"/>
                <w:szCs w:val="20"/>
                <w:lang w:val="en-US"/>
              </w:rPr>
            </w:pPr>
            <w:proofErr w:type="spellStart"/>
            <w:r w:rsidRPr="006512E5">
              <w:rPr>
                <w:rFonts w:ascii="Times New Roman" w:hAnsi="Times New Roman" w:cs="Times New Roman"/>
                <w:color w:val="000000" w:themeColor="text1"/>
                <w:sz w:val="20"/>
                <w:szCs w:val="20"/>
                <w:lang w:val="en-US"/>
              </w:rPr>
              <w:t>Altairnano</w:t>
            </w:r>
            <w:proofErr w:type="spellEnd"/>
          </w:p>
        </w:tc>
        <w:tc>
          <w:tcPr>
            <w:tcW w:w="392" w:type="pct"/>
          </w:tcPr>
          <w:p w14:paraId="7660D940" w14:textId="088D9978" w:rsidR="00575C9D" w:rsidRPr="009A64AC" w:rsidRDefault="00575C9D" w:rsidP="004646E5">
            <w:pPr>
              <w:tabs>
                <w:tab w:val="left" w:pos="6946"/>
              </w:tabs>
              <w:rPr>
                <w:rFonts w:ascii="Times New Roman" w:hAnsi="Times New Roman" w:cs="Times New Roman"/>
                <w:color w:val="000000" w:themeColor="text1"/>
                <w:sz w:val="20"/>
                <w:szCs w:val="20"/>
              </w:rPr>
            </w:pPr>
            <w:r w:rsidRPr="009A64AC">
              <w:rPr>
                <w:rFonts w:ascii="Times New Roman" w:hAnsi="Times New Roman" w:cs="Times New Roman"/>
                <w:color w:val="000000" w:themeColor="text1"/>
                <w:sz w:val="20"/>
                <w:szCs w:val="20"/>
              </w:rPr>
              <w:fldChar w:fldCharType="begin" w:fldLock="1"/>
            </w:r>
            <w:r w:rsidR="00056AD4" w:rsidRPr="006512E5">
              <w:rPr>
                <w:rFonts w:ascii="Times New Roman" w:hAnsi="Times New Roman" w:cs="Times New Roman"/>
                <w:color w:val="000000" w:themeColor="text1"/>
                <w:sz w:val="20"/>
                <w:szCs w:val="20"/>
                <w:lang w:val="en-US"/>
              </w:rPr>
              <w:instrText>ADDIN CSL_CITATION {"citationItems":[{"id":"ITEM-1","itemData":{"URL":"ht</w:instrText>
            </w:r>
            <w:r w:rsidR="00056AD4">
              <w:rPr>
                <w:rFonts w:ascii="Times New Roman" w:hAnsi="Times New Roman" w:cs="Times New Roman"/>
                <w:color w:val="000000" w:themeColor="text1"/>
                <w:sz w:val="20"/>
                <w:szCs w:val="20"/>
              </w:rPr>
              <w:instrText>tp://www.leclanche.com/technology-products/leclanche-technology/lithium-ion-cells/","author":[{"dropping-particle":"","family":"Leclanche","given":"","non-dropping-particle":"","parse-names":false,"suffix":""}],"container-title":"Lithium Ion Technology","id":"ITEM-1","issued":{"date-parts":[["2018"]]},"title":"Lithium Ion Technology","type":"webpage"},"uris":["http://www.mendeley.com/documents/?uuid=3ff47f59-7458-4e68-a22e-d5fb40128508"]},{"id":"ITEM-2","itemData":{"author":[{"dropping-particle":"","family":"Kokam Co.","given":"Ltd.","non-dropping-particle":"","parse-names":false,"suffix":""}],"id":"ITEM-2","issued":{"date-parts":[["2017"]]},"page":"1","title":"Kokam Li-ion / Polymer Cell","type":"article-journal"},"uris":["http://www.mendeley.com/documents/?uuid=3e0e91c0-5fbe-4912-843b-5a01f5d4b414"]},{"id":"ITEM-3","itemData":{"author":[{"dropping-particle":"","family":"Kokam Co.","given":"Ltd.","non-dropping-particle":"","parse-names":false,"suffix":""}],"id":"ITEM-3","issued":{"date-parts":[["2018"]]},"title":"Total Energy Storage Solution Provider","type":"article-journal"},"uris":["http://www.mendeley.com/documents/?uuid=6292833a-db6b-4e5f-a323-c417fd09c817"]},{"id":"ITEM-4","itemData":{"URL":"https://altairnano.com/products/battery-module/","author":[{"dropping-particle":"","family":"Altairnano","given":"","non-dropping-particle":"","parse-names":false,"suffix":""}],"id":"ITEM-4","issued":{"date-parts":[["2012"]]},"title":"24 V 60 Ah Battery Module","type":"webpage"},"uris":["http://www.mendeley.com/documents/?uuid=81122ff2-417c-43c8-9f26-cd5429df5b14","http://www.mendeley.com/documents/?uuid=70f85032-51f7-49d5-8274-2a79742e1ec6"]}],"mendeley":{"formattedCitation":"[1,3,4,8]","plainTextFormattedCitation":"[1,3,4,8]","previouslyFormattedCitation":"[1,3,4,8]"},"properties":{"noteIndex":0},"schema":"https://github.com/citation-style-language/schema/raw/master/csl-citation.json"}</w:instrText>
            </w:r>
            <w:r w:rsidRPr="009A64AC">
              <w:rPr>
                <w:rFonts w:ascii="Times New Roman" w:hAnsi="Times New Roman" w:cs="Times New Roman"/>
                <w:color w:val="000000" w:themeColor="text1"/>
                <w:sz w:val="20"/>
                <w:szCs w:val="20"/>
              </w:rPr>
              <w:fldChar w:fldCharType="separate"/>
            </w:r>
            <w:r w:rsidR="00544654" w:rsidRPr="00544654">
              <w:rPr>
                <w:rFonts w:ascii="Times New Roman" w:hAnsi="Times New Roman" w:cs="Times New Roman"/>
                <w:noProof/>
                <w:color w:val="000000" w:themeColor="text1"/>
                <w:sz w:val="20"/>
                <w:szCs w:val="20"/>
              </w:rPr>
              <w:t>[1,3,4,8]</w:t>
            </w:r>
            <w:r w:rsidRPr="009A64AC">
              <w:rPr>
                <w:rFonts w:ascii="Times New Roman" w:hAnsi="Times New Roman" w:cs="Times New Roman"/>
                <w:color w:val="000000" w:themeColor="text1"/>
                <w:sz w:val="20"/>
                <w:szCs w:val="20"/>
              </w:rPr>
              <w:fldChar w:fldCharType="end"/>
            </w:r>
          </w:p>
        </w:tc>
      </w:tr>
    </w:tbl>
    <w:p w14:paraId="21FA3E22" w14:textId="77777777" w:rsidR="00575C9D" w:rsidRPr="009A64AC" w:rsidRDefault="00575C9D" w:rsidP="00575C9D">
      <w:pPr>
        <w:tabs>
          <w:tab w:val="left" w:pos="6946"/>
        </w:tabs>
        <w:spacing w:after="0"/>
        <w:rPr>
          <w:rFonts w:ascii="Times New Roman" w:hAnsi="Times New Roman" w:cs="Times New Roman"/>
          <w:i/>
          <w:color w:val="000000" w:themeColor="text1"/>
          <w:sz w:val="20"/>
          <w:szCs w:val="20"/>
        </w:rPr>
      </w:pPr>
    </w:p>
    <w:p w14:paraId="182E6CCE" w14:textId="6E472EC7" w:rsidR="00575C9D" w:rsidRDefault="00D15F32" w:rsidP="00575C9D">
      <w:pPr>
        <w:tabs>
          <w:tab w:val="left" w:pos="6946"/>
        </w:tabs>
        <w:spacing w:after="0"/>
        <w:rPr>
          <w:rFonts w:ascii="Times New Roman" w:hAnsi="Times New Roman" w:cs="Times New Roman"/>
          <w:i/>
          <w:color w:val="000000" w:themeColor="text1"/>
          <w:sz w:val="20"/>
          <w:szCs w:val="20"/>
          <w:lang w:val="en-US"/>
        </w:rPr>
      </w:pPr>
      <w:r w:rsidRPr="00D15F32">
        <w:rPr>
          <w:rFonts w:ascii="Times New Roman" w:hAnsi="Times New Roman" w:cs="Times New Roman"/>
          <w:i/>
          <w:color w:val="000000" w:themeColor="text1"/>
          <w:sz w:val="20"/>
          <w:szCs w:val="20"/>
          <w:lang w:val="en-US"/>
        </w:rPr>
        <w:t xml:space="preserve">*Residential energy storage system. </w:t>
      </w:r>
      <w:r>
        <w:rPr>
          <w:rFonts w:ascii="Times New Roman" w:hAnsi="Times New Roman" w:cs="Times New Roman"/>
          <w:i/>
          <w:color w:val="000000" w:themeColor="text1"/>
          <w:sz w:val="20"/>
          <w:szCs w:val="20"/>
          <w:lang w:val="en-US"/>
        </w:rPr>
        <w:t>All other systems are multi-MWh size.</w:t>
      </w:r>
    </w:p>
    <w:p w14:paraId="4FF3CC98" w14:textId="77777777" w:rsidR="00E709D7" w:rsidRPr="00D15F32" w:rsidRDefault="00E709D7" w:rsidP="00575C9D">
      <w:pPr>
        <w:tabs>
          <w:tab w:val="left" w:pos="6946"/>
        </w:tabs>
        <w:spacing w:after="0"/>
        <w:rPr>
          <w:rFonts w:ascii="Times New Roman" w:hAnsi="Times New Roman" w:cs="Times New Roman"/>
          <w:i/>
          <w:color w:val="000000" w:themeColor="text1"/>
          <w:sz w:val="20"/>
          <w:szCs w:val="20"/>
          <w:lang w:val="en-US"/>
        </w:rPr>
      </w:pPr>
    </w:p>
    <w:p w14:paraId="584CC66C" w14:textId="7C893142" w:rsidR="008649F0" w:rsidRPr="009A64AC" w:rsidRDefault="00A015CC" w:rsidP="00A95A70">
      <w:pPr>
        <w:pStyle w:val="Heading2"/>
        <w:rPr>
          <w:rFonts w:ascii="Times New Roman" w:hAnsi="Times New Roman" w:cs="Times New Roman"/>
        </w:rPr>
      </w:pPr>
      <w:bookmarkStart w:id="16" w:name="_Toc528918099"/>
      <w:bookmarkStart w:id="17" w:name="_Toc529169825"/>
      <w:bookmarkStart w:id="18" w:name="_Toc529178824"/>
      <w:bookmarkStart w:id="19" w:name="_Toc529178939"/>
      <w:r w:rsidRPr="009A64AC">
        <w:rPr>
          <w:rFonts w:ascii="Times New Roman" w:hAnsi="Times New Roman" w:cs="Times New Roman"/>
        </w:rPr>
        <w:t>Lithium</w:t>
      </w:r>
      <w:r w:rsidR="003D1E7C" w:rsidRPr="009A64AC">
        <w:rPr>
          <w:rFonts w:ascii="Times New Roman" w:hAnsi="Times New Roman" w:cs="Times New Roman"/>
        </w:rPr>
        <w:t>-ion batter</w:t>
      </w:r>
      <w:r w:rsidR="00D95E05">
        <w:rPr>
          <w:rFonts w:ascii="Times New Roman" w:hAnsi="Times New Roman" w:cs="Times New Roman"/>
        </w:rPr>
        <w:t>y packaging</w:t>
      </w:r>
      <w:bookmarkEnd w:id="16"/>
      <w:bookmarkEnd w:id="17"/>
      <w:bookmarkEnd w:id="18"/>
      <w:bookmarkEnd w:id="19"/>
    </w:p>
    <w:p w14:paraId="51A654AC" w14:textId="02C07C75" w:rsidR="003D1E7C" w:rsidRPr="00D95E05" w:rsidRDefault="00A250D0" w:rsidP="004A7C48">
      <w:pPr>
        <w:tabs>
          <w:tab w:val="left" w:pos="6946"/>
        </w:tabs>
        <w:spacing w:after="0"/>
        <w:rPr>
          <w:rFonts w:ascii="Times New Roman" w:hAnsi="Times New Roman" w:cs="Times New Roman"/>
          <w:color w:val="000000" w:themeColor="text1"/>
          <w:sz w:val="24"/>
          <w:lang w:val="en-US"/>
        </w:rPr>
      </w:pPr>
      <w:r w:rsidRPr="00D95E05">
        <w:rPr>
          <w:rFonts w:ascii="Times New Roman" w:hAnsi="Times New Roman" w:cs="Times New Roman"/>
          <w:color w:val="000000" w:themeColor="text1"/>
          <w:sz w:val="24"/>
          <w:lang w:val="en-US"/>
        </w:rPr>
        <w:t>The most common packaging styles for LIB cells are presented in</w:t>
      </w:r>
      <w:r w:rsidR="00EA7643" w:rsidRPr="00D95E05">
        <w:rPr>
          <w:rFonts w:ascii="Times New Roman" w:hAnsi="Times New Roman" w:cs="Times New Roman"/>
          <w:color w:val="000000" w:themeColor="text1"/>
          <w:sz w:val="24"/>
          <w:lang w:val="en-US"/>
        </w:rPr>
        <w:t xml:space="preserve"> </w:t>
      </w:r>
      <w:r w:rsidR="00EA7643" w:rsidRPr="00D95E05">
        <w:rPr>
          <w:rFonts w:ascii="Times New Roman" w:hAnsi="Times New Roman" w:cs="Times New Roman"/>
          <w:color w:val="000000" w:themeColor="text1"/>
          <w:sz w:val="24"/>
          <w:lang w:val="en-US"/>
        </w:rPr>
        <w:fldChar w:fldCharType="begin"/>
      </w:r>
      <w:r w:rsidR="00EA7643" w:rsidRPr="00D95E05">
        <w:rPr>
          <w:rFonts w:ascii="Times New Roman" w:hAnsi="Times New Roman" w:cs="Times New Roman"/>
          <w:color w:val="000000" w:themeColor="text1"/>
          <w:sz w:val="24"/>
          <w:lang w:val="en-US"/>
        </w:rPr>
        <w:instrText xml:space="preserve"> REF _Ref527374097 \h  \* MERGEFORMAT </w:instrText>
      </w:r>
      <w:r w:rsidR="00EA7643" w:rsidRPr="00D95E05">
        <w:rPr>
          <w:rFonts w:ascii="Times New Roman" w:hAnsi="Times New Roman" w:cs="Times New Roman"/>
          <w:color w:val="000000" w:themeColor="text1"/>
          <w:sz w:val="24"/>
          <w:lang w:val="en-US"/>
        </w:rPr>
      </w:r>
      <w:r w:rsidR="00EA7643" w:rsidRPr="00D95E05">
        <w:rPr>
          <w:rFonts w:ascii="Times New Roman" w:hAnsi="Times New Roman" w:cs="Times New Roman"/>
          <w:color w:val="000000" w:themeColor="text1"/>
          <w:sz w:val="24"/>
          <w:lang w:val="en-US"/>
        </w:rPr>
        <w:fldChar w:fldCharType="separate"/>
      </w:r>
      <w:r w:rsidR="00E60026" w:rsidRPr="00E60026">
        <w:rPr>
          <w:rFonts w:ascii="Times New Roman" w:hAnsi="Times New Roman" w:cs="Times New Roman"/>
          <w:color w:val="000000" w:themeColor="text1"/>
          <w:sz w:val="24"/>
          <w:lang w:val="en-US"/>
        </w:rPr>
        <w:t xml:space="preserve">Figure </w:t>
      </w:r>
      <w:r w:rsidR="00E60026" w:rsidRPr="00E60026">
        <w:rPr>
          <w:rFonts w:ascii="Times New Roman" w:hAnsi="Times New Roman" w:cs="Times New Roman"/>
          <w:noProof/>
          <w:color w:val="000000" w:themeColor="text1"/>
          <w:sz w:val="24"/>
          <w:lang w:val="en-US"/>
        </w:rPr>
        <w:t>3</w:t>
      </w:r>
      <w:r w:rsidR="00EA7643" w:rsidRPr="00D95E05">
        <w:rPr>
          <w:rFonts w:ascii="Times New Roman" w:hAnsi="Times New Roman" w:cs="Times New Roman"/>
          <w:color w:val="000000" w:themeColor="text1"/>
          <w:sz w:val="24"/>
          <w:lang w:val="en-US"/>
        </w:rPr>
        <w:fldChar w:fldCharType="end"/>
      </w:r>
      <w:r w:rsidRPr="00D95E05">
        <w:rPr>
          <w:rFonts w:ascii="Times New Roman" w:hAnsi="Times New Roman" w:cs="Times New Roman"/>
          <w:color w:val="000000" w:themeColor="text1"/>
          <w:sz w:val="24"/>
          <w:lang w:val="en-US"/>
        </w:rPr>
        <w:t>.</w:t>
      </w:r>
      <w:r w:rsidR="00F86D2B" w:rsidRPr="00D95E05">
        <w:rPr>
          <w:rFonts w:ascii="Times New Roman" w:hAnsi="Times New Roman" w:cs="Times New Roman"/>
          <w:color w:val="000000" w:themeColor="text1"/>
          <w:sz w:val="24"/>
          <w:lang w:val="en-US"/>
        </w:rPr>
        <w:t xml:space="preserve"> Examples are provided </w:t>
      </w:r>
      <w:r w:rsidR="00F86D2B" w:rsidRPr="00D95E05">
        <w:rPr>
          <w:rFonts w:ascii="Times New Roman" w:hAnsi="Times New Roman" w:cs="Times New Roman"/>
          <w:sz w:val="24"/>
          <w:lang w:val="en-US"/>
        </w:rPr>
        <w:t xml:space="preserve">in </w:t>
      </w:r>
      <w:r w:rsidR="00F86D2B" w:rsidRPr="00D95E05">
        <w:rPr>
          <w:rFonts w:ascii="Times New Roman" w:hAnsi="Times New Roman" w:cs="Times New Roman"/>
          <w:sz w:val="24"/>
          <w:lang w:val="en-US"/>
        </w:rPr>
        <w:fldChar w:fldCharType="begin"/>
      </w:r>
      <w:r w:rsidR="00F86D2B" w:rsidRPr="00D95E05">
        <w:rPr>
          <w:rFonts w:ascii="Times New Roman" w:hAnsi="Times New Roman" w:cs="Times New Roman"/>
          <w:sz w:val="24"/>
          <w:lang w:val="en-US"/>
        </w:rPr>
        <w:instrText xml:space="preserve"> REF _Ref527374934 \h </w:instrText>
      </w:r>
      <w:r w:rsidR="00D95E05">
        <w:rPr>
          <w:rFonts w:ascii="Times New Roman" w:hAnsi="Times New Roman" w:cs="Times New Roman"/>
          <w:sz w:val="24"/>
          <w:lang w:val="en-US"/>
        </w:rPr>
        <w:instrText xml:space="preserve"> \* MERGEFORMAT </w:instrText>
      </w:r>
      <w:r w:rsidR="00F86D2B" w:rsidRPr="00D95E05">
        <w:rPr>
          <w:rFonts w:ascii="Times New Roman" w:hAnsi="Times New Roman" w:cs="Times New Roman"/>
          <w:sz w:val="24"/>
          <w:lang w:val="en-US"/>
        </w:rPr>
      </w:r>
      <w:r w:rsidR="00F86D2B" w:rsidRPr="00D95E05">
        <w:rPr>
          <w:rFonts w:ascii="Times New Roman" w:hAnsi="Times New Roman" w:cs="Times New Roman"/>
          <w:sz w:val="24"/>
          <w:lang w:val="en-US"/>
        </w:rPr>
        <w:fldChar w:fldCharType="separate"/>
      </w:r>
      <w:r w:rsidR="00E60026" w:rsidRPr="00E60026">
        <w:rPr>
          <w:rFonts w:ascii="Times New Roman" w:hAnsi="Times New Roman" w:cs="Times New Roman"/>
          <w:sz w:val="24"/>
          <w:lang w:val="en-US"/>
        </w:rPr>
        <w:t xml:space="preserve">Figure </w:t>
      </w:r>
      <w:r w:rsidR="00E60026" w:rsidRPr="00E60026">
        <w:rPr>
          <w:rFonts w:ascii="Times New Roman" w:hAnsi="Times New Roman" w:cs="Times New Roman"/>
          <w:noProof/>
          <w:sz w:val="24"/>
          <w:lang w:val="en-US"/>
        </w:rPr>
        <w:t>4</w:t>
      </w:r>
      <w:r w:rsidR="00F86D2B" w:rsidRPr="00D95E05">
        <w:rPr>
          <w:rFonts w:ascii="Times New Roman" w:hAnsi="Times New Roman" w:cs="Times New Roman"/>
          <w:sz w:val="24"/>
          <w:lang w:val="en-US"/>
        </w:rPr>
        <w:fldChar w:fldCharType="end"/>
      </w:r>
      <w:r w:rsidR="00F86D2B" w:rsidRPr="00D95E05">
        <w:rPr>
          <w:rFonts w:ascii="Times New Roman" w:hAnsi="Times New Roman" w:cs="Times New Roman"/>
          <w:sz w:val="24"/>
          <w:lang w:val="en-US"/>
        </w:rPr>
        <w:t>.</w:t>
      </w:r>
      <w:r w:rsidRPr="00D95E05">
        <w:rPr>
          <w:rFonts w:ascii="Times New Roman" w:hAnsi="Times New Roman" w:cs="Times New Roman"/>
          <w:color w:val="000000" w:themeColor="text1"/>
          <w:sz w:val="24"/>
          <w:lang w:val="en-US"/>
        </w:rPr>
        <w:t xml:space="preserve"> </w:t>
      </w:r>
      <w:r w:rsidRPr="00D95E05">
        <w:rPr>
          <w:rFonts w:ascii="Times New Roman" w:hAnsi="Times New Roman" w:cs="Times New Roman"/>
          <w:color w:val="000000" w:themeColor="text1"/>
          <w:sz w:val="24"/>
          <w:lang w:val="en-US"/>
        </w:rPr>
        <w:fldChar w:fldCharType="begin"/>
      </w:r>
      <w:r w:rsidRPr="00D95E05">
        <w:rPr>
          <w:rFonts w:ascii="Times New Roman" w:hAnsi="Times New Roman" w:cs="Times New Roman"/>
          <w:color w:val="000000" w:themeColor="text1"/>
          <w:sz w:val="24"/>
          <w:lang w:val="en-US"/>
        </w:rPr>
        <w:instrText xml:space="preserve"> REF _Ref527374097 \h  \* MERGEFORMAT </w:instrText>
      </w:r>
      <w:r w:rsidRPr="00D95E05">
        <w:rPr>
          <w:rFonts w:ascii="Times New Roman" w:hAnsi="Times New Roman" w:cs="Times New Roman"/>
          <w:color w:val="000000" w:themeColor="text1"/>
          <w:sz w:val="24"/>
          <w:lang w:val="en-US"/>
        </w:rPr>
      </w:r>
      <w:r w:rsidRPr="00D95E05">
        <w:rPr>
          <w:rFonts w:ascii="Times New Roman" w:hAnsi="Times New Roman" w:cs="Times New Roman"/>
          <w:color w:val="000000" w:themeColor="text1"/>
          <w:sz w:val="24"/>
          <w:lang w:val="en-US"/>
        </w:rPr>
        <w:fldChar w:fldCharType="separate"/>
      </w:r>
      <w:r w:rsidR="00E60026" w:rsidRPr="00E60026">
        <w:rPr>
          <w:rFonts w:ascii="Times New Roman" w:hAnsi="Times New Roman" w:cs="Times New Roman"/>
          <w:color w:val="000000" w:themeColor="text1"/>
          <w:sz w:val="24"/>
          <w:lang w:val="en-US"/>
        </w:rPr>
        <w:t xml:space="preserve">Figure </w:t>
      </w:r>
      <w:r w:rsidR="00E60026" w:rsidRPr="00E60026">
        <w:rPr>
          <w:rFonts w:ascii="Times New Roman" w:hAnsi="Times New Roman" w:cs="Times New Roman"/>
          <w:noProof/>
          <w:color w:val="000000" w:themeColor="text1"/>
          <w:sz w:val="24"/>
          <w:lang w:val="en-US"/>
        </w:rPr>
        <w:t>3</w:t>
      </w:r>
      <w:r w:rsidRPr="00D95E05">
        <w:rPr>
          <w:rFonts w:ascii="Times New Roman" w:hAnsi="Times New Roman" w:cs="Times New Roman"/>
          <w:color w:val="000000" w:themeColor="text1"/>
          <w:sz w:val="24"/>
          <w:lang w:val="en-US"/>
        </w:rPr>
        <w:fldChar w:fldCharType="end"/>
      </w:r>
      <w:r w:rsidR="00F86D2B" w:rsidRPr="00D95E05">
        <w:rPr>
          <w:rFonts w:ascii="Times New Roman" w:hAnsi="Times New Roman" w:cs="Times New Roman"/>
          <w:color w:val="000000" w:themeColor="text1"/>
          <w:sz w:val="24"/>
          <w:lang w:val="en-US"/>
        </w:rPr>
        <w:t>(</w:t>
      </w:r>
      <w:r w:rsidR="00EA7643" w:rsidRPr="00D95E05">
        <w:rPr>
          <w:rFonts w:ascii="Times New Roman" w:hAnsi="Times New Roman" w:cs="Times New Roman"/>
          <w:color w:val="000000" w:themeColor="text1"/>
          <w:sz w:val="24"/>
          <w:lang w:val="en-US"/>
        </w:rPr>
        <w:t>a</w:t>
      </w:r>
      <w:r w:rsidR="00F86D2B" w:rsidRPr="00D95E05">
        <w:rPr>
          <w:rFonts w:ascii="Times New Roman" w:hAnsi="Times New Roman" w:cs="Times New Roman"/>
          <w:color w:val="000000" w:themeColor="text1"/>
          <w:sz w:val="24"/>
          <w:lang w:val="en-US"/>
        </w:rPr>
        <w:t>)</w:t>
      </w:r>
      <w:r w:rsidR="00EA7643" w:rsidRPr="00D95E05">
        <w:rPr>
          <w:rFonts w:ascii="Times New Roman" w:hAnsi="Times New Roman" w:cs="Times New Roman"/>
          <w:color w:val="000000" w:themeColor="text1"/>
          <w:sz w:val="24"/>
          <w:lang w:val="en-US"/>
        </w:rPr>
        <w:t xml:space="preserve"> show a schematic drawing of a cylindrical LIB cell. </w:t>
      </w:r>
      <w:r w:rsidRPr="00D95E05">
        <w:rPr>
          <w:rFonts w:ascii="Times New Roman" w:hAnsi="Times New Roman" w:cs="Times New Roman"/>
          <w:color w:val="000000" w:themeColor="text1"/>
          <w:sz w:val="24"/>
          <w:lang w:val="en-US"/>
        </w:rPr>
        <w:t xml:space="preserve">Cylindrical cells </w:t>
      </w:r>
      <w:r w:rsidR="002A14C6" w:rsidRPr="00D95E05">
        <w:rPr>
          <w:rFonts w:ascii="Times New Roman" w:hAnsi="Times New Roman" w:cs="Times New Roman"/>
          <w:color w:val="000000" w:themeColor="text1"/>
          <w:sz w:val="24"/>
          <w:lang w:val="en-US"/>
        </w:rPr>
        <w:t xml:space="preserve">find widespread applications ranging from </w:t>
      </w:r>
      <w:r w:rsidRPr="00D95E05">
        <w:rPr>
          <w:rFonts w:ascii="Times New Roman" w:hAnsi="Times New Roman" w:cs="Times New Roman"/>
          <w:color w:val="000000" w:themeColor="text1"/>
          <w:sz w:val="24"/>
          <w:lang w:val="en-US"/>
        </w:rPr>
        <w:t xml:space="preserve">laptops and power tools </w:t>
      </w:r>
      <w:r w:rsidR="002A14C6" w:rsidRPr="00D95E05">
        <w:rPr>
          <w:rFonts w:ascii="Times New Roman" w:hAnsi="Times New Roman" w:cs="Times New Roman"/>
          <w:color w:val="000000" w:themeColor="text1"/>
          <w:sz w:val="24"/>
          <w:lang w:val="en-US"/>
        </w:rPr>
        <w:t xml:space="preserve">to </w:t>
      </w:r>
      <w:r w:rsidRPr="00D95E05">
        <w:rPr>
          <w:rFonts w:ascii="Times New Roman" w:hAnsi="Times New Roman" w:cs="Times New Roman"/>
          <w:color w:val="000000" w:themeColor="text1"/>
          <w:sz w:val="24"/>
          <w:lang w:val="en-US"/>
        </w:rPr>
        <w:t>Tesla’s battery pack</w:t>
      </w:r>
      <w:r w:rsidR="002A14C6" w:rsidRPr="00D95E05">
        <w:rPr>
          <w:rFonts w:ascii="Times New Roman" w:hAnsi="Times New Roman" w:cs="Times New Roman"/>
          <w:color w:val="000000" w:themeColor="text1"/>
          <w:sz w:val="24"/>
          <w:lang w:val="en-US"/>
        </w:rPr>
        <w:t>s</w:t>
      </w:r>
      <w:r w:rsidRPr="00D95E05">
        <w:rPr>
          <w:rFonts w:ascii="Times New Roman" w:hAnsi="Times New Roman" w:cs="Times New Roman"/>
          <w:color w:val="000000" w:themeColor="text1"/>
          <w:sz w:val="24"/>
          <w:lang w:val="en-US"/>
        </w:rPr>
        <w:t>.</w:t>
      </w:r>
      <w:r w:rsidR="00C21A87" w:rsidRPr="00D95E05">
        <w:rPr>
          <w:rFonts w:ascii="Times New Roman" w:hAnsi="Times New Roman" w:cs="Times New Roman"/>
          <w:color w:val="000000" w:themeColor="text1"/>
          <w:sz w:val="24"/>
          <w:lang w:val="en-US"/>
        </w:rPr>
        <w:t xml:space="preserve"> </w:t>
      </w:r>
      <w:r w:rsidR="00C21A87" w:rsidRPr="00D95E05">
        <w:rPr>
          <w:rFonts w:ascii="Times New Roman" w:hAnsi="Times New Roman" w:cs="Times New Roman"/>
          <w:color w:val="000000" w:themeColor="text1"/>
          <w:sz w:val="24"/>
          <w:lang w:val="en-US"/>
        </w:rPr>
        <w:fldChar w:fldCharType="begin"/>
      </w:r>
      <w:r w:rsidR="00C21A87" w:rsidRPr="00D95E05">
        <w:rPr>
          <w:rFonts w:ascii="Times New Roman" w:hAnsi="Times New Roman" w:cs="Times New Roman"/>
          <w:color w:val="000000" w:themeColor="text1"/>
          <w:sz w:val="24"/>
          <w:lang w:val="en-US"/>
        </w:rPr>
        <w:instrText xml:space="preserve"> REF _Ref527374934 \h  \* MERGEFORMAT </w:instrText>
      </w:r>
      <w:r w:rsidR="00C21A87" w:rsidRPr="00D95E05">
        <w:rPr>
          <w:rFonts w:ascii="Times New Roman" w:hAnsi="Times New Roman" w:cs="Times New Roman"/>
          <w:color w:val="000000" w:themeColor="text1"/>
          <w:sz w:val="24"/>
          <w:lang w:val="en-US"/>
        </w:rPr>
      </w:r>
      <w:r w:rsidR="00C21A87" w:rsidRPr="00D95E05">
        <w:rPr>
          <w:rFonts w:ascii="Times New Roman" w:hAnsi="Times New Roman" w:cs="Times New Roman"/>
          <w:color w:val="000000" w:themeColor="text1"/>
          <w:sz w:val="24"/>
          <w:lang w:val="en-US"/>
        </w:rPr>
        <w:fldChar w:fldCharType="separate"/>
      </w:r>
      <w:r w:rsidR="00E60026" w:rsidRPr="00E60026">
        <w:rPr>
          <w:rFonts w:ascii="Times New Roman" w:hAnsi="Times New Roman" w:cs="Times New Roman"/>
          <w:color w:val="000000" w:themeColor="text1"/>
          <w:sz w:val="24"/>
          <w:lang w:val="en-US"/>
        </w:rPr>
        <w:t xml:space="preserve">Figure </w:t>
      </w:r>
      <w:r w:rsidR="00E60026" w:rsidRPr="00E60026">
        <w:rPr>
          <w:rFonts w:ascii="Times New Roman" w:hAnsi="Times New Roman" w:cs="Times New Roman"/>
          <w:noProof/>
          <w:color w:val="000000" w:themeColor="text1"/>
          <w:sz w:val="24"/>
          <w:lang w:val="en-US"/>
        </w:rPr>
        <w:t>4</w:t>
      </w:r>
      <w:r w:rsidR="00C21A87" w:rsidRPr="00D95E05">
        <w:rPr>
          <w:rFonts w:ascii="Times New Roman" w:hAnsi="Times New Roman" w:cs="Times New Roman"/>
          <w:color w:val="000000" w:themeColor="text1"/>
          <w:sz w:val="24"/>
          <w:lang w:val="en-US"/>
        </w:rPr>
        <w:fldChar w:fldCharType="end"/>
      </w:r>
      <w:r w:rsidR="00F86D2B" w:rsidRPr="00D95E05">
        <w:rPr>
          <w:rFonts w:ascii="Times New Roman" w:hAnsi="Times New Roman" w:cs="Times New Roman"/>
          <w:color w:val="000000" w:themeColor="text1"/>
          <w:sz w:val="24"/>
          <w:lang w:val="en-US"/>
        </w:rPr>
        <w:t>(a)</w:t>
      </w:r>
      <w:r w:rsidR="00C21A87" w:rsidRPr="00D95E05">
        <w:rPr>
          <w:rFonts w:ascii="Times New Roman" w:hAnsi="Times New Roman" w:cs="Times New Roman"/>
          <w:color w:val="000000" w:themeColor="text1"/>
          <w:sz w:val="24"/>
          <w:lang w:val="en-US"/>
        </w:rPr>
        <w:t xml:space="preserve"> shows Tesla’s 21700 cylindrical LIB cell which is 21 mm in diameter and 70 mm in length</w:t>
      </w:r>
      <w:r w:rsidR="002A14C6" w:rsidRPr="00D95E05">
        <w:rPr>
          <w:rFonts w:ascii="Times New Roman" w:hAnsi="Times New Roman" w:cs="Times New Roman"/>
          <w:color w:val="000000" w:themeColor="text1"/>
          <w:sz w:val="24"/>
          <w:lang w:val="en-US"/>
        </w:rPr>
        <w:t>. The cell</w:t>
      </w:r>
      <w:r w:rsidR="00C21A87" w:rsidRPr="00D95E05">
        <w:rPr>
          <w:rFonts w:ascii="Times New Roman" w:hAnsi="Times New Roman" w:cs="Times New Roman"/>
          <w:color w:val="000000" w:themeColor="text1"/>
          <w:sz w:val="24"/>
          <w:lang w:val="en-US"/>
        </w:rPr>
        <w:t xml:space="preserve"> </w:t>
      </w:r>
      <w:r w:rsidR="002A14C6" w:rsidRPr="00D95E05">
        <w:rPr>
          <w:rFonts w:ascii="Times New Roman" w:hAnsi="Times New Roman" w:cs="Times New Roman"/>
          <w:color w:val="000000" w:themeColor="text1"/>
          <w:sz w:val="24"/>
          <w:lang w:val="en-US"/>
        </w:rPr>
        <w:t>is produced</w:t>
      </w:r>
      <w:r w:rsidR="00C21A87" w:rsidRPr="00D95E05">
        <w:rPr>
          <w:rFonts w:ascii="Times New Roman" w:hAnsi="Times New Roman" w:cs="Times New Roman"/>
          <w:color w:val="000000" w:themeColor="text1"/>
          <w:sz w:val="24"/>
          <w:lang w:val="en-US"/>
        </w:rPr>
        <w:t xml:space="preserve"> in Tesla’s </w:t>
      </w:r>
      <w:proofErr w:type="spellStart"/>
      <w:r w:rsidR="00C21A87" w:rsidRPr="00D95E05">
        <w:rPr>
          <w:rFonts w:ascii="Times New Roman" w:hAnsi="Times New Roman" w:cs="Times New Roman"/>
          <w:color w:val="000000" w:themeColor="text1"/>
          <w:sz w:val="24"/>
          <w:lang w:val="en-US"/>
        </w:rPr>
        <w:t>Gigafactory</w:t>
      </w:r>
      <w:proofErr w:type="spellEnd"/>
      <w:r w:rsidR="00C21A87" w:rsidRPr="00D95E05">
        <w:rPr>
          <w:rFonts w:ascii="Times New Roman" w:hAnsi="Times New Roman" w:cs="Times New Roman"/>
          <w:color w:val="000000" w:themeColor="text1"/>
          <w:sz w:val="24"/>
          <w:lang w:val="en-US"/>
        </w:rPr>
        <w:t xml:space="preserve"> 1 for Tesla Model 3 </w:t>
      </w:r>
      <w:r w:rsidR="00C21A87" w:rsidRPr="00D95E05">
        <w:rPr>
          <w:rFonts w:ascii="Times New Roman" w:hAnsi="Times New Roman" w:cs="Times New Roman"/>
          <w:color w:val="000000" w:themeColor="text1"/>
          <w:sz w:val="24"/>
          <w:lang w:val="en-US"/>
        </w:rPr>
        <w:fldChar w:fldCharType="begin" w:fldLock="1"/>
      </w:r>
      <w:r w:rsidR="004646E5">
        <w:rPr>
          <w:rFonts w:ascii="Times New Roman" w:hAnsi="Times New Roman" w:cs="Times New Roman"/>
          <w:color w:val="000000" w:themeColor="text1"/>
          <w:sz w:val="24"/>
          <w:lang w:val="en-US"/>
        </w:rPr>
        <w:instrText>ADDIN CSL_CITATION {"citationItems":[{"id":"ITEM-1","itemData":{"URL":"https://electrek.co/2016/07/28/tesla-gigafactory-tour-roundup-and-tidbits-this-is-the-coolest-factory-ever/","author":[{"dropping-particle":"","family":"Weintraub","given":"Seth","non-dropping-particle":"","parse-names":false,"suffix":""}],"container-title":"Electrek","id":"ITEM-1","issued":{"date-parts":[["2016"]]},"page":"1-21","title":"Tesla Gigafactory tour roundup and tidbits: ‘This is the coolest factory in the world’","type":"webpage"},"uris":["http://www.mendeley.com/documents/?uuid=f466cffd-2ff1-4a56-bfcb-2a740a028c67"]}],"mendeley":{"formattedCitation":"[9]","plainTextFormattedCitation":"[9]","previouslyFormattedCitation":"[9]"},"properties":{"noteIndex":0},"schema":"https://github.com/citation-style-language/schema/raw/master/csl-citation.json"}</w:instrText>
      </w:r>
      <w:r w:rsidR="00C21A87" w:rsidRPr="00D95E05">
        <w:rPr>
          <w:rFonts w:ascii="Times New Roman" w:hAnsi="Times New Roman" w:cs="Times New Roman"/>
          <w:color w:val="000000" w:themeColor="text1"/>
          <w:sz w:val="24"/>
          <w:lang w:val="en-US"/>
        </w:rPr>
        <w:fldChar w:fldCharType="separate"/>
      </w:r>
      <w:r w:rsidR="004646E5" w:rsidRPr="004646E5">
        <w:rPr>
          <w:rFonts w:ascii="Times New Roman" w:hAnsi="Times New Roman" w:cs="Times New Roman"/>
          <w:noProof/>
          <w:color w:val="000000" w:themeColor="text1"/>
          <w:sz w:val="24"/>
          <w:lang w:val="en-US"/>
        </w:rPr>
        <w:t>[9]</w:t>
      </w:r>
      <w:r w:rsidR="00C21A87" w:rsidRPr="00D95E05">
        <w:rPr>
          <w:rFonts w:ascii="Times New Roman" w:hAnsi="Times New Roman" w:cs="Times New Roman"/>
          <w:color w:val="000000" w:themeColor="text1"/>
          <w:sz w:val="24"/>
          <w:lang w:val="en-US"/>
        </w:rPr>
        <w:fldChar w:fldCharType="end"/>
      </w:r>
      <w:r w:rsidR="00C21A87" w:rsidRPr="00D95E05">
        <w:rPr>
          <w:rFonts w:ascii="Times New Roman" w:hAnsi="Times New Roman" w:cs="Times New Roman"/>
          <w:color w:val="000000" w:themeColor="text1"/>
          <w:sz w:val="24"/>
          <w:lang w:val="en-US"/>
        </w:rPr>
        <w:t>.</w:t>
      </w:r>
      <w:r w:rsidR="0010054B" w:rsidRPr="00D95E05">
        <w:rPr>
          <w:rFonts w:ascii="Times New Roman" w:hAnsi="Times New Roman" w:cs="Times New Roman"/>
          <w:color w:val="000000" w:themeColor="text1"/>
          <w:sz w:val="24"/>
          <w:lang w:val="en-US"/>
        </w:rPr>
        <w:t xml:space="preserve"> </w:t>
      </w:r>
      <w:r w:rsidR="00E172F3" w:rsidRPr="00D95E05">
        <w:rPr>
          <w:rFonts w:ascii="Times New Roman" w:hAnsi="Times New Roman" w:cs="Times New Roman"/>
          <w:color w:val="000000" w:themeColor="text1"/>
          <w:sz w:val="24"/>
          <w:lang w:val="en-US"/>
        </w:rPr>
        <w:fldChar w:fldCharType="begin"/>
      </w:r>
      <w:r w:rsidR="00E172F3" w:rsidRPr="00D95E05">
        <w:rPr>
          <w:rFonts w:ascii="Times New Roman" w:hAnsi="Times New Roman" w:cs="Times New Roman"/>
          <w:color w:val="000000" w:themeColor="text1"/>
          <w:sz w:val="24"/>
          <w:lang w:val="en-US"/>
        </w:rPr>
        <w:instrText xml:space="preserve"> REF _Ref527374097 \h  \* MERGEFORMAT </w:instrText>
      </w:r>
      <w:r w:rsidR="00E172F3" w:rsidRPr="00D95E05">
        <w:rPr>
          <w:rFonts w:ascii="Times New Roman" w:hAnsi="Times New Roman" w:cs="Times New Roman"/>
          <w:color w:val="000000" w:themeColor="text1"/>
          <w:sz w:val="24"/>
          <w:lang w:val="en-US"/>
        </w:rPr>
      </w:r>
      <w:r w:rsidR="00E172F3" w:rsidRPr="00D95E05">
        <w:rPr>
          <w:rFonts w:ascii="Times New Roman" w:hAnsi="Times New Roman" w:cs="Times New Roman"/>
          <w:color w:val="000000" w:themeColor="text1"/>
          <w:sz w:val="24"/>
          <w:lang w:val="en-US"/>
        </w:rPr>
        <w:fldChar w:fldCharType="separate"/>
      </w:r>
      <w:r w:rsidR="00E60026" w:rsidRPr="00E60026">
        <w:rPr>
          <w:rFonts w:ascii="Times New Roman" w:hAnsi="Times New Roman" w:cs="Times New Roman"/>
          <w:color w:val="000000" w:themeColor="text1"/>
          <w:sz w:val="24"/>
          <w:lang w:val="en-US"/>
        </w:rPr>
        <w:t xml:space="preserve">Figure </w:t>
      </w:r>
      <w:r w:rsidR="00E60026" w:rsidRPr="00E60026">
        <w:rPr>
          <w:rFonts w:ascii="Times New Roman" w:hAnsi="Times New Roman" w:cs="Times New Roman"/>
          <w:noProof/>
          <w:color w:val="000000" w:themeColor="text1"/>
          <w:sz w:val="24"/>
          <w:lang w:val="en-US"/>
        </w:rPr>
        <w:t>3</w:t>
      </w:r>
      <w:r w:rsidR="00E172F3" w:rsidRPr="00D95E05">
        <w:rPr>
          <w:rFonts w:ascii="Times New Roman" w:hAnsi="Times New Roman" w:cs="Times New Roman"/>
          <w:color w:val="000000" w:themeColor="text1"/>
          <w:sz w:val="24"/>
          <w:lang w:val="en-US"/>
        </w:rPr>
        <w:fldChar w:fldCharType="end"/>
      </w:r>
      <w:r w:rsidR="00F86D2B" w:rsidRPr="00D95E05">
        <w:rPr>
          <w:rFonts w:ascii="Times New Roman" w:hAnsi="Times New Roman" w:cs="Times New Roman"/>
          <w:color w:val="000000" w:themeColor="text1"/>
          <w:sz w:val="24"/>
          <w:lang w:val="en-US"/>
        </w:rPr>
        <w:t>(</w:t>
      </w:r>
      <w:r w:rsidR="00E172F3" w:rsidRPr="00D95E05">
        <w:rPr>
          <w:rFonts w:ascii="Times New Roman" w:hAnsi="Times New Roman" w:cs="Times New Roman"/>
          <w:color w:val="000000" w:themeColor="text1"/>
          <w:sz w:val="24"/>
          <w:lang w:val="en-US"/>
        </w:rPr>
        <w:t>b</w:t>
      </w:r>
      <w:r w:rsidR="00F86D2B" w:rsidRPr="00D95E05">
        <w:rPr>
          <w:rFonts w:ascii="Times New Roman" w:hAnsi="Times New Roman" w:cs="Times New Roman"/>
          <w:color w:val="000000" w:themeColor="text1"/>
          <w:sz w:val="24"/>
          <w:lang w:val="en-US"/>
        </w:rPr>
        <w:t>)</w:t>
      </w:r>
      <w:r w:rsidR="00E172F3" w:rsidRPr="00D95E05">
        <w:rPr>
          <w:rFonts w:ascii="Times New Roman" w:hAnsi="Times New Roman" w:cs="Times New Roman"/>
          <w:color w:val="000000" w:themeColor="text1"/>
          <w:sz w:val="24"/>
          <w:lang w:val="en-US"/>
        </w:rPr>
        <w:t xml:space="preserve"> </w:t>
      </w:r>
      <w:r w:rsidR="002A14C6" w:rsidRPr="00D95E05">
        <w:rPr>
          <w:rFonts w:ascii="Times New Roman" w:hAnsi="Times New Roman" w:cs="Times New Roman"/>
          <w:color w:val="000000" w:themeColor="text1"/>
          <w:sz w:val="24"/>
          <w:lang w:val="en-US"/>
        </w:rPr>
        <w:t xml:space="preserve">outline a </w:t>
      </w:r>
      <w:r w:rsidR="00E172F3" w:rsidRPr="00D95E05">
        <w:rPr>
          <w:rFonts w:ascii="Times New Roman" w:hAnsi="Times New Roman" w:cs="Times New Roman"/>
          <w:color w:val="000000" w:themeColor="text1"/>
          <w:sz w:val="24"/>
          <w:lang w:val="en-US"/>
        </w:rPr>
        <w:t>coin LIB cell</w:t>
      </w:r>
      <w:r w:rsidR="002A14C6" w:rsidRPr="00D95E05">
        <w:rPr>
          <w:rFonts w:ascii="Times New Roman" w:hAnsi="Times New Roman" w:cs="Times New Roman"/>
          <w:color w:val="000000" w:themeColor="text1"/>
          <w:sz w:val="24"/>
          <w:lang w:val="en-US"/>
        </w:rPr>
        <w:t xml:space="preserve">. Coin cells </w:t>
      </w:r>
      <w:r w:rsidR="00E172F3" w:rsidRPr="00D95E05">
        <w:rPr>
          <w:rFonts w:ascii="Times New Roman" w:hAnsi="Times New Roman" w:cs="Times New Roman"/>
          <w:color w:val="000000" w:themeColor="text1"/>
          <w:sz w:val="24"/>
          <w:lang w:val="en-US"/>
        </w:rPr>
        <w:t>are usually used as primary cells in portable consumer electronics, watches and hearing aids</w:t>
      </w:r>
      <w:r w:rsidR="002A14C6" w:rsidRPr="00D95E05">
        <w:rPr>
          <w:rFonts w:ascii="Times New Roman" w:hAnsi="Times New Roman" w:cs="Times New Roman"/>
          <w:color w:val="000000" w:themeColor="text1"/>
          <w:sz w:val="24"/>
          <w:lang w:val="en-US"/>
        </w:rPr>
        <w:t>. Since they</w:t>
      </w:r>
      <w:r w:rsidR="004C1883" w:rsidRPr="00D95E05">
        <w:rPr>
          <w:rFonts w:ascii="Times New Roman" w:hAnsi="Times New Roman" w:cs="Times New Roman"/>
          <w:color w:val="000000" w:themeColor="text1"/>
          <w:sz w:val="24"/>
          <w:lang w:val="en-US"/>
        </w:rPr>
        <w:t xml:space="preserve"> are not </w:t>
      </w:r>
      <w:r w:rsidR="00BD1E70" w:rsidRPr="00D95E05">
        <w:rPr>
          <w:rFonts w:ascii="Times New Roman" w:hAnsi="Times New Roman" w:cs="Times New Roman"/>
          <w:color w:val="000000" w:themeColor="text1"/>
          <w:sz w:val="24"/>
          <w:lang w:val="en-US"/>
        </w:rPr>
        <w:t>used for secondary cells (rechargeable) in grid-connected LIB Battery Energy Storage Systems</w:t>
      </w:r>
      <w:r w:rsidR="002A14C6" w:rsidRPr="00D95E05">
        <w:rPr>
          <w:rFonts w:ascii="Times New Roman" w:hAnsi="Times New Roman" w:cs="Times New Roman"/>
          <w:color w:val="000000" w:themeColor="text1"/>
          <w:sz w:val="24"/>
          <w:lang w:val="en-US"/>
        </w:rPr>
        <w:t xml:space="preserve"> they </w:t>
      </w:r>
      <w:r w:rsidR="002A14C6" w:rsidRPr="00D95E05">
        <w:rPr>
          <w:rFonts w:ascii="Times New Roman" w:hAnsi="Times New Roman" w:cs="Times New Roman"/>
          <w:color w:val="000000" w:themeColor="text1"/>
          <w:sz w:val="24"/>
          <w:lang w:val="en-US"/>
        </w:rPr>
        <w:lastRenderedPageBreak/>
        <w:t>are not described further in this text</w:t>
      </w:r>
      <w:r w:rsidR="00E172F3" w:rsidRPr="00D95E05">
        <w:rPr>
          <w:rFonts w:ascii="Times New Roman" w:hAnsi="Times New Roman" w:cs="Times New Roman"/>
          <w:color w:val="000000" w:themeColor="text1"/>
          <w:sz w:val="24"/>
          <w:lang w:val="en-US"/>
        </w:rPr>
        <w:t>.</w:t>
      </w:r>
      <w:r w:rsidR="00BD1E70" w:rsidRPr="00D95E05">
        <w:rPr>
          <w:rFonts w:ascii="Times New Roman" w:hAnsi="Times New Roman" w:cs="Times New Roman"/>
          <w:color w:val="000000" w:themeColor="text1"/>
          <w:sz w:val="24"/>
          <w:lang w:val="en-US"/>
        </w:rPr>
        <w:t xml:space="preserve"> </w:t>
      </w:r>
      <w:r w:rsidR="0010054B" w:rsidRPr="00D95E05">
        <w:rPr>
          <w:rFonts w:ascii="Times New Roman" w:hAnsi="Times New Roman" w:cs="Times New Roman"/>
          <w:color w:val="000000" w:themeColor="text1"/>
          <w:sz w:val="24"/>
          <w:lang w:val="en-US"/>
        </w:rPr>
        <w:fldChar w:fldCharType="begin"/>
      </w:r>
      <w:r w:rsidR="0010054B" w:rsidRPr="00D95E05">
        <w:rPr>
          <w:rFonts w:ascii="Times New Roman" w:hAnsi="Times New Roman" w:cs="Times New Roman"/>
          <w:color w:val="000000" w:themeColor="text1"/>
          <w:sz w:val="24"/>
          <w:lang w:val="en-US"/>
        </w:rPr>
        <w:instrText xml:space="preserve"> REF _Ref527374097 \h  \* MERGEFORMAT </w:instrText>
      </w:r>
      <w:r w:rsidR="0010054B" w:rsidRPr="00D95E05">
        <w:rPr>
          <w:rFonts w:ascii="Times New Roman" w:hAnsi="Times New Roman" w:cs="Times New Roman"/>
          <w:color w:val="000000" w:themeColor="text1"/>
          <w:sz w:val="24"/>
          <w:lang w:val="en-US"/>
        </w:rPr>
      </w:r>
      <w:r w:rsidR="0010054B" w:rsidRPr="00D95E05">
        <w:rPr>
          <w:rFonts w:ascii="Times New Roman" w:hAnsi="Times New Roman" w:cs="Times New Roman"/>
          <w:color w:val="000000" w:themeColor="text1"/>
          <w:sz w:val="24"/>
          <w:lang w:val="en-US"/>
        </w:rPr>
        <w:fldChar w:fldCharType="separate"/>
      </w:r>
      <w:r w:rsidR="00E60026" w:rsidRPr="00E60026">
        <w:rPr>
          <w:rFonts w:ascii="Times New Roman" w:hAnsi="Times New Roman" w:cs="Times New Roman"/>
          <w:color w:val="000000" w:themeColor="text1"/>
          <w:sz w:val="24"/>
          <w:lang w:val="en-US"/>
        </w:rPr>
        <w:t xml:space="preserve">Figure </w:t>
      </w:r>
      <w:r w:rsidR="00E60026" w:rsidRPr="00E60026">
        <w:rPr>
          <w:rFonts w:ascii="Times New Roman" w:hAnsi="Times New Roman" w:cs="Times New Roman"/>
          <w:noProof/>
          <w:color w:val="000000" w:themeColor="text1"/>
          <w:sz w:val="24"/>
          <w:lang w:val="en-US"/>
        </w:rPr>
        <w:t>3</w:t>
      </w:r>
      <w:r w:rsidR="0010054B" w:rsidRPr="00D95E05">
        <w:rPr>
          <w:rFonts w:ascii="Times New Roman" w:hAnsi="Times New Roman" w:cs="Times New Roman"/>
          <w:color w:val="000000" w:themeColor="text1"/>
          <w:sz w:val="24"/>
          <w:lang w:val="en-US"/>
        </w:rPr>
        <w:fldChar w:fldCharType="end"/>
      </w:r>
      <w:r w:rsidR="00F86D2B" w:rsidRPr="00D95E05">
        <w:rPr>
          <w:rFonts w:ascii="Times New Roman" w:hAnsi="Times New Roman" w:cs="Times New Roman"/>
          <w:color w:val="000000" w:themeColor="text1"/>
          <w:sz w:val="24"/>
          <w:lang w:val="en-US"/>
        </w:rPr>
        <w:t>(</w:t>
      </w:r>
      <w:r w:rsidR="00E172F3" w:rsidRPr="00D95E05">
        <w:rPr>
          <w:rFonts w:ascii="Times New Roman" w:hAnsi="Times New Roman" w:cs="Times New Roman"/>
          <w:color w:val="000000" w:themeColor="text1"/>
          <w:sz w:val="24"/>
          <w:lang w:val="en-US"/>
        </w:rPr>
        <w:t>c</w:t>
      </w:r>
      <w:r w:rsidR="00F86D2B" w:rsidRPr="00D95E05">
        <w:rPr>
          <w:rFonts w:ascii="Times New Roman" w:hAnsi="Times New Roman" w:cs="Times New Roman"/>
          <w:color w:val="000000" w:themeColor="text1"/>
          <w:sz w:val="24"/>
          <w:lang w:val="en-US"/>
        </w:rPr>
        <w:t>)</w:t>
      </w:r>
      <w:r w:rsidR="0010054B" w:rsidRPr="00D95E05">
        <w:rPr>
          <w:rFonts w:ascii="Times New Roman" w:hAnsi="Times New Roman" w:cs="Times New Roman"/>
          <w:color w:val="000000" w:themeColor="text1"/>
          <w:sz w:val="24"/>
          <w:lang w:val="en-US"/>
        </w:rPr>
        <w:t xml:space="preserve"> </w:t>
      </w:r>
      <w:r w:rsidR="002A14C6" w:rsidRPr="00D95E05">
        <w:rPr>
          <w:rFonts w:ascii="Times New Roman" w:hAnsi="Times New Roman" w:cs="Times New Roman"/>
          <w:color w:val="000000" w:themeColor="text1"/>
          <w:sz w:val="24"/>
          <w:lang w:val="en-US"/>
        </w:rPr>
        <w:t>displays</w:t>
      </w:r>
      <w:r w:rsidR="0010054B" w:rsidRPr="00D95E05">
        <w:rPr>
          <w:rFonts w:ascii="Times New Roman" w:hAnsi="Times New Roman" w:cs="Times New Roman"/>
          <w:color w:val="000000" w:themeColor="text1"/>
          <w:sz w:val="24"/>
          <w:lang w:val="en-US"/>
        </w:rPr>
        <w:t xml:space="preserve"> a schematic drawing of a prismatic LIB cell. </w:t>
      </w:r>
      <w:r w:rsidR="00510080" w:rsidRPr="00D95E05">
        <w:rPr>
          <w:rFonts w:ascii="Times New Roman" w:hAnsi="Times New Roman" w:cs="Times New Roman"/>
          <w:color w:val="000000" w:themeColor="text1"/>
          <w:sz w:val="24"/>
          <w:lang w:val="en-US"/>
        </w:rPr>
        <w:t>Prismatic LIB cells are often used in industrial applications and grid-connected LIB Battery Energy Storage Systems</w:t>
      </w:r>
      <w:r w:rsidR="002A14C6" w:rsidRPr="00D95E05">
        <w:rPr>
          <w:rFonts w:ascii="Times New Roman" w:hAnsi="Times New Roman" w:cs="Times New Roman"/>
          <w:color w:val="000000" w:themeColor="text1"/>
          <w:sz w:val="24"/>
          <w:lang w:val="en-US"/>
        </w:rPr>
        <w:t xml:space="preserve">. </w:t>
      </w:r>
      <w:r w:rsidR="00F86D2B" w:rsidRPr="00D95E05">
        <w:rPr>
          <w:rFonts w:ascii="Times New Roman" w:hAnsi="Times New Roman" w:cs="Times New Roman"/>
          <w:color w:val="000000" w:themeColor="text1"/>
          <w:sz w:val="24"/>
          <w:lang w:val="en-US"/>
        </w:rPr>
        <w:t>Th</w:t>
      </w:r>
      <w:r w:rsidR="00510080" w:rsidRPr="00D95E05">
        <w:rPr>
          <w:rFonts w:ascii="Times New Roman" w:hAnsi="Times New Roman" w:cs="Times New Roman"/>
          <w:color w:val="000000" w:themeColor="text1"/>
          <w:sz w:val="24"/>
          <w:lang w:val="en-US"/>
        </w:rPr>
        <w:t>e Samsung SDI prismatic LIB cell</w:t>
      </w:r>
      <w:r w:rsidR="00F86D2B" w:rsidRPr="00D95E05">
        <w:rPr>
          <w:rFonts w:ascii="Times New Roman" w:hAnsi="Times New Roman" w:cs="Times New Roman"/>
          <w:color w:val="000000" w:themeColor="text1"/>
          <w:sz w:val="24"/>
          <w:lang w:val="en-US"/>
        </w:rPr>
        <w:t xml:space="preserve"> is </w:t>
      </w:r>
      <w:r w:rsidR="00510080" w:rsidRPr="00D95E05">
        <w:rPr>
          <w:rFonts w:ascii="Times New Roman" w:hAnsi="Times New Roman" w:cs="Times New Roman"/>
          <w:color w:val="000000" w:themeColor="text1"/>
          <w:sz w:val="24"/>
          <w:lang w:val="en-US"/>
        </w:rPr>
        <w:t>shown in</w:t>
      </w:r>
      <w:r w:rsidR="00F86D2B" w:rsidRPr="00D95E05">
        <w:rPr>
          <w:rFonts w:ascii="Times New Roman" w:hAnsi="Times New Roman" w:cs="Times New Roman"/>
          <w:color w:val="000000" w:themeColor="text1"/>
          <w:sz w:val="24"/>
          <w:lang w:val="en-US"/>
        </w:rPr>
        <w:t xml:space="preserve"> </w:t>
      </w:r>
      <w:r w:rsidR="00F86D2B" w:rsidRPr="00D95E05">
        <w:rPr>
          <w:rFonts w:ascii="Times New Roman" w:hAnsi="Times New Roman" w:cs="Times New Roman"/>
          <w:color w:val="000000" w:themeColor="text1"/>
          <w:sz w:val="24"/>
          <w:lang w:val="en-US"/>
        </w:rPr>
        <w:fldChar w:fldCharType="begin"/>
      </w:r>
      <w:r w:rsidR="00F86D2B" w:rsidRPr="00D95E05">
        <w:rPr>
          <w:rFonts w:ascii="Times New Roman" w:hAnsi="Times New Roman" w:cs="Times New Roman"/>
          <w:color w:val="000000" w:themeColor="text1"/>
          <w:sz w:val="24"/>
          <w:lang w:val="en-US"/>
        </w:rPr>
        <w:instrText xml:space="preserve"> REF _Ref527374934 \h  \* MERGEFORMAT </w:instrText>
      </w:r>
      <w:r w:rsidR="00F86D2B" w:rsidRPr="00D95E05">
        <w:rPr>
          <w:rFonts w:ascii="Times New Roman" w:hAnsi="Times New Roman" w:cs="Times New Roman"/>
          <w:color w:val="000000" w:themeColor="text1"/>
          <w:sz w:val="24"/>
          <w:lang w:val="en-US"/>
        </w:rPr>
      </w:r>
      <w:r w:rsidR="00F86D2B" w:rsidRPr="00D95E05">
        <w:rPr>
          <w:rFonts w:ascii="Times New Roman" w:hAnsi="Times New Roman" w:cs="Times New Roman"/>
          <w:color w:val="000000" w:themeColor="text1"/>
          <w:sz w:val="24"/>
          <w:lang w:val="en-US"/>
        </w:rPr>
        <w:fldChar w:fldCharType="separate"/>
      </w:r>
      <w:r w:rsidR="00E60026" w:rsidRPr="00E60026">
        <w:rPr>
          <w:rFonts w:ascii="Times New Roman" w:hAnsi="Times New Roman" w:cs="Times New Roman"/>
          <w:color w:val="000000" w:themeColor="text1"/>
          <w:sz w:val="24"/>
          <w:lang w:val="en-US"/>
        </w:rPr>
        <w:t xml:space="preserve">Figure </w:t>
      </w:r>
      <w:r w:rsidR="00E60026" w:rsidRPr="00E60026">
        <w:rPr>
          <w:rFonts w:ascii="Times New Roman" w:hAnsi="Times New Roman" w:cs="Times New Roman"/>
          <w:noProof/>
          <w:color w:val="000000" w:themeColor="text1"/>
          <w:sz w:val="24"/>
          <w:lang w:val="en-US"/>
        </w:rPr>
        <w:t>4</w:t>
      </w:r>
      <w:r w:rsidR="00F86D2B" w:rsidRPr="00D95E05">
        <w:rPr>
          <w:rFonts w:ascii="Times New Roman" w:hAnsi="Times New Roman" w:cs="Times New Roman"/>
          <w:color w:val="000000" w:themeColor="text1"/>
          <w:sz w:val="24"/>
          <w:lang w:val="en-US"/>
        </w:rPr>
        <w:fldChar w:fldCharType="end"/>
      </w:r>
      <w:r w:rsidR="00F86D2B" w:rsidRPr="00D95E05">
        <w:rPr>
          <w:rFonts w:ascii="Times New Roman" w:hAnsi="Times New Roman" w:cs="Times New Roman"/>
          <w:color w:val="000000" w:themeColor="text1"/>
          <w:sz w:val="24"/>
          <w:lang w:val="en-US"/>
        </w:rPr>
        <w:t>(b)</w:t>
      </w:r>
      <w:r w:rsidR="00510080" w:rsidRPr="00D95E05">
        <w:rPr>
          <w:rFonts w:ascii="Times New Roman" w:hAnsi="Times New Roman" w:cs="Times New Roman"/>
          <w:color w:val="000000" w:themeColor="text1"/>
          <w:sz w:val="24"/>
          <w:lang w:val="en-US"/>
        </w:rPr>
        <w:t xml:space="preserve">. </w:t>
      </w:r>
      <w:r w:rsidR="00F86D2B" w:rsidRPr="00D95E05">
        <w:rPr>
          <w:rFonts w:ascii="Times New Roman" w:hAnsi="Times New Roman" w:cs="Times New Roman"/>
          <w:color w:val="000000" w:themeColor="text1"/>
          <w:sz w:val="24"/>
          <w:lang w:val="en-US"/>
        </w:rPr>
        <w:t>This cell type is used in t</w:t>
      </w:r>
      <w:r w:rsidR="00BD1E70" w:rsidRPr="00D95E05">
        <w:rPr>
          <w:rFonts w:ascii="Times New Roman" w:hAnsi="Times New Roman" w:cs="Times New Roman"/>
          <w:color w:val="000000" w:themeColor="text1"/>
          <w:sz w:val="24"/>
          <w:lang w:val="en-US"/>
        </w:rPr>
        <w:t xml:space="preserve">he BMW i3 </w:t>
      </w:r>
      <w:r w:rsidR="00D67207" w:rsidRPr="00D95E05">
        <w:rPr>
          <w:rFonts w:ascii="Times New Roman" w:hAnsi="Times New Roman" w:cs="Times New Roman"/>
          <w:color w:val="000000" w:themeColor="text1"/>
          <w:sz w:val="24"/>
          <w:lang w:val="en-US"/>
        </w:rPr>
        <w:fldChar w:fldCharType="begin" w:fldLock="1"/>
      </w:r>
      <w:r w:rsidR="004646E5">
        <w:rPr>
          <w:rFonts w:ascii="Times New Roman" w:hAnsi="Times New Roman" w:cs="Times New Roman"/>
          <w:color w:val="000000" w:themeColor="text1"/>
          <w:sz w:val="24"/>
          <w:lang w:val="en-US"/>
        </w:rPr>
        <w:instrText>ADDIN CSL_CITATION {"citationItems":[{"id":"ITEM-1","itemData":{"URL":"https://insideevs.com/lets-look-at-the-specs-of-the-samsung-sdi-94-ah-battery/","author":[{"dropping-particle":"","family":"Kane","given":"Mark","non-dropping-particle":"","parse-names":false,"suffix":""}],"id":"ITEM-1","issued":{"date-parts":[["2018"]]},"page":"1-13","title":"BMW i3 Samsung SDI 94 Ah Battery","type":"webpage"},"uris":["http://www.mendeley.com/documents/?uuid=e99d19cf-16c7-4bfa-b6fe-0fa688979588"]}],"mendeley":{"formattedCitation":"[10]","plainTextFormattedCitation":"[10]","previouslyFormattedCitation":"[10]"},"properties":{"noteIndex":0},"schema":"https://github.com/citation-style-language/schema/raw/master/csl-citation.json"}</w:instrText>
      </w:r>
      <w:r w:rsidR="00D67207" w:rsidRPr="00D95E05">
        <w:rPr>
          <w:rFonts w:ascii="Times New Roman" w:hAnsi="Times New Roman" w:cs="Times New Roman"/>
          <w:color w:val="000000" w:themeColor="text1"/>
          <w:sz w:val="24"/>
          <w:lang w:val="en-US"/>
        </w:rPr>
        <w:fldChar w:fldCharType="separate"/>
      </w:r>
      <w:r w:rsidR="004646E5" w:rsidRPr="004646E5">
        <w:rPr>
          <w:rFonts w:ascii="Times New Roman" w:hAnsi="Times New Roman" w:cs="Times New Roman"/>
          <w:noProof/>
          <w:color w:val="000000" w:themeColor="text1"/>
          <w:sz w:val="24"/>
          <w:lang w:val="en-US"/>
        </w:rPr>
        <w:t>[10]</w:t>
      </w:r>
      <w:r w:rsidR="00D67207" w:rsidRPr="00D95E05">
        <w:rPr>
          <w:rFonts w:ascii="Times New Roman" w:hAnsi="Times New Roman" w:cs="Times New Roman"/>
          <w:color w:val="000000" w:themeColor="text1"/>
          <w:sz w:val="24"/>
          <w:lang w:val="en-US"/>
        </w:rPr>
        <w:fldChar w:fldCharType="end"/>
      </w:r>
      <w:r w:rsidR="00D67207" w:rsidRPr="00D95E05">
        <w:rPr>
          <w:rFonts w:ascii="Times New Roman" w:hAnsi="Times New Roman" w:cs="Times New Roman"/>
          <w:color w:val="000000" w:themeColor="text1"/>
          <w:sz w:val="24"/>
          <w:lang w:val="en-US"/>
        </w:rPr>
        <w:t>.</w:t>
      </w:r>
      <w:r w:rsidR="00BD1E70" w:rsidRPr="00D95E05">
        <w:rPr>
          <w:rFonts w:ascii="Times New Roman" w:hAnsi="Times New Roman" w:cs="Times New Roman"/>
          <w:color w:val="000000" w:themeColor="text1"/>
          <w:sz w:val="24"/>
          <w:lang w:val="en-US"/>
        </w:rPr>
        <w:t xml:space="preserve"> </w:t>
      </w:r>
      <w:r w:rsidR="00BD1E70" w:rsidRPr="00D95E05">
        <w:rPr>
          <w:rFonts w:ascii="Times New Roman" w:hAnsi="Times New Roman" w:cs="Times New Roman"/>
          <w:color w:val="000000" w:themeColor="text1"/>
          <w:sz w:val="24"/>
          <w:lang w:val="en-US"/>
        </w:rPr>
        <w:fldChar w:fldCharType="begin"/>
      </w:r>
      <w:r w:rsidR="00BD1E70" w:rsidRPr="00D95E05">
        <w:rPr>
          <w:rFonts w:ascii="Times New Roman" w:hAnsi="Times New Roman" w:cs="Times New Roman"/>
          <w:color w:val="000000" w:themeColor="text1"/>
          <w:sz w:val="24"/>
          <w:lang w:val="en-US"/>
        </w:rPr>
        <w:instrText xml:space="preserve"> REF _Ref527374097 \h  \* MERGEFORMAT </w:instrText>
      </w:r>
      <w:r w:rsidR="00BD1E70" w:rsidRPr="00D95E05">
        <w:rPr>
          <w:rFonts w:ascii="Times New Roman" w:hAnsi="Times New Roman" w:cs="Times New Roman"/>
          <w:color w:val="000000" w:themeColor="text1"/>
          <w:sz w:val="24"/>
          <w:lang w:val="en-US"/>
        </w:rPr>
      </w:r>
      <w:r w:rsidR="00BD1E70" w:rsidRPr="00D95E05">
        <w:rPr>
          <w:rFonts w:ascii="Times New Roman" w:hAnsi="Times New Roman" w:cs="Times New Roman"/>
          <w:color w:val="000000" w:themeColor="text1"/>
          <w:sz w:val="24"/>
          <w:lang w:val="en-US"/>
        </w:rPr>
        <w:fldChar w:fldCharType="separate"/>
      </w:r>
      <w:r w:rsidR="00E60026" w:rsidRPr="00E60026">
        <w:rPr>
          <w:rFonts w:ascii="Times New Roman" w:hAnsi="Times New Roman" w:cs="Times New Roman"/>
          <w:color w:val="000000" w:themeColor="text1"/>
          <w:sz w:val="24"/>
          <w:lang w:val="en-US"/>
        </w:rPr>
        <w:t xml:space="preserve">Figure </w:t>
      </w:r>
      <w:r w:rsidR="00E60026" w:rsidRPr="00E60026">
        <w:rPr>
          <w:rFonts w:ascii="Times New Roman" w:hAnsi="Times New Roman" w:cs="Times New Roman"/>
          <w:noProof/>
          <w:color w:val="000000" w:themeColor="text1"/>
          <w:sz w:val="24"/>
          <w:lang w:val="en-US"/>
        </w:rPr>
        <w:t>3</w:t>
      </w:r>
      <w:r w:rsidR="00BD1E70" w:rsidRPr="00D95E05">
        <w:rPr>
          <w:rFonts w:ascii="Times New Roman" w:hAnsi="Times New Roman" w:cs="Times New Roman"/>
          <w:color w:val="000000" w:themeColor="text1"/>
          <w:sz w:val="24"/>
          <w:lang w:val="en-US"/>
        </w:rPr>
        <w:fldChar w:fldCharType="end"/>
      </w:r>
      <w:r w:rsidR="00F86D2B" w:rsidRPr="00D95E05">
        <w:rPr>
          <w:rFonts w:ascii="Times New Roman" w:hAnsi="Times New Roman" w:cs="Times New Roman"/>
          <w:color w:val="000000" w:themeColor="text1"/>
          <w:sz w:val="24"/>
          <w:lang w:val="en-US"/>
        </w:rPr>
        <w:t>(</w:t>
      </w:r>
      <w:r w:rsidR="00BD1E70" w:rsidRPr="00D95E05">
        <w:rPr>
          <w:rFonts w:ascii="Times New Roman" w:hAnsi="Times New Roman" w:cs="Times New Roman"/>
          <w:color w:val="000000" w:themeColor="text1"/>
          <w:sz w:val="24"/>
          <w:lang w:val="en-US"/>
        </w:rPr>
        <w:t>d</w:t>
      </w:r>
      <w:r w:rsidR="00F86D2B" w:rsidRPr="00D95E05">
        <w:rPr>
          <w:rFonts w:ascii="Times New Roman" w:hAnsi="Times New Roman" w:cs="Times New Roman"/>
          <w:color w:val="000000" w:themeColor="text1"/>
          <w:sz w:val="24"/>
          <w:lang w:val="en-US"/>
        </w:rPr>
        <w:t>)</w:t>
      </w:r>
      <w:r w:rsidR="00BD1E70" w:rsidRPr="00D95E05">
        <w:rPr>
          <w:rFonts w:ascii="Times New Roman" w:hAnsi="Times New Roman" w:cs="Times New Roman"/>
          <w:color w:val="000000" w:themeColor="text1"/>
          <w:sz w:val="24"/>
          <w:lang w:val="en-US"/>
        </w:rPr>
        <w:t xml:space="preserve"> shows a schematic drawing of a pouch LIB cell. </w:t>
      </w:r>
      <w:r w:rsidR="00F86D2B" w:rsidRPr="00D95E05">
        <w:rPr>
          <w:rFonts w:ascii="Times New Roman" w:hAnsi="Times New Roman" w:cs="Times New Roman"/>
          <w:color w:val="000000" w:themeColor="text1"/>
          <w:sz w:val="24"/>
          <w:lang w:val="en-US"/>
        </w:rPr>
        <w:fldChar w:fldCharType="begin"/>
      </w:r>
      <w:r w:rsidR="00F86D2B" w:rsidRPr="00D95E05">
        <w:rPr>
          <w:rFonts w:ascii="Times New Roman" w:hAnsi="Times New Roman" w:cs="Times New Roman"/>
          <w:color w:val="000000" w:themeColor="text1"/>
          <w:sz w:val="24"/>
          <w:lang w:val="en-US"/>
        </w:rPr>
        <w:instrText xml:space="preserve"> REF _Ref527374934 \h  \* MERGEFORMAT </w:instrText>
      </w:r>
      <w:r w:rsidR="00F86D2B" w:rsidRPr="00D95E05">
        <w:rPr>
          <w:rFonts w:ascii="Times New Roman" w:hAnsi="Times New Roman" w:cs="Times New Roman"/>
          <w:color w:val="000000" w:themeColor="text1"/>
          <w:sz w:val="24"/>
          <w:lang w:val="en-US"/>
        </w:rPr>
      </w:r>
      <w:r w:rsidR="00F86D2B" w:rsidRPr="00D95E05">
        <w:rPr>
          <w:rFonts w:ascii="Times New Roman" w:hAnsi="Times New Roman" w:cs="Times New Roman"/>
          <w:color w:val="000000" w:themeColor="text1"/>
          <w:sz w:val="24"/>
          <w:lang w:val="en-US"/>
        </w:rPr>
        <w:fldChar w:fldCharType="separate"/>
      </w:r>
      <w:r w:rsidR="00E60026" w:rsidRPr="00E60026">
        <w:rPr>
          <w:rFonts w:ascii="Times New Roman" w:hAnsi="Times New Roman" w:cs="Times New Roman"/>
          <w:color w:val="000000" w:themeColor="text1"/>
          <w:sz w:val="24"/>
          <w:lang w:val="en-US"/>
        </w:rPr>
        <w:t xml:space="preserve">Figure </w:t>
      </w:r>
      <w:r w:rsidR="00E60026" w:rsidRPr="00E60026">
        <w:rPr>
          <w:rFonts w:ascii="Times New Roman" w:hAnsi="Times New Roman" w:cs="Times New Roman"/>
          <w:noProof/>
          <w:color w:val="000000" w:themeColor="text1"/>
          <w:sz w:val="24"/>
          <w:lang w:val="en-US"/>
        </w:rPr>
        <w:t>4</w:t>
      </w:r>
      <w:r w:rsidR="00F86D2B" w:rsidRPr="00D95E05">
        <w:rPr>
          <w:rFonts w:ascii="Times New Roman" w:hAnsi="Times New Roman" w:cs="Times New Roman"/>
          <w:color w:val="000000" w:themeColor="text1"/>
          <w:sz w:val="24"/>
          <w:lang w:val="en-US"/>
        </w:rPr>
        <w:fldChar w:fldCharType="end"/>
      </w:r>
      <w:r w:rsidR="00F86D2B" w:rsidRPr="00D95E05">
        <w:rPr>
          <w:rFonts w:ascii="Times New Roman" w:hAnsi="Times New Roman" w:cs="Times New Roman"/>
          <w:color w:val="000000" w:themeColor="text1"/>
          <w:sz w:val="24"/>
          <w:lang w:val="en-US"/>
        </w:rPr>
        <w:t>(c)</w:t>
      </w:r>
      <w:r w:rsidR="00BD1E70" w:rsidRPr="00D95E05">
        <w:rPr>
          <w:rFonts w:ascii="Times New Roman" w:hAnsi="Times New Roman" w:cs="Times New Roman"/>
          <w:color w:val="000000" w:themeColor="text1"/>
          <w:sz w:val="24"/>
          <w:lang w:val="en-US"/>
        </w:rPr>
        <w:t xml:space="preserve"> shows a</w:t>
      </w:r>
      <w:r w:rsidR="00F86D2B" w:rsidRPr="00D95E05">
        <w:rPr>
          <w:rFonts w:ascii="Times New Roman" w:hAnsi="Times New Roman" w:cs="Times New Roman"/>
          <w:color w:val="000000" w:themeColor="text1"/>
          <w:sz w:val="24"/>
          <w:lang w:val="en-US"/>
        </w:rPr>
        <w:t>n</w:t>
      </w:r>
      <w:r w:rsidR="00BD1E70" w:rsidRPr="00D95E05">
        <w:rPr>
          <w:rFonts w:ascii="Times New Roman" w:hAnsi="Times New Roman" w:cs="Times New Roman"/>
          <w:color w:val="000000" w:themeColor="text1"/>
          <w:sz w:val="24"/>
          <w:lang w:val="en-US"/>
        </w:rPr>
        <w:t xml:space="preserve"> LG </w:t>
      </w:r>
      <w:proofErr w:type="spellStart"/>
      <w:r w:rsidR="00BD1E70" w:rsidRPr="00D95E05">
        <w:rPr>
          <w:rFonts w:ascii="Times New Roman" w:hAnsi="Times New Roman" w:cs="Times New Roman"/>
          <w:color w:val="000000" w:themeColor="text1"/>
          <w:sz w:val="24"/>
          <w:lang w:val="en-US"/>
        </w:rPr>
        <w:t>Chem</w:t>
      </w:r>
      <w:proofErr w:type="spellEnd"/>
      <w:r w:rsidR="00BD1E70" w:rsidRPr="00D95E05">
        <w:rPr>
          <w:rFonts w:ascii="Times New Roman" w:hAnsi="Times New Roman" w:cs="Times New Roman"/>
          <w:color w:val="000000" w:themeColor="text1"/>
          <w:sz w:val="24"/>
          <w:lang w:val="en-US"/>
        </w:rPr>
        <w:t xml:space="preserve"> pouch NMC LIB cell used in LG </w:t>
      </w:r>
      <w:proofErr w:type="spellStart"/>
      <w:r w:rsidR="00BD1E70" w:rsidRPr="00D95E05">
        <w:rPr>
          <w:rFonts w:ascii="Times New Roman" w:hAnsi="Times New Roman" w:cs="Times New Roman"/>
          <w:color w:val="000000" w:themeColor="text1"/>
          <w:sz w:val="24"/>
          <w:lang w:val="en-US"/>
        </w:rPr>
        <w:t>Chem’s</w:t>
      </w:r>
      <w:proofErr w:type="spellEnd"/>
      <w:r w:rsidR="00BD1E70" w:rsidRPr="00D95E05">
        <w:rPr>
          <w:rFonts w:ascii="Times New Roman" w:hAnsi="Times New Roman" w:cs="Times New Roman"/>
          <w:color w:val="000000" w:themeColor="text1"/>
          <w:sz w:val="24"/>
          <w:lang w:val="en-US"/>
        </w:rPr>
        <w:t xml:space="preserve"> grid-connected LIB Battery Energy Storage Systems.</w:t>
      </w:r>
      <w:r w:rsidR="00F86D2B" w:rsidRPr="00D95E05">
        <w:rPr>
          <w:rFonts w:ascii="Times New Roman" w:hAnsi="Times New Roman" w:cs="Times New Roman"/>
          <w:color w:val="000000" w:themeColor="text1"/>
          <w:sz w:val="24"/>
          <w:lang w:val="en-US"/>
        </w:rPr>
        <w:t xml:space="preserve"> Pouch LIB cells are also used in electric vehicles such as the Nissan Leaf </w:t>
      </w:r>
      <w:r w:rsidR="00F86D2B" w:rsidRPr="00D95E05">
        <w:rPr>
          <w:rFonts w:ascii="Times New Roman" w:hAnsi="Times New Roman" w:cs="Times New Roman"/>
          <w:color w:val="000000" w:themeColor="text1"/>
          <w:sz w:val="24"/>
          <w:lang w:val="en-US"/>
        </w:rPr>
        <w:fldChar w:fldCharType="begin" w:fldLock="1"/>
      </w:r>
      <w:r w:rsidR="004646E5">
        <w:rPr>
          <w:rFonts w:ascii="Times New Roman" w:hAnsi="Times New Roman" w:cs="Times New Roman"/>
          <w:color w:val="000000" w:themeColor="text1"/>
          <w:sz w:val="24"/>
          <w:lang w:val="en-US"/>
        </w:rPr>
        <w:instrText>ADDIN CSL_CITATION {"citationItems":[{"id":"ITEM-1","itemData":{"URL":"https://qnovo.com/inside-the-battery-of-a-nissan-leaf/","author":[{"dropping-particle":"","family":"Qnovo","given":"","non-dropping-particle":"","parse-names":false,"suffix":""}],"id":"ITEM-1","issue":"78","issued":{"date-parts":[["2018"]]},"page":"78-80","title":"INSIDE THE BATTERY OF A NISSAN LEAF","type":"webpage"},"uris":["http://www.mendeley.com/documents/?uuid=233f234c-f8c5-4edf-8dc2-368866e8446f"]}],"mendeley":{"formattedCitation":"[11]","plainTextFormattedCitation":"[11]","previouslyFormattedCitation":"[11]"},"properties":{"noteIndex":0},"schema":"https://github.com/citation-style-language/schema/raw/master/csl-citation.json"}</w:instrText>
      </w:r>
      <w:r w:rsidR="00F86D2B" w:rsidRPr="00D95E05">
        <w:rPr>
          <w:rFonts w:ascii="Times New Roman" w:hAnsi="Times New Roman" w:cs="Times New Roman"/>
          <w:color w:val="000000" w:themeColor="text1"/>
          <w:sz w:val="24"/>
          <w:lang w:val="en-US"/>
        </w:rPr>
        <w:fldChar w:fldCharType="separate"/>
      </w:r>
      <w:r w:rsidR="004646E5" w:rsidRPr="004646E5">
        <w:rPr>
          <w:rFonts w:ascii="Times New Roman" w:hAnsi="Times New Roman" w:cs="Times New Roman"/>
          <w:noProof/>
          <w:color w:val="000000" w:themeColor="text1"/>
          <w:sz w:val="24"/>
          <w:lang w:val="en-US"/>
        </w:rPr>
        <w:t>[11]</w:t>
      </w:r>
      <w:r w:rsidR="00F86D2B" w:rsidRPr="00D95E05">
        <w:rPr>
          <w:rFonts w:ascii="Times New Roman" w:hAnsi="Times New Roman" w:cs="Times New Roman"/>
          <w:color w:val="000000" w:themeColor="text1"/>
          <w:sz w:val="24"/>
          <w:lang w:val="en-US"/>
        </w:rPr>
        <w:fldChar w:fldCharType="end"/>
      </w:r>
      <w:r w:rsidR="00F86D2B" w:rsidRPr="00D95E05">
        <w:rPr>
          <w:rFonts w:ascii="Times New Roman" w:hAnsi="Times New Roman" w:cs="Times New Roman"/>
          <w:color w:val="000000" w:themeColor="text1"/>
          <w:sz w:val="24"/>
          <w:lang w:val="en-US"/>
        </w:rPr>
        <w:t>.</w:t>
      </w:r>
    </w:p>
    <w:p w14:paraId="45DC8894" w14:textId="77777777" w:rsidR="003D1E7C" w:rsidRPr="009A64AC" w:rsidRDefault="003D1E7C" w:rsidP="004A7C48">
      <w:pPr>
        <w:tabs>
          <w:tab w:val="left" w:pos="6946"/>
        </w:tabs>
        <w:spacing w:after="0"/>
        <w:rPr>
          <w:rFonts w:ascii="Times New Roman" w:hAnsi="Times New Roman" w:cs="Times New Roman"/>
          <w:lang w:val="en-US"/>
        </w:rPr>
      </w:pPr>
    </w:p>
    <w:p w14:paraId="12F3C4E9" w14:textId="77777777" w:rsidR="008649F0" w:rsidRPr="009A64AC" w:rsidRDefault="008649F0" w:rsidP="008649F0">
      <w:pPr>
        <w:keepNext/>
        <w:spacing w:line="276" w:lineRule="auto"/>
        <w:jc w:val="center"/>
        <w:rPr>
          <w:rFonts w:ascii="Times New Roman" w:hAnsi="Times New Roman" w:cs="Times New Roman"/>
        </w:rPr>
      </w:pPr>
      <w:r w:rsidRPr="009A64AC">
        <w:rPr>
          <w:rFonts w:ascii="Times New Roman" w:hAnsi="Times New Roman" w:cs="Times New Roman"/>
          <w:noProof/>
          <w:lang w:eastAsia="da-DK"/>
        </w:rPr>
        <w:drawing>
          <wp:inline distT="0" distB="0" distL="0" distR="0" wp14:anchorId="4F8F5C0D" wp14:editId="36E4B553">
            <wp:extent cx="5676900" cy="318173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76900" cy="3181733"/>
                    </a:xfrm>
                    <a:prstGeom prst="rect">
                      <a:avLst/>
                    </a:prstGeom>
                    <a:noFill/>
                    <a:ln>
                      <a:noFill/>
                    </a:ln>
                  </pic:spPr>
                </pic:pic>
              </a:graphicData>
            </a:graphic>
          </wp:inline>
        </w:drawing>
      </w:r>
    </w:p>
    <w:p w14:paraId="7903E0F5" w14:textId="22D2BDA9" w:rsidR="008649F0" w:rsidRDefault="008649F0" w:rsidP="00E709D7">
      <w:pPr>
        <w:pStyle w:val="Caption"/>
        <w:rPr>
          <w:rFonts w:ascii="Times New Roman" w:hAnsi="Times New Roman" w:cs="Times New Roman"/>
          <w:b w:val="0"/>
          <w:i/>
          <w:color w:val="44546A" w:themeColor="text2"/>
          <w:sz w:val="22"/>
          <w:szCs w:val="22"/>
        </w:rPr>
      </w:pPr>
      <w:bookmarkStart w:id="20" w:name="_Ref527374097"/>
      <w:proofErr w:type="gramStart"/>
      <w:r w:rsidRPr="00D95E05">
        <w:rPr>
          <w:rFonts w:ascii="Times New Roman" w:hAnsi="Times New Roman" w:cs="Times New Roman"/>
          <w:b w:val="0"/>
          <w:i/>
          <w:color w:val="44546A" w:themeColor="text2"/>
          <w:sz w:val="22"/>
          <w:szCs w:val="22"/>
        </w:rPr>
        <w:t xml:space="preserve">Figure </w:t>
      </w:r>
      <w:r w:rsidRPr="00D95E05">
        <w:rPr>
          <w:rFonts w:ascii="Times New Roman" w:hAnsi="Times New Roman" w:cs="Times New Roman"/>
          <w:b w:val="0"/>
          <w:i/>
          <w:color w:val="44546A" w:themeColor="text2"/>
          <w:sz w:val="22"/>
          <w:szCs w:val="22"/>
        </w:rPr>
        <w:fldChar w:fldCharType="begin"/>
      </w:r>
      <w:r w:rsidRPr="00D95E05">
        <w:rPr>
          <w:rFonts w:ascii="Times New Roman" w:hAnsi="Times New Roman" w:cs="Times New Roman"/>
          <w:b w:val="0"/>
          <w:i/>
          <w:color w:val="44546A" w:themeColor="text2"/>
          <w:sz w:val="22"/>
          <w:szCs w:val="22"/>
        </w:rPr>
        <w:instrText xml:space="preserve"> SEQ Figure \* ARABIC </w:instrText>
      </w:r>
      <w:r w:rsidRPr="00D95E05">
        <w:rPr>
          <w:rFonts w:ascii="Times New Roman" w:hAnsi="Times New Roman" w:cs="Times New Roman"/>
          <w:b w:val="0"/>
          <w:i/>
          <w:color w:val="44546A" w:themeColor="text2"/>
          <w:sz w:val="22"/>
          <w:szCs w:val="22"/>
        </w:rPr>
        <w:fldChar w:fldCharType="separate"/>
      </w:r>
      <w:r w:rsidR="00E60026">
        <w:rPr>
          <w:rFonts w:ascii="Times New Roman" w:hAnsi="Times New Roman" w:cs="Times New Roman"/>
          <w:b w:val="0"/>
          <w:i/>
          <w:noProof/>
          <w:color w:val="44546A" w:themeColor="text2"/>
          <w:sz w:val="22"/>
          <w:szCs w:val="22"/>
        </w:rPr>
        <w:t>3</w:t>
      </w:r>
      <w:r w:rsidRPr="00D95E05">
        <w:rPr>
          <w:rFonts w:ascii="Times New Roman" w:hAnsi="Times New Roman" w:cs="Times New Roman"/>
          <w:b w:val="0"/>
          <w:i/>
          <w:color w:val="44546A" w:themeColor="text2"/>
          <w:sz w:val="22"/>
          <w:szCs w:val="22"/>
        </w:rPr>
        <w:fldChar w:fldCharType="end"/>
      </w:r>
      <w:bookmarkEnd w:id="20"/>
      <w:r w:rsidRPr="00D95E05">
        <w:rPr>
          <w:rFonts w:ascii="Times New Roman" w:hAnsi="Times New Roman" w:cs="Times New Roman"/>
          <w:b w:val="0"/>
          <w:i/>
          <w:color w:val="44546A" w:themeColor="text2"/>
          <w:sz w:val="22"/>
          <w:szCs w:val="22"/>
        </w:rPr>
        <w:t>.</w:t>
      </w:r>
      <w:proofErr w:type="gramEnd"/>
      <w:r w:rsidRPr="00D95E05">
        <w:rPr>
          <w:rFonts w:ascii="Times New Roman" w:hAnsi="Times New Roman" w:cs="Times New Roman"/>
          <w:b w:val="0"/>
          <w:i/>
          <w:color w:val="44546A" w:themeColor="text2"/>
          <w:sz w:val="22"/>
          <w:szCs w:val="22"/>
        </w:rPr>
        <w:t xml:space="preserve"> Schematic drawing showing the shape</w:t>
      </w:r>
      <w:r w:rsidR="00F32361" w:rsidRPr="00D95E05">
        <w:rPr>
          <w:rFonts w:ascii="Times New Roman" w:hAnsi="Times New Roman" w:cs="Times New Roman"/>
          <w:b w:val="0"/>
          <w:i/>
          <w:color w:val="44546A" w:themeColor="text2"/>
          <w:sz w:val="22"/>
          <w:szCs w:val="22"/>
        </w:rPr>
        <w:t>, packaging and c</w:t>
      </w:r>
      <w:r w:rsidRPr="00D95E05">
        <w:rPr>
          <w:rFonts w:ascii="Times New Roman" w:hAnsi="Times New Roman" w:cs="Times New Roman"/>
          <w:b w:val="0"/>
          <w:i/>
          <w:color w:val="44546A" w:themeColor="text2"/>
          <w:sz w:val="22"/>
          <w:szCs w:val="22"/>
        </w:rPr>
        <w:t>omponents of various Li-ion battery configurations</w:t>
      </w:r>
      <w:r w:rsidR="00D95E05" w:rsidRPr="00D95E05">
        <w:rPr>
          <w:rFonts w:ascii="Times New Roman" w:hAnsi="Times New Roman" w:cs="Times New Roman"/>
          <w:b w:val="0"/>
          <w:i/>
          <w:color w:val="44546A" w:themeColor="text2"/>
          <w:sz w:val="22"/>
          <w:szCs w:val="22"/>
        </w:rPr>
        <w:t xml:space="preserve"> </w:t>
      </w:r>
      <w:r w:rsidR="00D95E05" w:rsidRPr="00D95E05">
        <w:rPr>
          <w:rFonts w:ascii="Times New Roman" w:hAnsi="Times New Roman" w:cs="Times New Roman"/>
          <w:b w:val="0"/>
          <w:i/>
          <w:color w:val="44546A" w:themeColor="text2"/>
          <w:sz w:val="22"/>
          <w:szCs w:val="22"/>
        </w:rPr>
        <w:fldChar w:fldCharType="begin" w:fldLock="1"/>
      </w:r>
      <w:r w:rsidR="004646E5">
        <w:rPr>
          <w:rFonts w:ascii="Times New Roman" w:hAnsi="Times New Roman" w:cs="Times New Roman"/>
          <w:b w:val="0"/>
          <w:i/>
          <w:color w:val="44546A" w:themeColor="text2"/>
          <w:sz w:val="22"/>
          <w:szCs w:val="22"/>
        </w:rPr>
        <w:instrText>ADDIN CSL_CITATION {"citationItems":[{"id":"ITEM-1","itemData":{"DOI":"10.1038/35104644","ISBN":"0028-0836","ISSN":"00280836","PMID":"11713543","abstract":"Technological improvements in rechargeable solid-state batteries are being driven by an ever-increasing demand for portable electronic devices. Lithium-ion batteries are the systems of choice, offering high energy density, flexible and lightweight design, and longer lifespan than comparable battery technologies. We present a brief historical review of the development of lithium-based rechargeable batteries, highlight ongoing research strategies, and discuss the challenges that remain regarding the synthesis, characterization, electrochemical performance and safety of these systems.","author":[{"dropping-particle":"","family":"Tarascon","given":"J. M.","non-dropping-particle":"","parse-names":false,"suffix":""},{"dropping-particle":"","family":"Armand","given":"M.","non-dropping-particle":"","parse-names":false,"suffix":""}],"container-title":"Nature","id":"ITEM-1","issue":"6861","issued":{"date-parts":[["2001"]]},"page":"359-367","title":"Issues and challenges facing rechargeable lithium batteries","type":"article-journal","volume":"414"},"uris":["http://www.mendeley.com/documents/?uuid=4dc643c3-98ca-4db0-93c4-f79da0d2278b"]}],"mendeley":{"formattedCitation":"[12]","plainTextFormattedCitation":"[12]","previouslyFormattedCitation":"[12]"},"properties":{"noteIndex":0},"schema":"https://github.com/citation-style-language/schema/raw/master/csl-citation.json"}</w:instrText>
      </w:r>
      <w:r w:rsidR="00D95E05" w:rsidRPr="00D95E05">
        <w:rPr>
          <w:rFonts w:ascii="Times New Roman" w:hAnsi="Times New Roman" w:cs="Times New Roman"/>
          <w:b w:val="0"/>
          <w:i/>
          <w:color w:val="44546A" w:themeColor="text2"/>
          <w:sz w:val="22"/>
          <w:szCs w:val="22"/>
        </w:rPr>
        <w:fldChar w:fldCharType="separate"/>
      </w:r>
      <w:r w:rsidR="004646E5" w:rsidRPr="004646E5">
        <w:rPr>
          <w:rFonts w:ascii="Times New Roman" w:hAnsi="Times New Roman" w:cs="Times New Roman"/>
          <w:b w:val="0"/>
          <w:noProof/>
          <w:color w:val="44546A" w:themeColor="text2"/>
          <w:sz w:val="22"/>
          <w:szCs w:val="22"/>
        </w:rPr>
        <w:t>[12]</w:t>
      </w:r>
      <w:r w:rsidR="00D95E05" w:rsidRPr="00D95E05">
        <w:rPr>
          <w:rFonts w:ascii="Times New Roman" w:hAnsi="Times New Roman" w:cs="Times New Roman"/>
          <w:b w:val="0"/>
          <w:i/>
          <w:color w:val="44546A" w:themeColor="text2"/>
          <w:sz w:val="22"/>
          <w:szCs w:val="22"/>
        </w:rPr>
        <w:fldChar w:fldCharType="end"/>
      </w:r>
      <w:r w:rsidRPr="00D95E05">
        <w:rPr>
          <w:rFonts w:ascii="Times New Roman" w:hAnsi="Times New Roman" w:cs="Times New Roman"/>
          <w:b w:val="0"/>
          <w:i/>
          <w:color w:val="44546A" w:themeColor="text2"/>
          <w:sz w:val="22"/>
          <w:szCs w:val="22"/>
        </w:rPr>
        <w:t xml:space="preserve">. </w:t>
      </w:r>
      <w:proofErr w:type="gramStart"/>
      <w:r w:rsidRPr="00D95E05">
        <w:rPr>
          <w:rFonts w:ascii="Times New Roman" w:hAnsi="Times New Roman" w:cs="Times New Roman"/>
          <w:b w:val="0"/>
          <w:i/>
          <w:color w:val="44546A" w:themeColor="text2"/>
          <w:sz w:val="22"/>
          <w:szCs w:val="22"/>
        </w:rPr>
        <w:t>(a) Cylindrical; (b) coi</w:t>
      </w:r>
      <w:r w:rsidR="00D95E05" w:rsidRPr="00D95E05">
        <w:rPr>
          <w:rFonts w:ascii="Times New Roman" w:hAnsi="Times New Roman" w:cs="Times New Roman"/>
          <w:b w:val="0"/>
          <w:i/>
          <w:color w:val="44546A" w:themeColor="text2"/>
          <w:sz w:val="22"/>
          <w:szCs w:val="22"/>
        </w:rPr>
        <w:t>n; (c) prismatic; and (d) pouch.</w:t>
      </w:r>
      <w:proofErr w:type="gramEnd"/>
      <w:r w:rsidR="00A015CC" w:rsidRPr="00D95E05">
        <w:rPr>
          <w:rFonts w:ascii="Times New Roman" w:hAnsi="Times New Roman" w:cs="Times New Roman"/>
          <w:b w:val="0"/>
          <w:i/>
          <w:color w:val="44546A" w:themeColor="text2"/>
          <w:sz w:val="22"/>
          <w:szCs w:val="22"/>
        </w:rPr>
        <w:t xml:space="preserve"> </w:t>
      </w:r>
    </w:p>
    <w:p w14:paraId="56FCD3E9" w14:textId="77777777" w:rsidR="00E709D7" w:rsidRPr="00E709D7" w:rsidRDefault="00E709D7" w:rsidP="00E709D7">
      <w:pPr>
        <w:rPr>
          <w:lang w:val="en-US"/>
        </w:rPr>
      </w:pPr>
    </w:p>
    <w:p w14:paraId="5812E9D5" w14:textId="77777777" w:rsidR="00D95E05" w:rsidRPr="009A64AC" w:rsidRDefault="00D95E05" w:rsidP="00D95E05">
      <w:pPr>
        <w:tabs>
          <w:tab w:val="left" w:pos="6946"/>
        </w:tabs>
        <w:rPr>
          <w:rFonts w:ascii="Times New Roman" w:hAnsi="Times New Roman" w:cs="Times New Roman"/>
          <w:i/>
          <w:color w:val="000000" w:themeColor="text1"/>
          <w:sz w:val="24"/>
          <w:lang w:val="en-US"/>
        </w:rPr>
      </w:pPr>
      <w:r w:rsidRPr="009A64AC">
        <w:rPr>
          <w:rFonts w:ascii="Times New Roman" w:hAnsi="Times New Roman" w:cs="Times New Roman"/>
          <w:i/>
          <w:noProof/>
          <w:color w:val="000000" w:themeColor="text1"/>
          <w:sz w:val="24"/>
          <w:lang w:eastAsia="da-DK"/>
        </w:rPr>
        <w:drawing>
          <wp:inline distT="0" distB="0" distL="0" distR="0" wp14:anchorId="1374B805" wp14:editId="7FC44AD7">
            <wp:extent cx="1752707" cy="1163435"/>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52707" cy="1163435"/>
                    </a:xfrm>
                    <a:prstGeom prst="rect">
                      <a:avLst/>
                    </a:prstGeom>
                  </pic:spPr>
                </pic:pic>
              </a:graphicData>
            </a:graphic>
          </wp:inline>
        </w:drawing>
      </w:r>
      <w:r w:rsidRPr="00FE5C6B">
        <w:rPr>
          <w:rFonts w:ascii="Times New Roman" w:hAnsi="Times New Roman" w:cs="Times New Roman"/>
          <w:noProof/>
          <w:lang w:val="en-US" w:eastAsia="da-DK"/>
        </w:rPr>
        <w:t xml:space="preserve"> </w:t>
      </w:r>
      <w:r w:rsidRPr="009A64AC">
        <w:rPr>
          <w:rFonts w:ascii="Times New Roman" w:hAnsi="Times New Roman" w:cs="Times New Roman"/>
          <w:noProof/>
          <w:lang w:eastAsia="da-DK"/>
        </w:rPr>
        <w:drawing>
          <wp:inline distT="0" distB="0" distL="0" distR="0" wp14:anchorId="28780EB2" wp14:editId="20D88E6B">
            <wp:extent cx="1765863" cy="13296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l="10128" r="54746" b="60323"/>
                    <a:stretch/>
                  </pic:blipFill>
                  <pic:spPr bwMode="auto">
                    <a:xfrm>
                      <a:off x="0" y="0"/>
                      <a:ext cx="1768716" cy="1331838"/>
                    </a:xfrm>
                    <a:prstGeom prst="rect">
                      <a:avLst/>
                    </a:prstGeom>
                    <a:noFill/>
                    <a:ln>
                      <a:noFill/>
                    </a:ln>
                    <a:extLst>
                      <a:ext uri="{53640926-AAD7-44D8-BBD7-CCE9431645EC}">
                        <a14:shadowObscured xmlns:a14="http://schemas.microsoft.com/office/drawing/2010/main"/>
                      </a:ext>
                    </a:extLst>
                  </pic:spPr>
                </pic:pic>
              </a:graphicData>
            </a:graphic>
          </wp:inline>
        </w:drawing>
      </w:r>
      <w:r w:rsidRPr="00FE5C6B">
        <w:rPr>
          <w:rFonts w:ascii="Times New Roman" w:hAnsi="Times New Roman" w:cs="Times New Roman"/>
          <w:noProof/>
          <w:lang w:val="en-US" w:eastAsia="da-DK"/>
        </w:rPr>
        <w:t xml:space="preserve"> </w:t>
      </w:r>
      <w:r w:rsidRPr="009A64AC">
        <w:rPr>
          <w:rFonts w:ascii="Times New Roman" w:hAnsi="Times New Roman" w:cs="Times New Roman"/>
          <w:noProof/>
          <w:lang w:eastAsia="da-DK"/>
        </w:rPr>
        <w:drawing>
          <wp:inline distT="0" distB="0" distL="0" distR="0" wp14:anchorId="2EDC6ADA" wp14:editId="58FBE7B7">
            <wp:extent cx="1756063" cy="1171228"/>
            <wp:effectExtent l="0" t="0" r="0" b="0"/>
            <wp:docPr id="8" name="Picture 8" descr="Image result for lg chem battery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lg chem battery modul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88215" cy="1192672"/>
                    </a:xfrm>
                    <a:prstGeom prst="rect">
                      <a:avLst/>
                    </a:prstGeom>
                    <a:noFill/>
                    <a:ln>
                      <a:noFill/>
                    </a:ln>
                  </pic:spPr>
                </pic:pic>
              </a:graphicData>
            </a:graphic>
          </wp:inline>
        </w:drawing>
      </w:r>
    </w:p>
    <w:p w14:paraId="20EB4EF4" w14:textId="7A30BEDB" w:rsidR="00034457" w:rsidRPr="00D95E05" w:rsidRDefault="00D95E05" w:rsidP="00D95E05">
      <w:pPr>
        <w:tabs>
          <w:tab w:val="left" w:pos="6946"/>
        </w:tabs>
        <w:spacing w:after="0"/>
        <w:rPr>
          <w:rFonts w:ascii="Times New Roman" w:hAnsi="Times New Roman" w:cs="Times New Roman"/>
          <w:i/>
          <w:color w:val="000000" w:themeColor="text1"/>
          <w:sz w:val="24"/>
          <w:lang w:val="en-US"/>
        </w:rPr>
      </w:pPr>
      <w:bookmarkStart w:id="21" w:name="_Ref527374934"/>
      <w:proofErr w:type="gramStart"/>
      <w:r w:rsidRPr="00D95E05">
        <w:rPr>
          <w:rFonts w:ascii="Times New Roman" w:hAnsi="Times New Roman" w:cs="Times New Roman"/>
          <w:i/>
          <w:color w:val="44546A" w:themeColor="text2"/>
          <w:lang w:val="en-US"/>
        </w:rPr>
        <w:t xml:space="preserve">Figure </w:t>
      </w:r>
      <w:r w:rsidRPr="00D95E05">
        <w:rPr>
          <w:rFonts w:ascii="Times New Roman" w:hAnsi="Times New Roman" w:cs="Times New Roman"/>
          <w:i/>
          <w:color w:val="44546A" w:themeColor="text2"/>
        </w:rPr>
        <w:fldChar w:fldCharType="begin"/>
      </w:r>
      <w:r w:rsidRPr="00D95E05">
        <w:rPr>
          <w:rFonts w:ascii="Times New Roman" w:hAnsi="Times New Roman" w:cs="Times New Roman"/>
          <w:i/>
          <w:color w:val="44546A" w:themeColor="text2"/>
          <w:lang w:val="en-US"/>
        </w:rPr>
        <w:instrText xml:space="preserve"> SEQ Figure \* ARABIC </w:instrText>
      </w:r>
      <w:r w:rsidRPr="00D95E05">
        <w:rPr>
          <w:rFonts w:ascii="Times New Roman" w:hAnsi="Times New Roman" w:cs="Times New Roman"/>
          <w:i/>
          <w:color w:val="44546A" w:themeColor="text2"/>
        </w:rPr>
        <w:fldChar w:fldCharType="separate"/>
      </w:r>
      <w:r w:rsidR="00E60026">
        <w:rPr>
          <w:rFonts w:ascii="Times New Roman" w:hAnsi="Times New Roman" w:cs="Times New Roman"/>
          <w:i/>
          <w:noProof/>
          <w:color w:val="44546A" w:themeColor="text2"/>
          <w:lang w:val="en-US"/>
        </w:rPr>
        <w:t>4</w:t>
      </w:r>
      <w:r w:rsidRPr="00D95E05">
        <w:rPr>
          <w:rFonts w:ascii="Times New Roman" w:hAnsi="Times New Roman" w:cs="Times New Roman"/>
          <w:i/>
          <w:color w:val="44546A" w:themeColor="text2"/>
        </w:rPr>
        <w:fldChar w:fldCharType="end"/>
      </w:r>
      <w:bookmarkEnd w:id="21"/>
      <w:r w:rsidRPr="00D95E05">
        <w:rPr>
          <w:rFonts w:ascii="Times New Roman" w:hAnsi="Times New Roman" w:cs="Times New Roman"/>
          <w:i/>
          <w:color w:val="44546A" w:themeColor="text2"/>
          <w:lang w:val="en-US"/>
        </w:rPr>
        <w:t>.</w:t>
      </w:r>
      <w:proofErr w:type="gramEnd"/>
      <w:r w:rsidRPr="00D95E05">
        <w:rPr>
          <w:rFonts w:ascii="Times New Roman" w:hAnsi="Times New Roman" w:cs="Times New Roman"/>
          <w:i/>
          <w:color w:val="44546A" w:themeColor="text2"/>
          <w:lang w:val="en-US"/>
        </w:rPr>
        <w:t xml:space="preserve"> </w:t>
      </w:r>
      <w:proofErr w:type="gramStart"/>
      <w:r w:rsidRPr="00D95E05">
        <w:rPr>
          <w:rFonts w:ascii="Times New Roman" w:hAnsi="Times New Roman" w:cs="Times New Roman"/>
          <w:i/>
          <w:color w:val="44546A" w:themeColor="text2"/>
          <w:lang w:val="en-US"/>
        </w:rPr>
        <w:t>Examples of LIB cells.</w:t>
      </w:r>
      <w:proofErr w:type="gramEnd"/>
      <w:r w:rsidRPr="00D95E05">
        <w:rPr>
          <w:rFonts w:ascii="Times New Roman" w:hAnsi="Times New Roman" w:cs="Times New Roman"/>
          <w:i/>
          <w:color w:val="44546A" w:themeColor="text2"/>
          <w:lang w:val="en-US"/>
        </w:rPr>
        <w:t xml:space="preserve"> (a) Tesla 21700 cylindrical NMC LIB cell </w:t>
      </w:r>
      <w:r w:rsidRPr="00D95E05">
        <w:rPr>
          <w:rFonts w:ascii="Times New Roman" w:hAnsi="Times New Roman" w:cs="Times New Roman"/>
          <w:i/>
          <w:color w:val="44546A" w:themeColor="text2"/>
        </w:rPr>
        <w:fldChar w:fldCharType="begin" w:fldLock="1"/>
      </w:r>
      <w:r w:rsidR="004646E5">
        <w:rPr>
          <w:rFonts w:ascii="Times New Roman" w:hAnsi="Times New Roman" w:cs="Times New Roman"/>
          <w:i/>
          <w:color w:val="44546A" w:themeColor="text2"/>
          <w:lang w:val="en-US"/>
        </w:rPr>
        <w:instrText>ADDIN CSL_CITATION {"citationItems":[{"id":"ITEM-1","itemData":{"URL":"https://www.shutterstock.com/search/tesla+2170+battery+cell","author":[{"dropping-particle":"","family":"Grigvovan","given":"","non-dropping-particle":"","parse-names":false,"suffix":""}],"id":"ITEM-1","issued":{"date-parts":[["2018"]]},"page":"1-2","title":"Tesla 2170 battery cell stock photos","type":"webpage","volume":"04"},"uris":["http://www.mendeley.com/documents/?uuid=685eb431-7d46-4681-b1d7-5069528941a9"]}],"mendeley":{"formattedCitation":"[13]","plainTextFormattedCitation":"[13]","previouslyFormattedCitation":"[13]"},"properties":{"noteIndex":0},"schema":"https://github.com/citation-style-language/schema/raw/master/csl-citation.json"}</w:instrText>
      </w:r>
      <w:r w:rsidRPr="00D95E05">
        <w:rPr>
          <w:rFonts w:ascii="Times New Roman" w:hAnsi="Times New Roman" w:cs="Times New Roman"/>
          <w:i/>
          <w:color w:val="44546A" w:themeColor="text2"/>
        </w:rPr>
        <w:fldChar w:fldCharType="separate"/>
      </w:r>
      <w:r w:rsidR="004646E5" w:rsidRPr="004646E5">
        <w:rPr>
          <w:rFonts w:ascii="Times New Roman" w:hAnsi="Times New Roman" w:cs="Times New Roman"/>
          <w:noProof/>
          <w:color w:val="44546A" w:themeColor="text2"/>
          <w:lang w:val="en-US"/>
        </w:rPr>
        <w:t>[13]</w:t>
      </w:r>
      <w:r w:rsidRPr="00D95E05">
        <w:rPr>
          <w:rFonts w:ascii="Times New Roman" w:hAnsi="Times New Roman" w:cs="Times New Roman"/>
          <w:i/>
          <w:color w:val="44546A" w:themeColor="text2"/>
        </w:rPr>
        <w:fldChar w:fldCharType="end"/>
      </w:r>
      <w:r w:rsidRPr="00D95E05">
        <w:rPr>
          <w:rFonts w:ascii="Times New Roman" w:hAnsi="Times New Roman" w:cs="Times New Roman"/>
          <w:i/>
          <w:color w:val="44546A" w:themeColor="text2"/>
          <w:lang w:val="en-US"/>
        </w:rPr>
        <w:t xml:space="preserve">. (b) Samsung SDI prismatic LIB </w:t>
      </w:r>
      <w:r w:rsidRPr="005E1059">
        <w:rPr>
          <w:rFonts w:ascii="Times New Roman" w:hAnsi="Times New Roman" w:cs="Times New Roman"/>
          <w:i/>
          <w:color w:val="44546A" w:themeColor="text2"/>
          <w:lang w:val="en-US"/>
        </w:rPr>
        <w:t xml:space="preserve">cells </w:t>
      </w:r>
      <w:r w:rsidRPr="005E1059">
        <w:rPr>
          <w:rFonts w:ascii="Times New Roman" w:hAnsi="Times New Roman" w:cs="Times New Roman"/>
          <w:i/>
          <w:color w:val="44546A" w:themeColor="text2"/>
          <w:lang w:val="en-US"/>
        </w:rPr>
        <w:fldChar w:fldCharType="begin" w:fldLock="1"/>
      </w:r>
      <w:r w:rsidR="004646E5">
        <w:rPr>
          <w:rFonts w:ascii="Times New Roman" w:hAnsi="Times New Roman" w:cs="Times New Roman"/>
          <w:i/>
          <w:color w:val="44546A" w:themeColor="text2"/>
          <w:lang w:val="en-US"/>
        </w:rPr>
        <w:instrText>ADDIN CSL_CITATION {"citationItems":[{"id":"ITEM-1","itemData":{"URL":"http://www.samsungsdi.com/upload/ess_brochure/Samsung SDI brochure_EN.pdf","author":[{"dropping-particle":"","family":"Samsung","given":"","non-dropping-particle":"","parse-names":false,"suffix":""}],"id":"ITEM-1","issued":{"date-parts":[["2016"]]},"title":"Smart Battery Systems for Energy Storage","type":"webpage"},"uris":["http://www.mendeley.com/documents/?uuid=aa5734ba-3c56-47bf-9618-c8840e938469"]}],"mendeley":{"formattedCitation":"[14]","plainTextFormattedCitation":"[14]","previouslyFormattedCitation":"[14]"},"properties":{"noteIndex":0},"schema":"https://github.com/citation-style-language/schema/raw/master/csl-citation.json"}</w:instrText>
      </w:r>
      <w:r w:rsidRPr="005E1059">
        <w:rPr>
          <w:rFonts w:ascii="Times New Roman" w:hAnsi="Times New Roman" w:cs="Times New Roman"/>
          <w:i/>
          <w:color w:val="44546A" w:themeColor="text2"/>
          <w:lang w:val="en-US"/>
        </w:rPr>
        <w:fldChar w:fldCharType="separate"/>
      </w:r>
      <w:r w:rsidR="004646E5" w:rsidRPr="004646E5">
        <w:rPr>
          <w:rFonts w:ascii="Times New Roman" w:hAnsi="Times New Roman" w:cs="Times New Roman"/>
          <w:noProof/>
          <w:color w:val="44546A" w:themeColor="text2"/>
          <w:lang w:val="en-US"/>
        </w:rPr>
        <w:t>[14]</w:t>
      </w:r>
      <w:r w:rsidRPr="005E1059">
        <w:rPr>
          <w:rFonts w:ascii="Times New Roman" w:hAnsi="Times New Roman" w:cs="Times New Roman"/>
          <w:i/>
          <w:color w:val="44546A" w:themeColor="text2"/>
          <w:lang w:val="en-US"/>
        </w:rPr>
        <w:fldChar w:fldCharType="end"/>
      </w:r>
      <w:r w:rsidRPr="005E1059">
        <w:rPr>
          <w:rFonts w:ascii="Times New Roman" w:hAnsi="Times New Roman" w:cs="Times New Roman"/>
          <w:i/>
          <w:color w:val="44546A" w:themeColor="text2"/>
          <w:lang w:val="en-US"/>
        </w:rPr>
        <w:t xml:space="preserve">. (c) LG </w:t>
      </w:r>
      <w:proofErr w:type="spellStart"/>
      <w:r w:rsidRPr="005E1059">
        <w:rPr>
          <w:rFonts w:ascii="Times New Roman" w:hAnsi="Times New Roman" w:cs="Times New Roman"/>
          <w:i/>
          <w:color w:val="44546A" w:themeColor="text2"/>
          <w:lang w:val="en-US"/>
        </w:rPr>
        <w:t>Chem</w:t>
      </w:r>
      <w:proofErr w:type="spellEnd"/>
      <w:r w:rsidRPr="005E1059">
        <w:rPr>
          <w:rFonts w:ascii="Times New Roman" w:hAnsi="Times New Roman" w:cs="Times New Roman"/>
          <w:i/>
          <w:color w:val="44546A" w:themeColor="text2"/>
          <w:lang w:val="en-US"/>
        </w:rPr>
        <w:t xml:space="preserve"> pouch NMC LIB cell </w:t>
      </w:r>
      <w:r w:rsidRPr="005E1059">
        <w:rPr>
          <w:rFonts w:ascii="Times New Roman" w:hAnsi="Times New Roman" w:cs="Times New Roman"/>
          <w:i/>
          <w:color w:val="44546A" w:themeColor="text2"/>
        </w:rPr>
        <w:fldChar w:fldCharType="begin" w:fldLock="1"/>
      </w:r>
      <w:r w:rsidR="004646E5">
        <w:rPr>
          <w:rFonts w:ascii="Times New Roman" w:hAnsi="Times New Roman" w:cs="Times New Roman"/>
          <w:i/>
          <w:color w:val="44546A" w:themeColor="text2"/>
          <w:lang w:val="en-US"/>
        </w:rPr>
        <w:instrText>ADDIN CSL_CITATION {"citationItems":[{"id":"ITEM-1","itemData":{"URL":"https://insideevs.com/wp-content/uploads/2015/12/ess_cell1.jpg","id":"ITEM-1","issued":{"date-parts":[["2018"]]},"title":"Inside EVs","type":"webpage"},"uris":["http://www.mendeley.com/documents/?uuid=730a5d60-916d-4cd6-a97c-831db99b3df5"]}],"mendeley":{"formattedCitation":"[15]","plainTextFormattedCitation":"[15]","previouslyFormattedCitation":"[15]"},"properties":{"noteIndex":0},"schema":"https://github.com/citation-style-language/schema/raw/master/csl-citation.json"}</w:instrText>
      </w:r>
      <w:r w:rsidRPr="005E1059">
        <w:rPr>
          <w:rFonts w:ascii="Times New Roman" w:hAnsi="Times New Roman" w:cs="Times New Roman"/>
          <w:i/>
          <w:color w:val="44546A" w:themeColor="text2"/>
        </w:rPr>
        <w:fldChar w:fldCharType="separate"/>
      </w:r>
      <w:r w:rsidR="004646E5" w:rsidRPr="004646E5">
        <w:rPr>
          <w:rFonts w:ascii="Times New Roman" w:hAnsi="Times New Roman" w:cs="Times New Roman"/>
          <w:noProof/>
          <w:color w:val="44546A" w:themeColor="text2"/>
          <w:lang w:val="en-US"/>
        </w:rPr>
        <w:t>[15]</w:t>
      </w:r>
      <w:r w:rsidRPr="005E1059">
        <w:rPr>
          <w:rFonts w:ascii="Times New Roman" w:hAnsi="Times New Roman" w:cs="Times New Roman"/>
          <w:i/>
          <w:color w:val="44546A" w:themeColor="text2"/>
        </w:rPr>
        <w:fldChar w:fldCharType="end"/>
      </w:r>
      <w:r w:rsidRPr="00D95E05">
        <w:rPr>
          <w:rFonts w:ascii="Times New Roman" w:hAnsi="Times New Roman" w:cs="Times New Roman"/>
          <w:i/>
          <w:color w:val="44546A" w:themeColor="text2"/>
          <w:lang w:val="en-US"/>
        </w:rPr>
        <w:t>.</w:t>
      </w:r>
    </w:p>
    <w:p w14:paraId="1DAAF41A" w14:textId="77777777" w:rsidR="00A015CC" w:rsidRPr="009A64AC" w:rsidRDefault="00A015CC" w:rsidP="004A7C48">
      <w:pPr>
        <w:tabs>
          <w:tab w:val="left" w:pos="6946"/>
        </w:tabs>
        <w:spacing w:after="0"/>
        <w:rPr>
          <w:rFonts w:ascii="Times New Roman" w:hAnsi="Times New Roman" w:cs="Times New Roman"/>
          <w:i/>
          <w:color w:val="000000" w:themeColor="text1"/>
          <w:sz w:val="24"/>
          <w:lang w:val="en-US"/>
        </w:rPr>
      </w:pPr>
    </w:p>
    <w:p w14:paraId="1E94D541" w14:textId="1AD9E9E2" w:rsidR="004A7C48" w:rsidRPr="009A64AC" w:rsidRDefault="006D762F" w:rsidP="004A7C48">
      <w:pPr>
        <w:tabs>
          <w:tab w:val="left" w:pos="6946"/>
        </w:tabs>
        <w:spacing w:after="0"/>
        <w:rPr>
          <w:rStyle w:val="Heading2Char"/>
          <w:rFonts w:ascii="Times New Roman" w:hAnsi="Times New Roman" w:cs="Times New Roman"/>
        </w:rPr>
      </w:pPr>
      <w:bookmarkStart w:id="22" w:name="_Toc528918100"/>
      <w:bookmarkStart w:id="23" w:name="_Toc529169826"/>
      <w:bookmarkStart w:id="24" w:name="_Toc529178825"/>
      <w:bookmarkStart w:id="25" w:name="_Toc529178940"/>
      <w:r>
        <w:rPr>
          <w:rStyle w:val="Heading2Char"/>
          <w:rFonts w:ascii="Times New Roman" w:hAnsi="Times New Roman" w:cs="Times New Roman"/>
        </w:rPr>
        <w:t>Components in a l</w:t>
      </w:r>
      <w:r w:rsidR="008649F0" w:rsidRPr="009A64AC">
        <w:rPr>
          <w:rStyle w:val="Heading2Char"/>
          <w:rFonts w:ascii="Times New Roman" w:hAnsi="Times New Roman" w:cs="Times New Roman"/>
        </w:rPr>
        <w:t>ithium-</w:t>
      </w:r>
      <w:r>
        <w:rPr>
          <w:rStyle w:val="Heading2Char"/>
          <w:rFonts w:ascii="Times New Roman" w:hAnsi="Times New Roman" w:cs="Times New Roman"/>
        </w:rPr>
        <w:t>i</w:t>
      </w:r>
      <w:r w:rsidR="008649F0" w:rsidRPr="009A64AC">
        <w:rPr>
          <w:rStyle w:val="Heading2Char"/>
          <w:rFonts w:ascii="Times New Roman" w:hAnsi="Times New Roman" w:cs="Times New Roman"/>
        </w:rPr>
        <w:t xml:space="preserve">on </w:t>
      </w:r>
      <w:r>
        <w:rPr>
          <w:rStyle w:val="Heading2Char"/>
          <w:rFonts w:ascii="Times New Roman" w:hAnsi="Times New Roman" w:cs="Times New Roman"/>
        </w:rPr>
        <w:t>b</w:t>
      </w:r>
      <w:r w:rsidR="008649F0" w:rsidRPr="009A64AC">
        <w:rPr>
          <w:rStyle w:val="Heading2Char"/>
          <w:rFonts w:ascii="Times New Roman" w:hAnsi="Times New Roman" w:cs="Times New Roman"/>
        </w:rPr>
        <w:t xml:space="preserve">attery </w:t>
      </w:r>
      <w:r>
        <w:rPr>
          <w:rStyle w:val="Heading2Char"/>
          <w:rFonts w:ascii="Times New Roman" w:hAnsi="Times New Roman" w:cs="Times New Roman"/>
        </w:rPr>
        <w:t>e</w:t>
      </w:r>
      <w:r w:rsidR="008649F0" w:rsidRPr="009A64AC">
        <w:rPr>
          <w:rStyle w:val="Heading2Char"/>
          <w:rFonts w:ascii="Times New Roman" w:hAnsi="Times New Roman" w:cs="Times New Roman"/>
        </w:rPr>
        <w:t xml:space="preserve">nergy </w:t>
      </w:r>
      <w:r>
        <w:rPr>
          <w:rStyle w:val="Heading2Char"/>
          <w:rFonts w:ascii="Times New Roman" w:hAnsi="Times New Roman" w:cs="Times New Roman"/>
        </w:rPr>
        <w:t>s</w:t>
      </w:r>
      <w:r w:rsidR="008649F0" w:rsidRPr="009A64AC">
        <w:rPr>
          <w:rStyle w:val="Heading2Char"/>
          <w:rFonts w:ascii="Times New Roman" w:hAnsi="Times New Roman" w:cs="Times New Roman"/>
        </w:rPr>
        <w:t xml:space="preserve">torage </w:t>
      </w:r>
      <w:r>
        <w:rPr>
          <w:rStyle w:val="Heading2Char"/>
          <w:rFonts w:ascii="Times New Roman" w:hAnsi="Times New Roman" w:cs="Times New Roman"/>
        </w:rPr>
        <w:t>s</w:t>
      </w:r>
      <w:r w:rsidR="008649F0" w:rsidRPr="009A64AC">
        <w:rPr>
          <w:rStyle w:val="Heading2Char"/>
          <w:rFonts w:ascii="Times New Roman" w:hAnsi="Times New Roman" w:cs="Times New Roman"/>
        </w:rPr>
        <w:t>ystem</w:t>
      </w:r>
      <w:bookmarkEnd w:id="22"/>
      <w:bookmarkEnd w:id="23"/>
      <w:bookmarkEnd w:id="24"/>
      <w:bookmarkEnd w:id="25"/>
      <w:r>
        <w:rPr>
          <w:rStyle w:val="Heading2Char"/>
          <w:rFonts w:ascii="Times New Roman" w:hAnsi="Times New Roman" w:cs="Times New Roman"/>
        </w:rPr>
        <w:t xml:space="preserve"> </w:t>
      </w:r>
    </w:p>
    <w:p w14:paraId="0DF33094" w14:textId="5EB687C2" w:rsidR="008632F5" w:rsidRPr="009D3608" w:rsidRDefault="008632F5" w:rsidP="004A7C48">
      <w:pPr>
        <w:tabs>
          <w:tab w:val="left" w:pos="6946"/>
        </w:tabs>
        <w:spacing w:after="0"/>
        <w:rPr>
          <w:rFonts w:ascii="Times New Roman" w:hAnsi="Times New Roman" w:cs="Times New Roman"/>
          <w:color w:val="000000" w:themeColor="text1"/>
          <w:sz w:val="24"/>
          <w:szCs w:val="24"/>
          <w:lang w:val="en-US"/>
        </w:rPr>
      </w:pPr>
      <w:r w:rsidRPr="009D3608">
        <w:rPr>
          <w:rFonts w:ascii="Times New Roman" w:hAnsi="Times New Roman" w:cs="Times New Roman"/>
          <w:i/>
          <w:color w:val="000000" w:themeColor="text1"/>
          <w:sz w:val="24"/>
          <w:szCs w:val="24"/>
          <w:lang w:val="en-US"/>
        </w:rPr>
        <w:fldChar w:fldCharType="begin"/>
      </w:r>
      <w:r w:rsidRPr="009D3608">
        <w:rPr>
          <w:rFonts w:ascii="Times New Roman" w:hAnsi="Times New Roman" w:cs="Times New Roman"/>
          <w:i/>
          <w:color w:val="000000" w:themeColor="text1"/>
          <w:sz w:val="24"/>
          <w:szCs w:val="24"/>
          <w:lang w:val="en-US"/>
        </w:rPr>
        <w:instrText xml:space="preserve"> REF _Ref527838174 \h </w:instrText>
      </w:r>
      <w:r w:rsidR="009A64AC" w:rsidRPr="009D3608">
        <w:rPr>
          <w:rFonts w:ascii="Times New Roman" w:hAnsi="Times New Roman" w:cs="Times New Roman"/>
          <w:i/>
          <w:color w:val="000000" w:themeColor="text1"/>
          <w:sz w:val="24"/>
          <w:szCs w:val="24"/>
          <w:lang w:val="en-US"/>
        </w:rPr>
        <w:instrText xml:space="preserve"> \* MERGEFORMAT </w:instrText>
      </w:r>
      <w:r w:rsidRPr="009D3608">
        <w:rPr>
          <w:rFonts w:ascii="Times New Roman" w:hAnsi="Times New Roman" w:cs="Times New Roman"/>
          <w:i/>
          <w:color w:val="000000" w:themeColor="text1"/>
          <w:sz w:val="24"/>
          <w:szCs w:val="24"/>
          <w:lang w:val="en-US"/>
        </w:rPr>
      </w:r>
      <w:r w:rsidRPr="009D3608">
        <w:rPr>
          <w:rFonts w:ascii="Times New Roman" w:hAnsi="Times New Roman" w:cs="Times New Roman"/>
          <w:i/>
          <w:color w:val="000000" w:themeColor="text1"/>
          <w:sz w:val="24"/>
          <w:szCs w:val="24"/>
          <w:lang w:val="en-US"/>
        </w:rPr>
        <w:fldChar w:fldCharType="separate"/>
      </w:r>
      <w:r w:rsidR="00E60026" w:rsidRPr="00E60026">
        <w:rPr>
          <w:rFonts w:ascii="Times New Roman" w:hAnsi="Times New Roman" w:cs="Times New Roman"/>
          <w:sz w:val="24"/>
          <w:szCs w:val="24"/>
          <w:lang w:val="en-US"/>
        </w:rPr>
        <w:t xml:space="preserve">Figure </w:t>
      </w:r>
      <w:r w:rsidR="00E60026" w:rsidRPr="00E60026">
        <w:rPr>
          <w:rFonts w:ascii="Times New Roman" w:hAnsi="Times New Roman" w:cs="Times New Roman"/>
          <w:noProof/>
          <w:sz w:val="24"/>
          <w:szCs w:val="24"/>
          <w:lang w:val="en-US"/>
        </w:rPr>
        <w:t>5</w:t>
      </w:r>
      <w:r w:rsidRPr="009D3608">
        <w:rPr>
          <w:rFonts w:ascii="Times New Roman" w:hAnsi="Times New Roman" w:cs="Times New Roman"/>
          <w:i/>
          <w:color w:val="000000" w:themeColor="text1"/>
          <w:sz w:val="24"/>
          <w:szCs w:val="24"/>
          <w:lang w:val="en-US"/>
        </w:rPr>
        <w:fldChar w:fldCharType="end"/>
      </w:r>
      <w:r w:rsidR="00ED2FDD" w:rsidRPr="009D3608">
        <w:rPr>
          <w:rFonts w:ascii="Times New Roman" w:hAnsi="Times New Roman" w:cs="Times New Roman"/>
          <w:i/>
          <w:color w:val="000000" w:themeColor="text1"/>
          <w:sz w:val="24"/>
          <w:szCs w:val="24"/>
          <w:lang w:val="en-US"/>
        </w:rPr>
        <w:t xml:space="preserve"> </w:t>
      </w:r>
      <w:r w:rsidR="006D762F" w:rsidRPr="009D3608">
        <w:rPr>
          <w:rFonts w:ascii="Times New Roman" w:hAnsi="Times New Roman" w:cs="Times New Roman"/>
          <w:color w:val="000000" w:themeColor="text1"/>
          <w:sz w:val="24"/>
          <w:szCs w:val="24"/>
          <w:lang w:val="en-US"/>
        </w:rPr>
        <w:t>provides</w:t>
      </w:r>
      <w:r w:rsidRPr="009D3608">
        <w:rPr>
          <w:rFonts w:ascii="Times New Roman" w:hAnsi="Times New Roman" w:cs="Times New Roman"/>
          <w:color w:val="000000" w:themeColor="text1"/>
          <w:sz w:val="24"/>
          <w:szCs w:val="24"/>
          <w:lang w:val="en-US"/>
        </w:rPr>
        <w:t xml:space="preserve"> a</w:t>
      </w:r>
      <w:r w:rsidR="00ED2FDD" w:rsidRPr="009D3608">
        <w:rPr>
          <w:rFonts w:ascii="Times New Roman" w:hAnsi="Times New Roman" w:cs="Times New Roman"/>
          <w:color w:val="000000" w:themeColor="text1"/>
          <w:sz w:val="24"/>
          <w:szCs w:val="24"/>
          <w:lang w:val="en-US"/>
        </w:rPr>
        <w:t>n</w:t>
      </w:r>
      <w:r w:rsidRPr="009D3608">
        <w:rPr>
          <w:rFonts w:ascii="Times New Roman" w:hAnsi="Times New Roman" w:cs="Times New Roman"/>
          <w:color w:val="000000" w:themeColor="text1"/>
          <w:sz w:val="24"/>
          <w:szCs w:val="24"/>
          <w:lang w:val="en-US"/>
        </w:rPr>
        <w:t xml:space="preserve"> o</w:t>
      </w:r>
      <w:r w:rsidRPr="009A64AC">
        <w:rPr>
          <w:rFonts w:ascii="Times New Roman" w:hAnsi="Times New Roman" w:cs="Times New Roman"/>
          <w:color w:val="000000" w:themeColor="text1"/>
          <w:sz w:val="24"/>
          <w:lang w:val="en-US"/>
        </w:rPr>
        <w:t xml:space="preserve">verview of </w:t>
      </w:r>
      <w:r w:rsidR="006D762F">
        <w:rPr>
          <w:rFonts w:ascii="Times New Roman" w:hAnsi="Times New Roman" w:cs="Times New Roman"/>
          <w:color w:val="000000" w:themeColor="text1"/>
          <w:sz w:val="24"/>
          <w:lang w:val="en-US"/>
        </w:rPr>
        <w:t xml:space="preserve">the components in </w:t>
      </w:r>
      <w:r w:rsidRPr="009A64AC">
        <w:rPr>
          <w:rFonts w:ascii="Times New Roman" w:hAnsi="Times New Roman" w:cs="Times New Roman"/>
          <w:color w:val="000000" w:themeColor="text1"/>
          <w:sz w:val="24"/>
          <w:lang w:val="en-US"/>
        </w:rPr>
        <w:t xml:space="preserve">a LIB storage system with interface to the </w:t>
      </w:r>
      <w:r w:rsidR="006D762F">
        <w:rPr>
          <w:rFonts w:ascii="Times New Roman" w:hAnsi="Times New Roman" w:cs="Times New Roman"/>
          <w:color w:val="000000" w:themeColor="text1"/>
          <w:sz w:val="24"/>
          <w:lang w:val="en-US"/>
        </w:rPr>
        <w:t xml:space="preserve">power </w:t>
      </w:r>
      <w:r w:rsidRPr="009A64AC">
        <w:rPr>
          <w:rFonts w:ascii="Times New Roman" w:hAnsi="Times New Roman" w:cs="Times New Roman"/>
          <w:color w:val="000000" w:themeColor="text1"/>
          <w:sz w:val="24"/>
          <w:lang w:val="en-US"/>
        </w:rPr>
        <w:t xml:space="preserve">grid. </w:t>
      </w:r>
      <w:r w:rsidR="006D762F">
        <w:rPr>
          <w:rFonts w:ascii="Times New Roman" w:hAnsi="Times New Roman" w:cs="Times New Roman"/>
          <w:color w:val="000000" w:themeColor="text1"/>
          <w:sz w:val="24"/>
          <w:lang w:val="en-US"/>
        </w:rPr>
        <w:t xml:space="preserve">In </w:t>
      </w:r>
      <w:r w:rsidRPr="009A64AC">
        <w:rPr>
          <w:rFonts w:ascii="Times New Roman" w:hAnsi="Times New Roman" w:cs="Times New Roman"/>
          <w:color w:val="000000" w:themeColor="text1"/>
          <w:sz w:val="24"/>
          <w:lang w:val="en-US"/>
        </w:rPr>
        <w:t>LIB storage system</w:t>
      </w:r>
      <w:r w:rsidR="006D762F">
        <w:rPr>
          <w:rFonts w:ascii="Times New Roman" w:hAnsi="Times New Roman" w:cs="Times New Roman"/>
          <w:color w:val="000000" w:themeColor="text1"/>
          <w:sz w:val="24"/>
          <w:lang w:val="en-US"/>
        </w:rPr>
        <w:t>s</w:t>
      </w:r>
      <w:r w:rsidRPr="009A64AC">
        <w:rPr>
          <w:rFonts w:ascii="Times New Roman" w:hAnsi="Times New Roman" w:cs="Times New Roman"/>
          <w:color w:val="000000" w:themeColor="text1"/>
          <w:sz w:val="24"/>
          <w:lang w:val="en-US"/>
        </w:rPr>
        <w:t xml:space="preserve"> </w:t>
      </w:r>
      <w:r w:rsidR="006D762F">
        <w:rPr>
          <w:rFonts w:ascii="Times New Roman" w:hAnsi="Times New Roman" w:cs="Times New Roman"/>
          <w:color w:val="000000" w:themeColor="text1"/>
          <w:sz w:val="24"/>
          <w:lang w:val="en-US"/>
        </w:rPr>
        <w:t>b</w:t>
      </w:r>
      <w:r w:rsidRPr="009A64AC">
        <w:rPr>
          <w:rFonts w:ascii="Times New Roman" w:hAnsi="Times New Roman" w:cs="Times New Roman"/>
          <w:color w:val="000000" w:themeColor="text1"/>
          <w:sz w:val="24"/>
          <w:lang w:val="en-US"/>
        </w:rPr>
        <w:t xml:space="preserve">attery cells are assembled into modules that are assembled into packs. The battery packs </w:t>
      </w:r>
      <w:r w:rsidR="004170D2" w:rsidRPr="009A64AC">
        <w:rPr>
          <w:rFonts w:ascii="Times New Roman" w:hAnsi="Times New Roman" w:cs="Times New Roman"/>
          <w:color w:val="000000" w:themeColor="text1"/>
          <w:sz w:val="24"/>
          <w:lang w:val="en-US"/>
        </w:rPr>
        <w:t>include</w:t>
      </w:r>
      <w:r w:rsidRPr="009A64AC">
        <w:rPr>
          <w:rFonts w:ascii="Times New Roman" w:hAnsi="Times New Roman" w:cs="Times New Roman"/>
          <w:color w:val="000000" w:themeColor="text1"/>
          <w:sz w:val="24"/>
          <w:lang w:val="en-US"/>
        </w:rPr>
        <w:t xml:space="preserve"> a Battery Management System (BMS)</w:t>
      </w:r>
      <w:r w:rsidR="004170D2" w:rsidRPr="009A64AC">
        <w:rPr>
          <w:rFonts w:ascii="Times New Roman" w:hAnsi="Times New Roman" w:cs="Times New Roman"/>
          <w:color w:val="000000" w:themeColor="text1"/>
          <w:sz w:val="24"/>
          <w:lang w:val="en-US"/>
        </w:rPr>
        <w:t xml:space="preserve">. The BMS is an electronic system that </w:t>
      </w:r>
      <w:r w:rsidR="00C701BF">
        <w:rPr>
          <w:rFonts w:ascii="Times New Roman" w:hAnsi="Times New Roman" w:cs="Times New Roman"/>
          <w:color w:val="000000" w:themeColor="text1"/>
          <w:sz w:val="24"/>
          <w:lang w:val="en-US"/>
        </w:rPr>
        <w:t>protects</w:t>
      </w:r>
      <w:r w:rsidR="004170D2" w:rsidRPr="009A64AC">
        <w:rPr>
          <w:rFonts w:ascii="Times New Roman" w:hAnsi="Times New Roman" w:cs="Times New Roman"/>
          <w:color w:val="000000" w:themeColor="text1"/>
          <w:sz w:val="24"/>
          <w:lang w:val="en-US"/>
        </w:rPr>
        <w:t xml:space="preserve"> the </w:t>
      </w:r>
      <w:r w:rsidR="00C701BF">
        <w:rPr>
          <w:rFonts w:ascii="Times New Roman" w:hAnsi="Times New Roman" w:cs="Times New Roman"/>
          <w:color w:val="000000" w:themeColor="text1"/>
          <w:sz w:val="24"/>
          <w:lang w:val="en-US"/>
        </w:rPr>
        <w:t xml:space="preserve">cells </w:t>
      </w:r>
      <w:r w:rsidR="004170D2" w:rsidRPr="009A64AC">
        <w:rPr>
          <w:rFonts w:ascii="Times New Roman" w:hAnsi="Times New Roman" w:cs="Times New Roman"/>
          <w:color w:val="000000" w:themeColor="text1"/>
          <w:sz w:val="24"/>
          <w:lang w:val="en-US"/>
        </w:rPr>
        <w:t xml:space="preserve">from operating outside the safe operating area. </w:t>
      </w:r>
      <w:r w:rsidR="001C351B">
        <w:rPr>
          <w:rFonts w:ascii="Times New Roman" w:hAnsi="Times New Roman" w:cs="Times New Roman"/>
          <w:color w:val="000000" w:themeColor="text1"/>
          <w:sz w:val="24"/>
          <w:lang w:val="en-US"/>
        </w:rPr>
        <w:t>A</w:t>
      </w:r>
      <w:r w:rsidR="004170D2" w:rsidRPr="009A64AC">
        <w:rPr>
          <w:rFonts w:ascii="Times New Roman" w:hAnsi="Times New Roman" w:cs="Times New Roman"/>
          <w:color w:val="000000" w:themeColor="text1"/>
          <w:sz w:val="24"/>
          <w:lang w:val="en-US"/>
        </w:rPr>
        <w:t xml:space="preserve"> Thermal Management System (TMS) regulates the temperature for the battery and storage system</w:t>
      </w:r>
      <w:r w:rsidR="001C351B">
        <w:rPr>
          <w:rFonts w:ascii="Times New Roman" w:hAnsi="Times New Roman" w:cs="Times New Roman"/>
          <w:color w:val="000000" w:themeColor="text1"/>
          <w:sz w:val="24"/>
          <w:lang w:val="en-US"/>
        </w:rPr>
        <w:t>.</w:t>
      </w:r>
      <w:r w:rsidR="003E1D16">
        <w:rPr>
          <w:rFonts w:ascii="Times New Roman" w:hAnsi="Times New Roman" w:cs="Times New Roman"/>
          <w:color w:val="000000" w:themeColor="text1"/>
          <w:sz w:val="24"/>
          <w:lang w:val="en-US"/>
        </w:rPr>
        <w:t xml:space="preserve"> The TMS depends on the environmental conditions, e.g. whether the system </w:t>
      </w:r>
      <w:r w:rsidR="003E1D16">
        <w:rPr>
          <w:rFonts w:ascii="Times New Roman" w:hAnsi="Times New Roman" w:cs="Times New Roman"/>
          <w:color w:val="000000" w:themeColor="text1"/>
          <w:sz w:val="24"/>
          <w:lang w:val="en-US"/>
        </w:rPr>
        <w:lastRenderedPageBreak/>
        <w:t>is placed indoor or outdoor.</w:t>
      </w:r>
      <w:r w:rsidR="001C351B">
        <w:rPr>
          <w:rFonts w:ascii="Times New Roman" w:hAnsi="Times New Roman" w:cs="Times New Roman"/>
          <w:color w:val="000000" w:themeColor="text1"/>
          <w:sz w:val="24"/>
          <w:lang w:val="en-US"/>
        </w:rPr>
        <w:t xml:space="preserve"> Further an </w:t>
      </w:r>
      <w:r w:rsidR="000616C4" w:rsidRPr="009A64AC">
        <w:rPr>
          <w:rFonts w:ascii="Times New Roman" w:hAnsi="Times New Roman" w:cs="Times New Roman"/>
          <w:color w:val="000000" w:themeColor="text1"/>
          <w:sz w:val="24"/>
          <w:lang w:val="en-US"/>
        </w:rPr>
        <w:t>Energy Management System (EMS) controls the charge/discharge</w:t>
      </w:r>
      <w:r w:rsidR="002A362D" w:rsidRPr="009A64AC">
        <w:rPr>
          <w:rFonts w:ascii="Times New Roman" w:hAnsi="Times New Roman" w:cs="Times New Roman"/>
          <w:color w:val="000000" w:themeColor="text1"/>
          <w:sz w:val="24"/>
          <w:lang w:val="en-US"/>
        </w:rPr>
        <w:t xml:space="preserve"> of the grid-connected LIB storage from a system perspective. Depending on the </w:t>
      </w:r>
      <w:r w:rsidR="00ED2FDD" w:rsidRPr="009A64AC">
        <w:rPr>
          <w:rFonts w:ascii="Times New Roman" w:hAnsi="Times New Roman" w:cs="Times New Roman"/>
          <w:color w:val="000000" w:themeColor="text1"/>
          <w:sz w:val="24"/>
          <w:lang w:val="en-US"/>
        </w:rPr>
        <w:t xml:space="preserve">application and power configuration the power conversion system may consist of one or multiple power converter units (DC/AC link). For system coupling a transformer may be needed for integration with higher </w:t>
      </w:r>
      <w:r w:rsidR="001C351B">
        <w:rPr>
          <w:rFonts w:ascii="Times New Roman" w:hAnsi="Times New Roman" w:cs="Times New Roman"/>
          <w:color w:val="000000" w:themeColor="text1"/>
          <w:sz w:val="24"/>
          <w:lang w:val="en-US"/>
        </w:rPr>
        <w:t xml:space="preserve">grid voltage </w:t>
      </w:r>
      <w:r w:rsidR="00ED2FDD" w:rsidRPr="009A64AC">
        <w:rPr>
          <w:rFonts w:ascii="Times New Roman" w:hAnsi="Times New Roman" w:cs="Times New Roman"/>
          <w:color w:val="000000" w:themeColor="text1"/>
          <w:sz w:val="24"/>
          <w:lang w:val="en-US"/>
        </w:rPr>
        <w:t xml:space="preserve">levels. The grid integration </w:t>
      </w:r>
      <w:r w:rsidR="001C351B">
        <w:rPr>
          <w:rFonts w:ascii="Times New Roman" w:hAnsi="Times New Roman" w:cs="Times New Roman"/>
          <w:color w:val="000000" w:themeColor="text1"/>
          <w:sz w:val="24"/>
          <w:lang w:val="en-US"/>
        </w:rPr>
        <w:t xml:space="preserve">provides services to the grid such as increased reliability, load shifting, frequency regulation etc. </w:t>
      </w:r>
      <w:r w:rsidR="00B47DA1">
        <w:rPr>
          <w:rFonts w:ascii="Times New Roman" w:hAnsi="Times New Roman" w:cs="Times New Roman"/>
          <w:color w:val="000000" w:themeColor="text1"/>
          <w:sz w:val="24"/>
          <w:lang w:val="en-US"/>
        </w:rPr>
        <w:t>The services are described further below in the section “</w:t>
      </w:r>
      <w:r w:rsidR="00B47DA1" w:rsidRPr="00B47DA1">
        <w:rPr>
          <w:rFonts w:ascii="Times New Roman" w:hAnsi="Times New Roman" w:cs="Times New Roman"/>
          <w:color w:val="000000" w:themeColor="text1"/>
          <w:sz w:val="24"/>
          <w:lang w:val="en-US"/>
        </w:rPr>
        <w:t>Regulation ab</w:t>
      </w:r>
      <w:r w:rsidR="00B47DA1">
        <w:rPr>
          <w:rFonts w:ascii="Times New Roman" w:hAnsi="Times New Roman" w:cs="Times New Roman"/>
          <w:color w:val="000000" w:themeColor="text1"/>
          <w:sz w:val="24"/>
          <w:lang w:val="en-US"/>
        </w:rPr>
        <w:t xml:space="preserve">ility and other system services”. </w:t>
      </w:r>
      <w:r w:rsidR="0037567B">
        <w:rPr>
          <w:rFonts w:ascii="Times New Roman" w:hAnsi="Times New Roman" w:cs="Times New Roman"/>
          <w:color w:val="000000" w:themeColor="text1"/>
          <w:sz w:val="24"/>
          <w:lang w:val="en-US"/>
        </w:rPr>
        <w:t>V</w:t>
      </w:r>
      <w:r w:rsidR="0037567B" w:rsidRPr="009A64AC">
        <w:rPr>
          <w:rFonts w:ascii="Times New Roman" w:hAnsi="Times New Roman" w:cs="Times New Roman"/>
          <w:color w:val="000000" w:themeColor="text1"/>
          <w:sz w:val="24"/>
          <w:lang w:val="en-US"/>
        </w:rPr>
        <w:t>alue generation</w:t>
      </w:r>
      <w:r w:rsidR="0037567B">
        <w:rPr>
          <w:rFonts w:ascii="Times New Roman" w:hAnsi="Times New Roman" w:cs="Times New Roman"/>
          <w:color w:val="000000" w:themeColor="text1"/>
          <w:sz w:val="24"/>
          <w:lang w:val="en-US"/>
        </w:rPr>
        <w:t xml:space="preserve"> and profit is created by s</w:t>
      </w:r>
      <w:r w:rsidR="001C351B">
        <w:rPr>
          <w:rFonts w:ascii="Times New Roman" w:hAnsi="Times New Roman" w:cs="Times New Roman"/>
          <w:color w:val="000000" w:themeColor="text1"/>
          <w:sz w:val="24"/>
          <w:lang w:val="en-US"/>
        </w:rPr>
        <w:t xml:space="preserve">elling the services to grid </w:t>
      </w:r>
      <w:r w:rsidR="001C351B" w:rsidRPr="001C351B">
        <w:rPr>
          <w:rFonts w:ascii="Times New Roman" w:hAnsi="Times New Roman" w:cs="Times New Roman"/>
          <w:color w:val="000000" w:themeColor="text1"/>
          <w:sz w:val="24"/>
          <w:lang w:val="en-US"/>
        </w:rPr>
        <w:t xml:space="preserve">Transmission </w:t>
      </w:r>
      <w:r w:rsidR="001C351B">
        <w:rPr>
          <w:rFonts w:ascii="Times New Roman" w:hAnsi="Times New Roman" w:cs="Times New Roman"/>
          <w:color w:val="000000" w:themeColor="text1"/>
          <w:sz w:val="24"/>
          <w:lang w:val="en-US"/>
        </w:rPr>
        <w:t>S</w:t>
      </w:r>
      <w:r w:rsidR="001C351B" w:rsidRPr="001C351B">
        <w:rPr>
          <w:rFonts w:ascii="Times New Roman" w:hAnsi="Times New Roman" w:cs="Times New Roman"/>
          <w:color w:val="000000" w:themeColor="text1"/>
          <w:sz w:val="24"/>
          <w:lang w:val="en-US"/>
        </w:rPr>
        <w:t xml:space="preserve">ystem </w:t>
      </w:r>
      <w:r w:rsidR="001C351B">
        <w:rPr>
          <w:rFonts w:ascii="Times New Roman" w:hAnsi="Times New Roman" w:cs="Times New Roman"/>
          <w:color w:val="000000" w:themeColor="text1"/>
          <w:sz w:val="24"/>
          <w:lang w:val="en-US"/>
        </w:rPr>
        <w:t>O</w:t>
      </w:r>
      <w:r w:rsidR="001C351B" w:rsidRPr="001C351B">
        <w:rPr>
          <w:rFonts w:ascii="Times New Roman" w:hAnsi="Times New Roman" w:cs="Times New Roman"/>
          <w:color w:val="000000" w:themeColor="text1"/>
          <w:sz w:val="24"/>
          <w:lang w:val="en-US"/>
        </w:rPr>
        <w:t>perator</w:t>
      </w:r>
      <w:r w:rsidR="0037567B">
        <w:rPr>
          <w:rFonts w:ascii="Times New Roman" w:hAnsi="Times New Roman" w:cs="Times New Roman"/>
          <w:color w:val="000000" w:themeColor="text1"/>
          <w:sz w:val="24"/>
          <w:lang w:val="en-US"/>
        </w:rPr>
        <w:t>s</w:t>
      </w:r>
      <w:r w:rsidR="001C351B" w:rsidRPr="001C351B">
        <w:rPr>
          <w:rFonts w:ascii="Times New Roman" w:hAnsi="Times New Roman" w:cs="Times New Roman"/>
          <w:color w:val="000000" w:themeColor="text1"/>
          <w:sz w:val="24"/>
          <w:lang w:val="en-US"/>
        </w:rPr>
        <w:t xml:space="preserve"> </w:t>
      </w:r>
      <w:r w:rsidR="001C351B">
        <w:rPr>
          <w:rFonts w:ascii="Times New Roman" w:hAnsi="Times New Roman" w:cs="Times New Roman"/>
          <w:color w:val="000000" w:themeColor="text1"/>
          <w:sz w:val="24"/>
          <w:lang w:val="en-US"/>
        </w:rPr>
        <w:t>(TSO</w:t>
      </w:r>
      <w:r w:rsidR="0037567B">
        <w:rPr>
          <w:rFonts w:ascii="Times New Roman" w:hAnsi="Times New Roman" w:cs="Times New Roman"/>
          <w:color w:val="000000" w:themeColor="text1"/>
          <w:sz w:val="24"/>
          <w:lang w:val="en-US"/>
        </w:rPr>
        <w:t>s</w:t>
      </w:r>
      <w:r w:rsidR="001C351B">
        <w:rPr>
          <w:rFonts w:ascii="Times New Roman" w:hAnsi="Times New Roman" w:cs="Times New Roman"/>
          <w:color w:val="000000" w:themeColor="text1"/>
          <w:sz w:val="24"/>
          <w:lang w:val="en-US"/>
        </w:rPr>
        <w:t>)</w:t>
      </w:r>
      <w:r w:rsidR="00591F73" w:rsidRPr="009A64AC">
        <w:rPr>
          <w:rFonts w:ascii="Times New Roman" w:hAnsi="Times New Roman" w:cs="Times New Roman"/>
          <w:color w:val="000000" w:themeColor="text1"/>
          <w:sz w:val="24"/>
          <w:lang w:val="en-US"/>
        </w:rPr>
        <w:t xml:space="preserve">. Appropriate sizing of </w:t>
      </w:r>
      <w:r w:rsidR="009D3608">
        <w:rPr>
          <w:rFonts w:ascii="Times New Roman" w:hAnsi="Times New Roman" w:cs="Times New Roman"/>
          <w:color w:val="000000" w:themeColor="text1"/>
          <w:sz w:val="24"/>
          <w:lang w:val="en-US"/>
        </w:rPr>
        <w:t xml:space="preserve">the </w:t>
      </w:r>
      <w:r w:rsidR="00591F73" w:rsidRPr="009A64AC">
        <w:rPr>
          <w:rFonts w:ascii="Times New Roman" w:hAnsi="Times New Roman" w:cs="Times New Roman"/>
          <w:color w:val="000000" w:themeColor="text1"/>
          <w:sz w:val="24"/>
          <w:lang w:val="en-US"/>
        </w:rPr>
        <w:t>battery and power conversion system</w:t>
      </w:r>
      <w:r w:rsidR="009D3608">
        <w:rPr>
          <w:rFonts w:ascii="Times New Roman" w:hAnsi="Times New Roman" w:cs="Times New Roman"/>
          <w:color w:val="000000" w:themeColor="text1"/>
          <w:sz w:val="24"/>
          <w:lang w:val="en-US"/>
        </w:rPr>
        <w:t>s</w:t>
      </w:r>
      <w:r w:rsidR="00591F73" w:rsidRPr="009A64AC">
        <w:rPr>
          <w:rFonts w:ascii="Times New Roman" w:hAnsi="Times New Roman" w:cs="Times New Roman"/>
          <w:color w:val="000000" w:themeColor="text1"/>
          <w:sz w:val="24"/>
          <w:lang w:val="en-US"/>
        </w:rPr>
        <w:t xml:space="preserve"> is </w:t>
      </w:r>
      <w:r w:rsidR="009D3608">
        <w:rPr>
          <w:rFonts w:ascii="Times New Roman" w:hAnsi="Times New Roman" w:cs="Times New Roman"/>
          <w:color w:val="000000" w:themeColor="text1"/>
          <w:sz w:val="24"/>
          <w:lang w:val="en-US"/>
        </w:rPr>
        <w:t xml:space="preserve">essential </w:t>
      </w:r>
      <w:r w:rsidR="009E54ED">
        <w:rPr>
          <w:rFonts w:ascii="Times New Roman" w:hAnsi="Times New Roman" w:cs="Times New Roman"/>
          <w:color w:val="000000" w:themeColor="text1"/>
          <w:sz w:val="24"/>
          <w:lang w:val="en-US"/>
        </w:rPr>
        <w:t>to</w:t>
      </w:r>
      <w:r w:rsidR="00591F73" w:rsidRPr="009A64AC">
        <w:rPr>
          <w:rFonts w:ascii="Times New Roman" w:hAnsi="Times New Roman" w:cs="Times New Roman"/>
          <w:color w:val="000000" w:themeColor="text1"/>
          <w:sz w:val="24"/>
          <w:lang w:val="en-US"/>
        </w:rPr>
        <w:t xml:space="preserve"> </w:t>
      </w:r>
      <w:r w:rsidR="009D3608">
        <w:rPr>
          <w:rFonts w:ascii="Times New Roman" w:hAnsi="Times New Roman" w:cs="Times New Roman"/>
          <w:color w:val="000000" w:themeColor="text1"/>
          <w:sz w:val="24"/>
          <w:lang w:val="en-US"/>
        </w:rPr>
        <w:t>maximize the revenue</w:t>
      </w:r>
      <w:r w:rsidR="00591F73" w:rsidRPr="009A64AC">
        <w:rPr>
          <w:rFonts w:ascii="Times New Roman" w:hAnsi="Times New Roman" w:cs="Times New Roman"/>
          <w:color w:val="000000" w:themeColor="text1"/>
          <w:sz w:val="24"/>
          <w:lang w:val="en-US"/>
        </w:rPr>
        <w:t xml:space="preserve">. Technical and economic aspects of a battery storage system, system coupling and grid integration are </w:t>
      </w:r>
      <w:r w:rsidR="00591F73" w:rsidRPr="009D3608">
        <w:rPr>
          <w:rFonts w:ascii="Times New Roman" w:hAnsi="Times New Roman" w:cs="Times New Roman"/>
          <w:color w:val="000000" w:themeColor="text1"/>
          <w:sz w:val="24"/>
          <w:szCs w:val="24"/>
          <w:lang w:val="en-US"/>
        </w:rPr>
        <w:t xml:space="preserve">summarized in </w:t>
      </w:r>
      <w:r w:rsidR="00591F73" w:rsidRPr="009D3608">
        <w:rPr>
          <w:rFonts w:ascii="Times New Roman" w:hAnsi="Times New Roman" w:cs="Times New Roman"/>
          <w:color w:val="000000" w:themeColor="text1"/>
          <w:sz w:val="24"/>
          <w:szCs w:val="24"/>
          <w:lang w:val="en-US"/>
        </w:rPr>
        <w:fldChar w:fldCharType="begin"/>
      </w:r>
      <w:r w:rsidR="00591F73" w:rsidRPr="009D3608">
        <w:rPr>
          <w:rFonts w:ascii="Times New Roman" w:hAnsi="Times New Roman" w:cs="Times New Roman"/>
          <w:color w:val="000000" w:themeColor="text1"/>
          <w:sz w:val="24"/>
          <w:szCs w:val="24"/>
          <w:lang w:val="en-US"/>
        </w:rPr>
        <w:instrText xml:space="preserve"> REF _Ref527840507 \h  \* MERGEFORMAT </w:instrText>
      </w:r>
      <w:r w:rsidR="00591F73" w:rsidRPr="009D3608">
        <w:rPr>
          <w:rFonts w:ascii="Times New Roman" w:hAnsi="Times New Roman" w:cs="Times New Roman"/>
          <w:color w:val="000000" w:themeColor="text1"/>
          <w:sz w:val="24"/>
          <w:szCs w:val="24"/>
          <w:lang w:val="en-US"/>
        </w:rPr>
      </w:r>
      <w:r w:rsidR="00591F73" w:rsidRPr="009D3608">
        <w:rPr>
          <w:rFonts w:ascii="Times New Roman" w:hAnsi="Times New Roman" w:cs="Times New Roman"/>
          <w:color w:val="000000" w:themeColor="text1"/>
          <w:sz w:val="24"/>
          <w:szCs w:val="24"/>
          <w:lang w:val="en-US"/>
        </w:rPr>
        <w:fldChar w:fldCharType="separate"/>
      </w:r>
      <w:r w:rsidR="00E60026" w:rsidRPr="00E60026">
        <w:rPr>
          <w:rFonts w:ascii="Times New Roman" w:hAnsi="Times New Roman" w:cs="Times New Roman"/>
          <w:sz w:val="24"/>
          <w:szCs w:val="24"/>
          <w:lang w:val="en-US"/>
        </w:rPr>
        <w:t xml:space="preserve">Table </w:t>
      </w:r>
      <w:r w:rsidR="00E60026" w:rsidRPr="00E60026">
        <w:rPr>
          <w:rFonts w:ascii="Times New Roman" w:hAnsi="Times New Roman" w:cs="Times New Roman"/>
          <w:noProof/>
          <w:sz w:val="24"/>
          <w:szCs w:val="24"/>
          <w:lang w:val="en-US"/>
        </w:rPr>
        <w:t>2</w:t>
      </w:r>
      <w:r w:rsidR="00591F73" w:rsidRPr="009D3608">
        <w:rPr>
          <w:rFonts w:ascii="Times New Roman" w:hAnsi="Times New Roman" w:cs="Times New Roman"/>
          <w:color w:val="000000" w:themeColor="text1"/>
          <w:sz w:val="24"/>
          <w:szCs w:val="24"/>
          <w:lang w:val="en-US"/>
        </w:rPr>
        <w:fldChar w:fldCharType="end"/>
      </w:r>
      <w:r w:rsidR="00591F73" w:rsidRPr="009D3608">
        <w:rPr>
          <w:rFonts w:ascii="Times New Roman" w:hAnsi="Times New Roman" w:cs="Times New Roman"/>
          <w:color w:val="000000" w:themeColor="text1"/>
          <w:sz w:val="24"/>
          <w:szCs w:val="24"/>
          <w:lang w:val="en-US"/>
        </w:rPr>
        <w:t>.</w:t>
      </w:r>
    </w:p>
    <w:p w14:paraId="2DA61D9A" w14:textId="77777777" w:rsidR="00DC7887" w:rsidRPr="009A64AC" w:rsidRDefault="00DC7887" w:rsidP="004A7C48">
      <w:pPr>
        <w:tabs>
          <w:tab w:val="left" w:pos="6946"/>
        </w:tabs>
        <w:spacing w:after="0"/>
        <w:rPr>
          <w:rFonts w:ascii="Times New Roman" w:hAnsi="Times New Roman" w:cs="Times New Roman"/>
          <w:color w:val="000000" w:themeColor="text1"/>
          <w:sz w:val="24"/>
          <w:lang w:val="en-US"/>
        </w:rPr>
      </w:pPr>
    </w:p>
    <w:p w14:paraId="63AA478D" w14:textId="5370BCFC" w:rsidR="002D5496" w:rsidRPr="009A64AC" w:rsidRDefault="00B00513" w:rsidP="002D5496">
      <w:pPr>
        <w:tabs>
          <w:tab w:val="left" w:pos="6946"/>
        </w:tabs>
        <w:spacing w:after="0"/>
        <w:rPr>
          <w:rFonts w:ascii="Times New Roman" w:hAnsi="Times New Roman" w:cs="Times New Roman"/>
          <w:noProof/>
          <w:sz w:val="24"/>
          <w:szCs w:val="24"/>
          <w:lang w:val="en-US"/>
        </w:rPr>
      </w:pPr>
      <w:r w:rsidRPr="009A64AC">
        <w:rPr>
          <w:rFonts w:ascii="Times New Roman" w:hAnsi="Times New Roman" w:cs="Times New Roman"/>
          <w:noProof/>
          <w:lang w:eastAsia="da-DK"/>
        </w:rPr>
        <w:drawing>
          <wp:inline distT="0" distB="0" distL="0" distR="0" wp14:anchorId="72B4DBE3" wp14:editId="7678B48E">
            <wp:extent cx="5673436" cy="1756213"/>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76021" cy="1757013"/>
                    </a:xfrm>
                    <a:prstGeom prst="rect">
                      <a:avLst/>
                    </a:prstGeom>
                  </pic:spPr>
                </pic:pic>
              </a:graphicData>
            </a:graphic>
          </wp:inline>
        </w:drawing>
      </w:r>
    </w:p>
    <w:p w14:paraId="03895C37" w14:textId="4294C15D" w:rsidR="00D54BF2" w:rsidRPr="00DC7887" w:rsidRDefault="00D54BF2" w:rsidP="00D54BF2">
      <w:pPr>
        <w:pStyle w:val="Caption"/>
        <w:rPr>
          <w:rFonts w:ascii="Times New Roman" w:hAnsi="Times New Roman" w:cs="Times New Roman"/>
          <w:b w:val="0"/>
          <w:i/>
          <w:color w:val="44546A" w:themeColor="text2"/>
          <w:sz w:val="22"/>
          <w:szCs w:val="22"/>
        </w:rPr>
      </w:pPr>
      <w:bookmarkStart w:id="26" w:name="_Ref527838174"/>
      <w:proofErr w:type="gramStart"/>
      <w:r w:rsidRPr="00DC7887">
        <w:rPr>
          <w:rFonts w:ascii="Times New Roman" w:hAnsi="Times New Roman" w:cs="Times New Roman"/>
          <w:b w:val="0"/>
          <w:i/>
          <w:color w:val="44546A" w:themeColor="text2"/>
          <w:sz w:val="22"/>
          <w:szCs w:val="22"/>
        </w:rPr>
        <w:t xml:space="preserve">Figure </w:t>
      </w:r>
      <w:r w:rsidRPr="00DC7887">
        <w:rPr>
          <w:rFonts w:ascii="Times New Roman" w:hAnsi="Times New Roman" w:cs="Times New Roman"/>
          <w:b w:val="0"/>
          <w:i/>
          <w:color w:val="44546A" w:themeColor="text2"/>
          <w:sz w:val="22"/>
          <w:szCs w:val="22"/>
        </w:rPr>
        <w:fldChar w:fldCharType="begin"/>
      </w:r>
      <w:r w:rsidRPr="00DC7887">
        <w:rPr>
          <w:rFonts w:ascii="Times New Roman" w:hAnsi="Times New Roman" w:cs="Times New Roman"/>
          <w:b w:val="0"/>
          <w:i/>
          <w:color w:val="44546A" w:themeColor="text2"/>
          <w:sz w:val="22"/>
          <w:szCs w:val="22"/>
        </w:rPr>
        <w:instrText xml:space="preserve"> SEQ Figure \* ARABIC </w:instrText>
      </w:r>
      <w:r w:rsidRPr="00DC7887">
        <w:rPr>
          <w:rFonts w:ascii="Times New Roman" w:hAnsi="Times New Roman" w:cs="Times New Roman"/>
          <w:b w:val="0"/>
          <w:i/>
          <w:color w:val="44546A" w:themeColor="text2"/>
          <w:sz w:val="22"/>
          <w:szCs w:val="22"/>
        </w:rPr>
        <w:fldChar w:fldCharType="separate"/>
      </w:r>
      <w:r w:rsidR="00E60026">
        <w:rPr>
          <w:rFonts w:ascii="Times New Roman" w:hAnsi="Times New Roman" w:cs="Times New Roman"/>
          <w:b w:val="0"/>
          <w:i/>
          <w:noProof/>
          <w:color w:val="44546A" w:themeColor="text2"/>
          <w:sz w:val="22"/>
          <w:szCs w:val="22"/>
        </w:rPr>
        <w:t>5</w:t>
      </w:r>
      <w:r w:rsidRPr="00DC7887">
        <w:rPr>
          <w:rFonts w:ascii="Times New Roman" w:hAnsi="Times New Roman" w:cs="Times New Roman"/>
          <w:b w:val="0"/>
          <w:i/>
          <w:color w:val="44546A" w:themeColor="text2"/>
          <w:sz w:val="22"/>
          <w:szCs w:val="22"/>
        </w:rPr>
        <w:fldChar w:fldCharType="end"/>
      </w:r>
      <w:bookmarkEnd w:id="26"/>
      <w:r w:rsidR="008946CA">
        <w:rPr>
          <w:rFonts w:ascii="Times New Roman" w:hAnsi="Times New Roman" w:cs="Times New Roman"/>
          <w:b w:val="0"/>
          <w:i/>
          <w:color w:val="44546A" w:themeColor="text2"/>
          <w:sz w:val="22"/>
          <w:szCs w:val="22"/>
        </w:rPr>
        <w:t>.</w:t>
      </w:r>
      <w:proofErr w:type="gramEnd"/>
      <w:r w:rsidRPr="00DC7887">
        <w:rPr>
          <w:rFonts w:ascii="Times New Roman" w:hAnsi="Times New Roman" w:cs="Times New Roman"/>
          <w:b w:val="0"/>
          <w:i/>
          <w:color w:val="44546A" w:themeColor="text2"/>
          <w:sz w:val="22"/>
          <w:szCs w:val="22"/>
        </w:rPr>
        <w:t xml:space="preserve"> </w:t>
      </w:r>
      <w:r w:rsidR="0037567B" w:rsidRPr="00DC7887">
        <w:rPr>
          <w:rFonts w:ascii="Times New Roman" w:hAnsi="Times New Roman" w:cs="Times New Roman"/>
          <w:b w:val="0"/>
          <w:i/>
          <w:color w:val="44546A" w:themeColor="text2"/>
          <w:sz w:val="22"/>
          <w:szCs w:val="22"/>
        </w:rPr>
        <w:t>S</w:t>
      </w:r>
      <w:r w:rsidRPr="00DC7887">
        <w:rPr>
          <w:rFonts w:ascii="Times New Roman" w:hAnsi="Times New Roman" w:cs="Times New Roman"/>
          <w:b w:val="0"/>
          <w:i/>
          <w:color w:val="44546A" w:themeColor="text2"/>
          <w:sz w:val="22"/>
          <w:szCs w:val="22"/>
        </w:rPr>
        <w:t>chematic drawing of a battery storage system, power system coupling and grid interface components. Keywords highlight technically, and economically relevant aspects.</w:t>
      </w:r>
      <w:r w:rsidR="00432EAC" w:rsidRPr="00DC7887">
        <w:rPr>
          <w:rFonts w:ascii="Times New Roman" w:hAnsi="Times New Roman" w:cs="Times New Roman"/>
          <w:b w:val="0"/>
          <w:i/>
          <w:color w:val="44546A" w:themeColor="text2"/>
          <w:sz w:val="22"/>
          <w:szCs w:val="22"/>
        </w:rPr>
        <w:t xml:space="preserve"> Modified from </w:t>
      </w:r>
      <w:r w:rsidR="00432EAC" w:rsidRPr="00DC7887">
        <w:rPr>
          <w:rFonts w:ascii="Times New Roman" w:hAnsi="Times New Roman" w:cs="Times New Roman"/>
          <w:b w:val="0"/>
          <w:i/>
          <w:color w:val="44546A" w:themeColor="text2"/>
          <w:sz w:val="22"/>
          <w:szCs w:val="22"/>
        </w:rPr>
        <w:fldChar w:fldCharType="begin" w:fldLock="1"/>
      </w:r>
      <w:r w:rsidR="004646E5">
        <w:rPr>
          <w:rFonts w:ascii="Times New Roman" w:hAnsi="Times New Roman" w:cs="Times New Roman"/>
          <w:b w:val="0"/>
          <w:i/>
          <w:color w:val="44546A" w:themeColor="text2"/>
          <w:sz w:val="22"/>
          <w:szCs w:val="22"/>
        </w:rPr>
        <w:instrText>ADDIN CSL_CITATION {"citationItems":[{"id":"ITEM-1","itemData":{"DOI":"10.3390/en10122107","ISBN":"4989289269","ISSN":"19961073","abstract":"© 2017 by the authors. Battery energy storage systems have gained increasing interest for serving grid support in various application tasks. In particular, systems based on lithium-ion batteries have evolved rapidly with a wide range of cell technologies and system architectures available on the market. On the application side, different tasks for storage deployment demand distinct properties of the storage system. This review aims to serve as a guideline for best choice of battery technology, system design and operation for lithium-ion based storage systems to match a specific system application. Starting with an overview to lithium-ion battery technologies and their characteristics with respect to performance and aging, the storage system design is analyzed in detail based on an evaluation of real-world projects. Typical storage system applications are grouped and classified with respect to the challenges posed to the battery system. Publicly available modeling tools for technical and economic analysis are presented. A brief analysis of optimization approaches aims to point out challenges and potential solution techniques for system sizing, positioning and dispatch operation. For all areas reviewed herein, expected improvements and possible future developments are highlighted. In order to extract the full potential of stationary battery storage systems and to enable increased profitability of systems, future research should aim to a holistic system level approach combining not only performance tuning on a battery cell level and careful analysis of the application requirements, but also consider a proper selection of storage sub-components as well as an optimized system operation strategy.","author":[{"dropping-particle":"","family":"Hesse","given":"Holger C.","non-dropping-particle":"","parse-names":false,"suffix":""},{"dropping-particle":"","family":"Schimpe","given":"Michael","non-dropping-particle":"","parse-names":false,"suffix":""},{"dropping-particle":"","family":"Kucevic","given":"Daniel","non-dropping-particle":"","parse-names":false,"suffix":""},{"dropping-particle":"","family":"Jossen","given":"Andreas","non-dropping-particle":"","parse-names":false,"suffix":""}],"container-title":"Energies","id":"ITEM-1","issue":"12","issued":{"date-parts":[["2017"]]},"title":"Lithium-ion battery storage for the grid - A review of stationary battery storage system design tailored for applications in modern power grids","type":"book","volume":"10"},"uris":["http://www.mendeley.com/documents/?uuid=3871524f-d359-43a9-a6f2-b4499dbb5c80"]}],"mendeley":{"formattedCitation":"[16]","plainTextFormattedCitation":"[16]","previouslyFormattedCitation":"[16]"},"properties":{"noteIndex":0},"schema":"https://github.com/citation-style-language/schema/raw/master/csl-citation.json"}</w:instrText>
      </w:r>
      <w:r w:rsidR="00432EAC" w:rsidRPr="00DC7887">
        <w:rPr>
          <w:rFonts w:ascii="Times New Roman" w:hAnsi="Times New Roman" w:cs="Times New Roman"/>
          <w:b w:val="0"/>
          <w:i/>
          <w:color w:val="44546A" w:themeColor="text2"/>
          <w:sz w:val="22"/>
          <w:szCs w:val="22"/>
        </w:rPr>
        <w:fldChar w:fldCharType="separate"/>
      </w:r>
      <w:r w:rsidR="004646E5" w:rsidRPr="004646E5">
        <w:rPr>
          <w:rFonts w:ascii="Times New Roman" w:hAnsi="Times New Roman" w:cs="Times New Roman"/>
          <w:b w:val="0"/>
          <w:noProof/>
          <w:color w:val="44546A" w:themeColor="text2"/>
          <w:sz w:val="22"/>
          <w:szCs w:val="22"/>
        </w:rPr>
        <w:t>[16]</w:t>
      </w:r>
      <w:r w:rsidR="00432EAC" w:rsidRPr="00DC7887">
        <w:rPr>
          <w:rFonts w:ascii="Times New Roman" w:hAnsi="Times New Roman" w:cs="Times New Roman"/>
          <w:b w:val="0"/>
          <w:i/>
          <w:color w:val="44546A" w:themeColor="text2"/>
          <w:sz w:val="22"/>
          <w:szCs w:val="22"/>
        </w:rPr>
        <w:fldChar w:fldCharType="end"/>
      </w:r>
      <w:r w:rsidR="00432EAC" w:rsidRPr="00DC7887">
        <w:rPr>
          <w:rFonts w:ascii="Times New Roman" w:hAnsi="Times New Roman" w:cs="Times New Roman"/>
          <w:b w:val="0"/>
          <w:i/>
          <w:color w:val="44546A" w:themeColor="text2"/>
          <w:sz w:val="22"/>
          <w:szCs w:val="22"/>
        </w:rPr>
        <w:t>.</w:t>
      </w:r>
    </w:p>
    <w:p w14:paraId="7B67CE6E" w14:textId="77777777" w:rsidR="008632F5" w:rsidRPr="009A64AC" w:rsidRDefault="008632F5" w:rsidP="008632F5">
      <w:pPr>
        <w:rPr>
          <w:rFonts w:ascii="Times New Roman" w:hAnsi="Times New Roman" w:cs="Times New Roman"/>
          <w:lang w:val="en-US"/>
        </w:rPr>
      </w:pPr>
    </w:p>
    <w:p w14:paraId="270EF2E7" w14:textId="2A584453" w:rsidR="00D54BF2" w:rsidRPr="00DC7887" w:rsidRDefault="00961640" w:rsidP="008632F5">
      <w:pPr>
        <w:pStyle w:val="Caption"/>
        <w:rPr>
          <w:rFonts w:ascii="Times New Roman" w:hAnsi="Times New Roman" w:cs="Times New Roman"/>
          <w:b w:val="0"/>
          <w:i/>
          <w:noProof/>
          <w:color w:val="44546A" w:themeColor="text2"/>
          <w:sz w:val="22"/>
          <w:szCs w:val="22"/>
        </w:rPr>
      </w:pPr>
      <w:bookmarkStart w:id="27" w:name="_Ref527840507"/>
      <w:proofErr w:type="gramStart"/>
      <w:r w:rsidRPr="00DC7887">
        <w:rPr>
          <w:rFonts w:ascii="Times New Roman" w:hAnsi="Times New Roman" w:cs="Times New Roman"/>
          <w:b w:val="0"/>
          <w:i/>
          <w:color w:val="44546A" w:themeColor="text2"/>
          <w:sz w:val="22"/>
          <w:szCs w:val="22"/>
        </w:rPr>
        <w:t xml:space="preserve">Table </w:t>
      </w:r>
      <w:r w:rsidRPr="00DC7887">
        <w:rPr>
          <w:rFonts w:ascii="Times New Roman" w:hAnsi="Times New Roman" w:cs="Times New Roman"/>
          <w:b w:val="0"/>
          <w:i/>
          <w:color w:val="44546A" w:themeColor="text2"/>
          <w:sz w:val="22"/>
          <w:szCs w:val="22"/>
        </w:rPr>
        <w:fldChar w:fldCharType="begin"/>
      </w:r>
      <w:r w:rsidRPr="00DC7887">
        <w:rPr>
          <w:rFonts w:ascii="Times New Roman" w:hAnsi="Times New Roman" w:cs="Times New Roman"/>
          <w:b w:val="0"/>
          <w:i/>
          <w:color w:val="44546A" w:themeColor="text2"/>
          <w:sz w:val="22"/>
          <w:szCs w:val="22"/>
        </w:rPr>
        <w:instrText xml:space="preserve"> SEQ Table \* ARABIC </w:instrText>
      </w:r>
      <w:r w:rsidRPr="00DC7887">
        <w:rPr>
          <w:rFonts w:ascii="Times New Roman" w:hAnsi="Times New Roman" w:cs="Times New Roman"/>
          <w:b w:val="0"/>
          <w:i/>
          <w:color w:val="44546A" w:themeColor="text2"/>
          <w:sz w:val="22"/>
          <w:szCs w:val="22"/>
        </w:rPr>
        <w:fldChar w:fldCharType="separate"/>
      </w:r>
      <w:r w:rsidR="00E60026">
        <w:rPr>
          <w:rFonts w:ascii="Times New Roman" w:hAnsi="Times New Roman" w:cs="Times New Roman"/>
          <w:b w:val="0"/>
          <w:i/>
          <w:noProof/>
          <w:color w:val="44546A" w:themeColor="text2"/>
          <w:sz w:val="22"/>
          <w:szCs w:val="22"/>
        </w:rPr>
        <w:t>2</w:t>
      </w:r>
      <w:r w:rsidRPr="00DC7887">
        <w:rPr>
          <w:rFonts w:ascii="Times New Roman" w:hAnsi="Times New Roman" w:cs="Times New Roman"/>
          <w:b w:val="0"/>
          <w:i/>
          <w:color w:val="44546A" w:themeColor="text2"/>
          <w:sz w:val="22"/>
          <w:szCs w:val="22"/>
        </w:rPr>
        <w:fldChar w:fldCharType="end"/>
      </w:r>
      <w:bookmarkEnd w:id="27"/>
      <w:r w:rsidR="00DC7887" w:rsidRPr="00DC7887">
        <w:rPr>
          <w:rFonts w:ascii="Times New Roman" w:hAnsi="Times New Roman" w:cs="Times New Roman"/>
          <w:b w:val="0"/>
          <w:i/>
          <w:color w:val="44546A" w:themeColor="text2"/>
          <w:sz w:val="22"/>
          <w:szCs w:val="22"/>
        </w:rPr>
        <w:t>.</w:t>
      </w:r>
      <w:proofErr w:type="gramEnd"/>
      <w:r w:rsidRPr="00DC7887">
        <w:rPr>
          <w:rFonts w:ascii="Times New Roman" w:hAnsi="Times New Roman" w:cs="Times New Roman"/>
          <w:b w:val="0"/>
          <w:i/>
          <w:color w:val="44546A" w:themeColor="text2"/>
          <w:sz w:val="22"/>
          <w:szCs w:val="22"/>
        </w:rPr>
        <w:t xml:space="preserve"> Formalized overview of the battery storage system, power system and grid interface components considering both technical and economic aspects.</w:t>
      </w:r>
      <w:r w:rsidR="008632F5" w:rsidRPr="00DC7887">
        <w:rPr>
          <w:rFonts w:ascii="Times New Roman" w:hAnsi="Times New Roman" w:cs="Times New Roman"/>
          <w:b w:val="0"/>
          <w:i/>
          <w:color w:val="44546A" w:themeColor="text2"/>
          <w:sz w:val="22"/>
          <w:szCs w:val="22"/>
        </w:rPr>
        <w:t xml:space="preserve"> Modified from </w:t>
      </w:r>
      <w:r w:rsidR="008632F5" w:rsidRPr="00DC7887">
        <w:rPr>
          <w:rFonts w:ascii="Times New Roman" w:hAnsi="Times New Roman" w:cs="Times New Roman"/>
          <w:b w:val="0"/>
          <w:i/>
          <w:color w:val="44546A" w:themeColor="text2"/>
          <w:sz w:val="22"/>
          <w:szCs w:val="22"/>
        </w:rPr>
        <w:fldChar w:fldCharType="begin" w:fldLock="1"/>
      </w:r>
      <w:r w:rsidR="004646E5">
        <w:rPr>
          <w:rFonts w:ascii="Times New Roman" w:hAnsi="Times New Roman" w:cs="Times New Roman"/>
          <w:b w:val="0"/>
          <w:i/>
          <w:color w:val="44546A" w:themeColor="text2"/>
          <w:sz w:val="22"/>
          <w:szCs w:val="22"/>
        </w:rPr>
        <w:instrText>ADDIN CSL_CITATION {"citationItems":[{"id":"ITEM-1","itemData":{"DOI":"10.3390/en10122107","ISBN":"4989289269","ISSN":"19961073","abstract":"© 2017 by the authors. Battery energy storage systems have gained increasing interest for serving grid support in various application tasks. In particular, systems based on lithium-ion batteries have evolved rapidly with a wide range of cell technologies and system architectures available on the market. On the application side, different tasks for storage deployment demand distinct properties of the storage system. This review aims to serve as a guideline for best choice of battery technology, system design and operation for lithium-ion based storage systems to match a specific system application. Starting with an overview to lithium-ion battery technologies and their characteristics with respect to performance and aging, the storage system design is analyzed in detail based on an evaluation of real-world projects. Typical storage system applications are grouped and classified with respect to the challenges posed to the battery system. Publicly available modeling tools for technical and economic analysis are presented. A brief analysis of optimization approaches aims to point out challenges and potential solution techniques for system sizing, positioning and dispatch operation. For all areas reviewed herein, expected improvements and possible future developments are highlighted. In order to extract the full potential of stationary battery storage systems and to enable increased profitability of systems, future research should aim to a holistic system level approach combining not only performance tuning on a battery cell level and careful analysis of the application requirements, but also consider a proper selection of storage sub-components as well as an optimized system operation strategy.","author":[{"dropping-particle":"","family":"Hesse","given":"Holger C.","non-dropping-particle":"","parse-names":false,"suffix":""},{"dropping-particle":"","family":"Schimpe","given":"Michael","non-dropping-particle":"","parse-names":false,"suffix":""},{"dropping-particle":"","family":"Kucevic","given":"Daniel","non-dropping-particle":"","parse-names":false,"suffix":""},{"dropping-particle":"","family":"Jossen","given":"Andreas","non-dropping-particle":"","parse-names":false,"suffix":""}],"container-title":"Energies","id":"ITEM-1","issue":"12","issued":{"date-parts":[["2017"]]},"title":"Lithium-ion battery storage for the grid - A review of stationary battery storage system design tailored for applications in modern power grids","type":"book","volume":"10"},"uris":["http://www.mendeley.com/documents/?uuid=3871524f-d359-43a9-a6f2-b4499dbb5c80"]}],"mendeley":{"formattedCitation":"[16]","plainTextFormattedCitation":"[16]","previouslyFormattedCitation":"[16]"},"properties":{"noteIndex":0},"schema":"https://github.com/citation-style-language/schema/raw/master/csl-citation.json"}</w:instrText>
      </w:r>
      <w:r w:rsidR="008632F5" w:rsidRPr="00DC7887">
        <w:rPr>
          <w:rFonts w:ascii="Times New Roman" w:hAnsi="Times New Roman" w:cs="Times New Roman"/>
          <w:b w:val="0"/>
          <w:i/>
          <w:color w:val="44546A" w:themeColor="text2"/>
          <w:sz w:val="22"/>
          <w:szCs w:val="22"/>
        </w:rPr>
        <w:fldChar w:fldCharType="separate"/>
      </w:r>
      <w:r w:rsidR="004646E5" w:rsidRPr="004646E5">
        <w:rPr>
          <w:rFonts w:ascii="Times New Roman" w:hAnsi="Times New Roman" w:cs="Times New Roman"/>
          <w:b w:val="0"/>
          <w:noProof/>
          <w:color w:val="44546A" w:themeColor="text2"/>
          <w:sz w:val="22"/>
          <w:szCs w:val="22"/>
        </w:rPr>
        <w:t>[16]</w:t>
      </w:r>
      <w:r w:rsidR="008632F5" w:rsidRPr="00DC7887">
        <w:rPr>
          <w:rFonts w:ascii="Times New Roman" w:hAnsi="Times New Roman" w:cs="Times New Roman"/>
          <w:b w:val="0"/>
          <w:i/>
          <w:color w:val="44546A" w:themeColor="text2"/>
          <w:sz w:val="22"/>
          <w:szCs w:val="22"/>
        </w:rPr>
        <w:fldChar w:fldCharType="end"/>
      </w:r>
      <w:r w:rsidR="008632F5" w:rsidRPr="00DC7887">
        <w:rPr>
          <w:rFonts w:ascii="Times New Roman" w:hAnsi="Times New Roman" w:cs="Times New Roman"/>
          <w:b w:val="0"/>
          <w:i/>
          <w:color w:val="44546A" w:themeColor="text2"/>
          <w:sz w:val="22"/>
          <w:szCs w:val="22"/>
        </w:rPr>
        <w:t>.</w:t>
      </w:r>
    </w:p>
    <w:tbl>
      <w:tblPr>
        <w:tblStyle w:val="TableGrid"/>
        <w:tblW w:w="9356" w:type="dxa"/>
        <w:tblLook w:val="04A0" w:firstRow="1" w:lastRow="0" w:firstColumn="1" w:lastColumn="0" w:noHBand="0" w:noVBand="1"/>
      </w:tblPr>
      <w:tblGrid>
        <w:gridCol w:w="506"/>
        <w:gridCol w:w="3322"/>
        <w:gridCol w:w="2551"/>
        <w:gridCol w:w="2977"/>
      </w:tblGrid>
      <w:tr w:rsidR="009618FA" w:rsidRPr="009A64AC" w14:paraId="78FDC5E1" w14:textId="77777777" w:rsidTr="00133C2E">
        <w:tc>
          <w:tcPr>
            <w:tcW w:w="506" w:type="dxa"/>
          </w:tcPr>
          <w:p w14:paraId="74864E7F" w14:textId="77777777" w:rsidR="009618FA" w:rsidRPr="009A64AC" w:rsidRDefault="009618FA">
            <w:pPr>
              <w:rPr>
                <w:rFonts w:ascii="Times New Roman" w:hAnsi="Times New Roman" w:cs="Times New Roman"/>
                <w:color w:val="000000" w:themeColor="text1"/>
                <w:sz w:val="20"/>
                <w:szCs w:val="20"/>
                <w:lang w:val="en-US"/>
              </w:rPr>
            </w:pPr>
          </w:p>
        </w:tc>
        <w:tc>
          <w:tcPr>
            <w:tcW w:w="3322" w:type="dxa"/>
          </w:tcPr>
          <w:p w14:paraId="5F7E434A" w14:textId="039FEDD1" w:rsidR="009618FA" w:rsidRPr="009A64AC" w:rsidRDefault="00B05CE5">
            <w:pPr>
              <w:rPr>
                <w:rFonts w:ascii="Times New Roman" w:hAnsi="Times New Roman" w:cs="Times New Roman"/>
                <w:b/>
                <w:color w:val="000000" w:themeColor="text1"/>
                <w:sz w:val="20"/>
                <w:szCs w:val="20"/>
              </w:rPr>
            </w:pPr>
            <w:proofErr w:type="spellStart"/>
            <w:r w:rsidRPr="009A64AC">
              <w:rPr>
                <w:rFonts w:ascii="Times New Roman" w:hAnsi="Times New Roman" w:cs="Times New Roman"/>
                <w:b/>
                <w:color w:val="000000" w:themeColor="text1"/>
                <w:sz w:val="20"/>
                <w:szCs w:val="20"/>
              </w:rPr>
              <w:t>Battery</w:t>
            </w:r>
            <w:proofErr w:type="spellEnd"/>
            <w:r w:rsidRPr="009A64AC">
              <w:rPr>
                <w:rFonts w:ascii="Times New Roman" w:hAnsi="Times New Roman" w:cs="Times New Roman"/>
                <w:b/>
                <w:color w:val="000000" w:themeColor="text1"/>
                <w:sz w:val="20"/>
                <w:szCs w:val="20"/>
              </w:rPr>
              <w:t xml:space="preserve"> &amp; Storage System</w:t>
            </w:r>
          </w:p>
        </w:tc>
        <w:tc>
          <w:tcPr>
            <w:tcW w:w="2551" w:type="dxa"/>
          </w:tcPr>
          <w:p w14:paraId="09E8501E" w14:textId="7EEB333B" w:rsidR="009618FA" w:rsidRPr="009A64AC" w:rsidRDefault="00B05CE5">
            <w:pPr>
              <w:rPr>
                <w:rFonts w:ascii="Times New Roman" w:hAnsi="Times New Roman" w:cs="Times New Roman"/>
                <w:b/>
                <w:color w:val="000000" w:themeColor="text1"/>
                <w:sz w:val="20"/>
                <w:szCs w:val="20"/>
              </w:rPr>
            </w:pPr>
            <w:r w:rsidRPr="009A64AC">
              <w:rPr>
                <w:rFonts w:ascii="Times New Roman" w:hAnsi="Times New Roman" w:cs="Times New Roman"/>
                <w:b/>
                <w:color w:val="000000" w:themeColor="text1"/>
                <w:sz w:val="20"/>
                <w:szCs w:val="20"/>
              </w:rPr>
              <w:t xml:space="preserve">System </w:t>
            </w:r>
            <w:proofErr w:type="spellStart"/>
            <w:r w:rsidRPr="009A64AC">
              <w:rPr>
                <w:rFonts w:ascii="Times New Roman" w:hAnsi="Times New Roman" w:cs="Times New Roman"/>
                <w:b/>
                <w:color w:val="000000" w:themeColor="text1"/>
                <w:sz w:val="20"/>
                <w:szCs w:val="20"/>
              </w:rPr>
              <w:t>Coupling</w:t>
            </w:r>
            <w:proofErr w:type="spellEnd"/>
          </w:p>
        </w:tc>
        <w:tc>
          <w:tcPr>
            <w:tcW w:w="2977" w:type="dxa"/>
          </w:tcPr>
          <w:p w14:paraId="30564765" w14:textId="2AE2E495" w:rsidR="009618FA" w:rsidRPr="009A64AC" w:rsidRDefault="00B05CE5">
            <w:pPr>
              <w:rPr>
                <w:rFonts w:ascii="Times New Roman" w:hAnsi="Times New Roman" w:cs="Times New Roman"/>
                <w:b/>
                <w:color w:val="000000" w:themeColor="text1"/>
                <w:sz w:val="20"/>
                <w:szCs w:val="20"/>
              </w:rPr>
            </w:pPr>
            <w:r w:rsidRPr="009A64AC">
              <w:rPr>
                <w:rFonts w:ascii="Times New Roman" w:hAnsi="Times New Roman" w:cs="Times New Roman"/>
                <w:b/>
                <w:color w:val="000000" w:themeColor="text1"/>
                <w:sz w:val="20"/>
                <w:szCs w:val="20"/>
              </w:rPr>
              <w:t>Grid Integration</w:t>
            </w:r>
          </w:p>
        </w:tc>
      </w:tr>
      <w:tr w:rsidR="009618FA" w:rsidRPr="009A64AC" w14:paraId="2C7BCDF9" w14:textId="77777777" w:rsidTr="00133C2E">
        <w:trPr>
          <w:cantSplit/>
          <w:trHeight w:val="1403"/>
        </w:trPr>
        <w:tc>
          <w:tcPr>
            <w:tcW w:w="506" w:type="dxa"/>
            <w:textDirection w:val="btLr"/>
          </w:tcPr>
          <w:p w14:paraId="3A9D40ED" w14:textId="33E60508" w:rsidR="009618FA" w:rsidRPr="009A64AC" w:rsidRDefault="00B05CE5" w:rsidP="00961640">
            <w:pPr>
              <w:ind w:left="113" w:right="113"/>
              <w:jc w:val="center"/>
              <w:rPr>
                <w:rFonts w:ascii="Times New Roman" w:hAnsi="Times New Roman" w:cs="Times New Roman"/>
                <w:b/>
                <w:color w:val="000000" w:themeColor="text1"/>
                <w:sz w:val="20"/>
                <w:szCs w:val="20"/>
              </w:rPr>
            </w:pPr>
            <w:r w:rsidRPr="009A64AC">
              <w:rPr>
                <w:rFonts w:ascii="Times New Roman" w:hAnsi="Times New Roman" w:cs="Times New Roman"/>
                <w:b/>
                <w:color w:val="000000" w:themeColor="text1"/>
                <w:sz w:val="20"/>
                <w:szCs w:val="20"/>
              </w:rPr>
              <w:t>Technical</w:t>
            </w:r>
          </w:p>
        </w:tc>
        <w:tc>
          <w:tcPr>
            <w:tcW w:w="3322" w:type="dxa"/>
          </w:tcPr>
          <w:p w14:paraId="2EA67118" w14:textId="77777777" w:rsidR="008632F5" w:rsidRPr="009A64AC" w:rsidRDefault="008632F5">
            <w:pPr>
              <w:rPr>
                <w:rFonts w:ascii="Times New Roman" w:hAnsi="Times New Roman" w:cs="Times New Roman"/>
                <w:color w:val="000000" w:themeColor="text1"/>
                <w:sz w:val="20"/>
                <w:szCs w:val="20"/>
                <w:lang w:val="en-US"/>
              </w:rPr>
            </w:pPr>
          </w:p>
          <w:p w14:paraId="4FD2629B" w14:textId="2B5673D5" w:rsidR="009618FA" w:rsidRPr="009A64AC" w:rsidRDefault="00432EAC">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Battery System (Cell, Module, Pack)</w:t>
            </w:r>
          </w:p>
          <w:p w14:paraId="3322D8E3" w14:textId="77777777" w:rsidR="00432EAC" w:rsidRPr="009A64AC" w:rsidRDefault="00432EAC">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Battery Management System (BMS)</w:t>
            </w:r>
          </w:p>
          <w:p w14:paraId="5F50E657" w14:textId="77777777" w:rsidR="00432EAC" w:rsidRPr="009A64AC" w:rsidRDefault="00432EAC">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Energy Management System (EMS)</w:t>
            </w:r>
          </w:p>
          <w:p w14:paraId="3DD08510" w14:textId="3530C2B5" w:rsidR="00432EAC" w:rsidRPr="009A64AC" w:rsidRDefault="00432EAC">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Thermal Management System (TMS)</w:t>
            </w:r>
          </w:p>
        </w:tc>
        <w:tc>
          <w:tcPr>
            <w:tcW w:w="2551" w:type="dxa"/>
          </w:tcPr>
          <w:p w14:paraId="3254406C" w14:textId="77777777" w:rsidR="008632F5" w:rsidRPr="009A64AC" w:rsidRDefault="008632F5" w:rsidP="00432EAC">
            <w:pPr>
              <w:rPr>
                <w:rFonts w:ascii="Times New Roman" w:hAnsi="Times New Roman" w:cs="Times New Roman"/>
                <w:color w:val="000000" w:themeColor="text1"/>
                <w:sz w:val="20"/>
                <w:szCs w:val="20"/>
                <w:lang w:val="en-US"/>
              </w:rPr>
            </w:pPr>
          </w:p>
          <w:p w14:paraId="59469014" w14:textId="424D80D5" w:rsidR="00432EAC" w:rsidRPr="009A64AC" w:rsidRDefault="00432EAC" w:rsidP="00432EAC">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Power Electronics (AC/DC) &amp; Transformer</w:t>
            </w:r>
          </w:p>
          <w:p w14:paraId="140F6386" w14:textId="77777777" w:rsidR="0037567B" w:rsidRDefault="0037567B" w:rsidP="00432EAC">
            <w:pPr>
              <w:rPr>
                <w:rFonts w:ascii="Times New Roman" w:hAnsi="Times New Roman" w:cs="Times New Roman"/>
                <w:color w:val="000000" w:themeColor="text1"/>
                <w:sz w:val="20"/>
                <w:szCs w:val="20"/>
                <w:lang w:val="en-US"/>
              </w:rPr>
            </w:pPr>
          </w:p>
          <w:p w14:paraId="038D7CCD" w14:textId="61093D36" w:rsidR="009618FA" w:rsidRPr="009A64AC" w:rsidRDefault="00432EAC" w:rsidP="00432EAC">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Environmental Conditions</w:t>
            </w:r>
          </w:p>
        </w:tc>
        <w:tc>
          <w:tcPr>
            <w:tcW w:w="2977" w:type="dxa"/>
          </w:tcPr>
          <w:p w14:paraId="3C46C4D7" w14:textId="77777777" w:rsidR="008632F5" w:rsidRPr="009A64AC" w:rsidRDefault="008632F5" w:rsidP="00432EAC">
            <w:pPr>
              <w:rPr>
                <w:rFonts w:ascii="Times New Roman" w:hAnsi="Times New Roman" w:cs="Times New Roman"/>
                <w:color w:val="000000" w:themeColor="text1"/>
                <w:sz w:val="20"/>
                <w:szCs w:val="20"/>
                <w:lang w:val="en-US"/>
              </w:rPr>
            </w:pPr>
          </w:p>
          <w:p w14:paraId="599AF528" w14:textId="65384F4A" w:rsidR="00432EAC" w:rsidRPr="009A64AC" w:rsidRDefault="00432EAC" w:rsidP="00432EAC">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Application Specific Profile</w:t>
            </w:r>
          </w:p>
          <w:p w14:paraId="2AF70EEC" w14:textId="5D567A34" w:rsidR="00432EAC" w:rsidRPr="009A64AC" w:rsidRDefault="00432EAC" w:rsidP="00432EAC">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Local Connection /</w:t>
            </w:r>
          </w:p>
          <w:p w14:paraId="65F96A9C" w14:textId="630434B2" w:rsidR="009618FA" w:rsidRPr="009A64AC" w:rsidRDefault="00432EAC" w:rsidP="00432EAC">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Grid Level of Integration</w:t>
            </w:r>
          </w:p>
        </w:tc>
      </w:tr>
      <w:tr w:rsidR="009618FA" w:rsidRPr="00724C1F" w14:paraId="3376937C" w14:textId="77777777" w:rsidTr="00133C2E">
        <w:trPr>
          <w:cantSplit/>
          <w:trHeight w:val="1281"/>
        </w:trPr>
        <w:tc>
          <w:tcPr>
            <w:tcW w:w="506" w:type="dxa"/>
            <w:textDirection w:val="btLr"/>
          </w:tcPr>
          <w:p w14:paraId="24998121" w14:textId="68C01226" w:rsidR="009618FA" w:rsidRPr="009A64AC" w:rsidRDefault="00B05CE5" w:rsidP="00961640">
            <w:pPr>
              <w:ind w:left="113" w:right="113"/>
              <w:jc w:val="center"/>
              <w:rPr>
                <w:rFonts w:ascii="Times New Roman" w:hAnsi="Times New Roman" w:cs="Times New Roman"/>
                <w:b/>
                <w:color w:val="000000" w:themeColor="text1"/>
                <w:sz w:val="20"/>
                <w:szCs w:val="20"/>
              </w:rPr>
            </w:pPr>
            <w:proofErr w:type="spellStart"/>
            <w:r w:rsidRPr="009A64AC">
              <w:rPr>
                <w:rFonts w:ascii="Times New Roman" w:hAnsi="Times New Roman" w:cs="Times New Roman"/>
                <w:b/>
                <w:color w:val="000000" w:themeColor="text1"/>
                <w:sz w:val="20"/>
                <w:szCs w:val="20"/>
              </w:rPr>
              <w:t>Economic</w:t>
            </w:r>
            <w:proofErr w:type="spellEnd"/>
          </w:p>
        </w:tc>
        <w:tc>
          <w:tcPr>
            <w:tcW w:w="3322" w:type="dxa"/>
          </w:tcPr>
          <w:p w14:paraId="1D6796E9" w14:textId="77777777" w:rsidR="008632F5" w:rsidRPr="009A64AC" w:rsidRDefault="008632F5">
            <w:pPr>
              <w:rPr>
                <w:rFonts w:ascii="Times New Roman" w:hAnsi="Times New Roman" w:cs="Times New Roman"/>
                <w:color w:val="000000" w:themeColor="text1"/>
                <w:sz w:val="20"/>
                <w:szCs w:val="20"/>
                <w:lang w:val="en-US"/>
              </w:rPr>
            </w:pPr>
          </w:p>
          <w:p w14:paraId="2C12EB9B" w14:textId="48EA8CFE" w:rsidR="00961640" w:rsidRPr="009A64AC" w:rsidRDefault="00283F8E">
            <w:pP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lang w:val="en-US"/>
              </w:rPr>
              <w:t xml:space="preserve">CAPEX: </w:t>
            </w:r>
            <w:r w:rsidR="00961640" w:rsidRPr="009A64AC">
              <w:rPr>
                <w:rFonts w:ascii="Times New Roman" w:hAnsi="Times New Roman" w:cs="Times New Roman"/>
                <w:color w:val="000000" w:themeColor="text1"/>
                <w:sz w:val="20"/>
                <w:szCs w:val="20"/>
                <w:lang w:val="en-US"/>
              </w:rPr>
              <w:t>Batt</w:t>
            </w:r>
            <w:r>
              <w:rPr>
                <w:rFonts w:ascii="Times New Roman" w:hAnsi="Times New Roman" w:cs="Times New Roman"/>
                <w:color w:val="000000" w:themeColor="text1"/>
                <w:sz w:val="20"/>
                <w:szCs w:val="20"/>
                <w:lang w:val="en-US"/>
              </w:rPr>
              <w:t>ery system and sizing</w:t>
            </w:r>
            <w:r w:rsidR="00961640" w:rsidRPr="009A64AC">
              <w:rPr>
                <w:rFonts w:ascii="Times New Roman" w:hAnsi="Times New Roman" w:cs="Times New Roman"/>
                <w:color w:val="000000" w:themeColor="text1"/>
                <w:sz w:val="20"/>
                <w:szCs w:val="20"/>
                <w:lang w:val="en-US"/>
              </w:rPr>
              <w:t xml:space="preserve"> </w:t>
            </w:r>
            <w:r>
              <w:rPr>
                <w:rFonts w:ascii="Times New Roman" w:hAnsi="Times New Roman" w:cs="Times New Roman"/>
                <w:color w:val="000000" w:themeColor="text1"/>
                <w:sz w:val="20"/>
                <w:szCs w:val="20"/>
                <w:lang w:val="en-US"/>
              </w:rPr>
              <w:t xml:space="preserve">OPEX: </w:t>
            </w:r>
            <w:r w:rsidR="00961640" w:rsidRPr="009A64AC">
              <w:rPr>
                <w:rFonts w:ascii="Times New Roman" w:hAnsi="Times New Roman" w:cs="Times New Roman"/>
                <w:color w:val="000000" w:themeColor="text1"/>
                <w:sz w:val="20"/>
                <w:szCs w:val="20"/>
                <w:lang w:val="en-US"/>
              </w:rPr>
              <w:t xml:space="preserve">Degradation and Efficiency </w:t>
            </w:r>
          </w:p>
          <w:p w14:paraId="2FFBA741" w14:textId="58F43268" w:rsidR="009618FA" w:rsidRPr="009A64AC" w:rsidRDefault="00961640">
            <w:pPr>
              <w:rPr>
                <w:rFonts w:ascii="Times New Roman" w:hAnsi="Times New Roman" w:cs="Times New Roman"/>
                <w:color w:val="000000" w:themeColor="text1"/>
                <w:sz w:val="20"/>
                <w:szCs w:val="20"/>
                <w:lang w:val="en-US"/>
              </w:rPr>
            </w:pPr>
            <w:r w:rsidRPr="009A64AC">
              <w:rPr>
                <w:rFonts w:ascii="Times New Roman" w:hAnsi="Times New Roman" w:cs="Times New Roman"/>
                <w:color w:val="000000" w:themeColor="text1"/>
                <w:sz w:val="20"/>
                <w:szCs w:val="20"/>
                <w:lang w:val="en-US"/>
              </w:rPr>
              <w:t>Operation Control</w:t>
            </w:r>
            <w:r w:rsidR="00283F8E">
              <w:rPr>
                <w:rFonts w:ascii="Times New Roman" w:hAnsi="Times New Roman" w:cs="Times New Roman"/>
                <w:color w:val="000000" w:themeColor="text1"/>
                <w:sz w:val="20"/>
                <w:szCs w:val="20"/>
                <w:lang w:val="en-US"/>
              </w:rPr>
              <w:t xml:space="preserve"> Strategy</w:t>
            </w:r>
          </w:p>
        </w:tc>
        <w:tc>
          <w:tcPr>
            <w:tcW w:w="2551" w:type="dxa"/>
          </w:tcPr>
          <w:p w14:paraId="5F3357E8" w14:textId="77777777" w:rsidR="008632F5" w:rsidRPr="009A64AC" w:rsidRDefault="008632F5">
            <w:pPr>
              <w:rPr>
                <w:rFonts w:ascii="Times New Roman" w:hAnsi="Times New Roman" w:cs="Times New Roman"/>
                <w:color w:val="000000" w:themeColor="text1"/>
                <w:sz w:val="20"/>
                <w:szCs w:val="20"/>
                <w:lang w:val="en-US"/>
              </w:rPr>
            </w:pPr>
          </w:p>
          <w:p w14:paraId="658D5483" w14:textId="0FB46E5A" w:rsidR="00961640" w:rsidRPr="009A64AC" w:rsidRDefault="003E1D16">
            <w:pP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lang w:val="en-US"/>
              </w:rPr>
              <w:t>CAPEX: Power Electronics/</w:t>
            </w:r>
            <w:r w:rsidRPr="009A64AC">
              <w:rPr>
                <w:rFonts w:ascii="Times New Roman" w:hAnsi="Times New Roman" w:cs="Times New Roman"/>
                <w:color w:val="000000" w:themeColor="text1"/>
                <w:sz w:val="20"/>
                <w:szCs w:val="20"/>
                <w:lang w:val="en-US"/>
              </w:rPr>
              <w:t xml:space="preserve"> Placement of System</w:t>
            </w:r>
          </w:p>
          <w:p w14:paraId="644C4167" w14:textId="38EDF235" w:rsidR="009618FA" w:rsidRPr="009A64AC" w:rsidRDefault="003E1D16" w:rsidP="003E1D16">
            <w:pP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lang w:val="en-US"/>
              </w:rPr>
              <w:t xml:space="preserve">OPEX: </w:t>
            </w:r>
            <w:r w:rsidR="00961640" w:rsidRPr="009A64AC">
              <w:rPr>
                <w:rFonts w:ascii="Times New Roman" w:hAnsi="Times New Roman" w:cs="Times New Roman"/>
                <w:color w:val="000000" w:themeColor="text1"/>
                <w:sz w:val="20"/>
                <w:szCs w:val="20"/>
                <w:lang w:val="en-US"/>
              </w:rPr>
              <w:t xml:space="preserve">Conversion Efficiency </w:t>
            </w:r>
          </w:p>
        </w:tc>
        <w:tc>
          <w:tcPr>
            <w:tcW w:w="2977" w:type="dxa"/>
          </w:tcPr>
          <w:p w14:paraId="79C481CC" w14:textId="77777777" w:rsidR="008632F5" w:rsidRPr="009A64AC" w:rsidRDefault="008632F5">
            <w:pPr>
              <w:rPr>
                <w:rFonts w:ascii="Times New Roman" w:hAnsi="Times New Roman" w:cs="Times New Roman"/>
                <w:color w:val="000000" w:themeColor="text1"/>
                <w:sz w:val="20"/>
                <w:szCs w:val="20"/>
                <w:lang w:val="en-US"/>
              </w:rPr>
            </w:pPr>
          </w:p>
          <w:p w14:paraId="32F8331C" w14:textId="6BFB547C" w:rsidR="003E1D16" w:rsidRDefault="003E1D16" w:rsidP="003E1D16">
            <w:pP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lang w:val="en-US"/>
              </w:rPr>
              <w:t xml:space="preserve">CAPEX: </w:t>
            </w:r>
            <w:r w:rsidRPr="009A64AC">
              <w:rPr>
                <w:rFonts w:ascii="Times New Roman" w:hAnsi="Times New Roman" w:cs="Times New Roman"/>
                <w:color w:val="000000" w:themeColor="text1"/>
                <w:sz w:val="20"/>
                <w:szCs w:val="20"/>
                <w:lang w:val="en-US"/>
              </w:rPr>
              <w:t>Regulatory Framework</w:t>
            </w:r>
          </w:p>
          <w:p w14:paraId="1FB10494" w14:textId="23FE60EB" w:rsidR="003E1D16" w:rsidRDefault="003E1D16" w:rsidP="003E1D16">
            <w:pPr>
              <w:rPr>
                <w:rFonts w:ascii="Times New Roman" w:hAnsi="Times New Roman" w:cs="Times New Roman"/>
                <w:color w:val="000000" w:themeColor="text1"/>
                <w:sz w:val="20"/>
                <w:szCs w:val="20"/>
                <w:lang w:val="en-US"/>
              </w:rPr>
            </w:pPr>
            <w:r>
              <w:rPr>
                <w:rFonts w:ascii="Times New Roman" w:hAnsi="Times New Roman" w:cs="Times New Roman"/>
                <w:color w:val="000000" w:themeColor="text1"/>
                <w:sz w:val="20"/>
                <w:szCs w:val="20"/>
                <w:lang w:val="en-US"/>
              </w:rPr>
              <w:t xml:space="preserve">OPEX: </w:t>
            </w:r>
            <w:r w:rsidRPr="009A64AC">
              <w:rPr>
                <w:rFonts w:ascii="Times New Roman" w:hAnsi="Times New Roman" w:cs="Times New Roman"/>
                <w:color w:val="000000" w:themeColor="text1"/>
                <w:sz w:val="20"/>
                <w:szCs w:val="20"/>
                <w:lang w:val="en-US"/>
              </w:rPr>
              <w:t xml:space="preserve">Regulatory Framework </w:t>
            </w:r>
            <w:r w:rsidR="00961640" w:rsidRPr="009A64AC">
              <w:rPr>
                <w:rFonts w:ascii="Times New Roman" w:hAnsi="Times New Roman" w:cs="Times New Roman"/>
                <w:color w:val="000000" w:themeColor="text1"/>
                <w:sz w:val="20"/>
                <w:szCs w:val="20"/>
                <w:lang w:val="en-US"/>
              </w:rPr>
              <w:t xml:space="preserve">Profit / Savings via Application </w:t>
            </w:r>
          </w:p>
          <w:p w14:paraId="5C75EF9F" w14:textId="509129BF" w:rsidR="009618FA" w:rsidRPr="009A64AC" w:rsidRDefault="009618FA" w:rsidP="003E1D16">
            <w:pPr>
              <w:rPr>
                <w:rFonts w:ascii="Times New Roman" w:hAnsi="Times New Roman" w:cs="Times New Roman"/>
                <w:color w:val="000000" w:themeColor="text1"/>
                <w:sz w:val="20"/>
                <w:szCs w:val="20"/>
                <w:lang w:val="en-US"/>
              </w:rPr>
            </w:pPr>
          </w:p>
        </w:tc>
      </w:tr>
    </w:tbl>
    <w:p w14:paraId="2806AA11" w14:textId="2FB4914A" w:rsidR="004A49E2" w:rsidRPr="009A64AC" w:rsidRDefault="004A49E2" w:rsidP="004A49E2">
      <w:pPr>
        <w:rPr>
          <w:rFonts w:ascii="Times New Roman" w:hAnsi="Times New Roman" w:cs="Times New Roman"/>
          <w:lang w:val="en-US"/>
        </w:rPr>
      </w:pPr>
    </w:p>
    <w:p w14:paraId="3D36A3A4" w14:textId="7B1A8C8F" w:rsidR="004A49E2" w:rsidRPr="009A64AC" w:rsidRDefault="004A49E2" w:rsidP="00DF3B7D">
      <w:pPr>
        <w:pStyle w:val="Heading1"/>
        <w:rPr>
          <w:rFonts w:cs="Times New Roman"/>
          <w:lang w:val="en-US"/>
        </w:rPr>
      </w:pPr>
      <w:bookmarkStart w:id="28" w:name="_Toc528918101"/>
      <w:bookmarkStart w:id="29" w:name="_Toc529169827"/>
      <w:bookmarkStart w:id="30" w:name="_Toc529178826"/>
      <w:bookmarkStart w:id="31" w:name="_Toc529178941"/>
      <w:proofErr w:type="spellStart"/>
      <w:r w:rsidRPr="009A64AC">
        <w:rPr>
          <w:rFonts w:cs="Times New Roman"/>
          <w:lang w:val="en-US"/>
        </w:rPr>
        <w:t>Input/Output</w:t>
      </w:r>
      <w:bookmarkEnd w:id="28"/>
      <w:bookmarkEnd w:id="29"/>
      <w:bookmarkEnd w:id="30"/>
      <w:bookmarkEnd w:id="31"/>
      <w:proofErr w:type="spellEnd"/>
    </w:p>
    <w:p w14:paraId="780192A1" w14:textId="6D26974C" w:rsidR="004A4C6C" w:rsidRPr="00743BE0" w:rsidRDefault="004A4C6C" w:rsidP="004A4C6C">
      <w:pPr>
        <w:rPr>
          <w:rFonts w:ascii="Times New Roman" w:hAnsi="Times New Roman" w:cs="Times New Roman"/>
          <w:sz w:val="24"/>
          <w:lang w:val="en-US"/>
        </w:rPr>
      </w:pPr>
      <w:r w:rsidRPr="00743BE0">
        <w:rPr>
          <w:rFonts w:ascii="Times New Roman" w:hAnsi="Times New Roman" w:cs="Times New Roman"/>
          <w:sz w:val="24"/>
          <w:lang w:val="en-US"/>
        </w:rPr>
        <w:t xml:space="preserve">Input and output are both electricity. Electricity is converted to electrochemical energy during charge and converted back to electricity during discharge in the reaction process described </w:t>
      </w:r>
      <w:r w:rsidR="00064652" w:rsidRPr="00743BE0">
        <w:rPr>
          <w:rFonts w:ascii="Times New Roman" w:hAnsi="Times New Roman" w:cs="Times New Roman"/>
          <w:sz w:val="24"/>
          <w:lang w:val="en-US"/>
        </w:rPr>
        <w:t xml:space="preserve">in the section: </w:t>
      </w:r>
      <w:r w:rsidR="00657EF0" w:rsidRPr="00743BE0">
        <w:rPr>
          <w:rFonts w:ascii="Times New Roman" w:hAnsi="Times New Roman" w:cs="Times New Roman"/>
          <w:sz w:val="24"/>
          <w:lang w:val="en-US"/>
        </w:rPr>
        <w:t>“</w:t>
      </w:r>
      <w:r w:rsidR="00064652" w:rsidRPr="00743BE0">
        <w:rPr>
          <w:rFonts w:ascii="Times New Roman" w:hAnsi="Times New Roman" w:cs="Times New Roman"/>
          <w:sz w:val="24"/>
          <w:lang w:val="en-US"/>
        </w:rPr>
        <w:t>How does a Lithium-ion battery work?</w:t>
      </w:r>
      <w:proofErr w:type="gramStart"/>
      <w:r w:rsidR="00657EF0" w:rsidRPr="00743BE0">
        <w:rPr>
          <w:rFonts w:ascii="Times New Roman" w:hAnsi="Times New Roman" w:cs="Times New Roman"/>
          <w:sz w:val="24"/>
          <w:lang w:val="en-US"/>
        </w:rPr>
        <w:t>”</w:t>
      </w:r>
      <w:r w:rsidRPr="00743BE0">
        <w:rPr>
          <w:rFonts w:ascii="Times New Roman" w:hAnsi="Times New Roman" w:cs="Times New Roman"/>
          <w:sz w:val="24"/>
          <w:lang w:val="en-US"/>
        </w:rPr>
        <w:t>.</w:t>
      </w:r>
      <w:proofErr w:type="gramEnd"/>
    </w:p>
    <w:p w14:paraId="78F06ECF" w14:textId="09DFCC6B" w:rsidR="004A49E2" w:rsidRPr="009A64AC" w:rsidRDefault="004A49E2" w:rsidP="00DF3B7D">
      <w:pPr>
        <w:pStyle w:val="Heading1"/>
        <w:rPr>
          <w:rFonts w:cs="Times New Roman"/>
          <w:lang w:val="en-US"/>
        </w:rPr>
      </w:pPr>
      <w:bookmarkStart w:id="32" w:name="_Toc528918102"/>
      <w:bookmarkStart w:id="33" w:name="_Toc529169828"/>
      <w:bookmarkStart w:id="34" w:name="_Toc529178827"/>
      <w:bookmarkStart w:id="35" w:name="_Toc529178942"/>
      <w:r w:rsidRPr="009A64AC">
        <w:rPr>
          <w:rFonts w:cs="Times New Roman"/>
          <w:lang w:val="en-US"/>
        </w:rPr>
        <w:lastRenderedPageBreak/>
        <w:t>Energy efficiency and losses</w:t>
      </w:r>
      <w:bookmarkEnd w:id="32"/>
      <w:bookmarkEnd w:id="33"/>
      <w:bookmarkEnd w:id="34"/>
      <w:bookmarkEnd w:id="35"/>
    </w:p>
    <w:p w14:paraId="7B486AFD" w14:textId="01577EAA" w:rsidR="00F80B02" w:rsidRPr="000F0F1C" w:rsidRDefault="00FE5C6B" w:rsidP="004A49E2">
      <w:pPr>
        <w:rPr>
          <w:rFonts w:ascii="Times New Roman" w:hAnsi="Times New Roman" w:cs="Times New Roman"/>
          <w:sz w:val="24"/>
          <w:lang w:val="en-US"/>
        </w:rPr>
      </w:pPr>
      <w:r w:rsidRPr="000F0F1C">
        <w:rPr>
          <w:rFonts w:ascii="Times New Roman" w:hAnsi="Times New Roman" w:cs="Times New Roman"/>
          <w:noProof/>
          <w:sz w:val="24"/>
          <w:lang w:val="en-US"/>
        </w:rPr>
        <w:t xml:space="preserve">The losses in </w:t>
      </w:r>
      <w:r w:rsidR="00B578D5" w:rsidRPr="000F0F1C">
        <w:rPr>
          <w:rFonts w:ascii="Times New Roman" w:hAnsi="Times New Roman" w:cs="Times New Roman"/>
          <w:noProof/>
          <w:sz w:val="24"/>
          <w:lang w:val="en-US"/>
        </w:rPr>
        <w:t xml:space="preserve">a </w:t>
      </w:r>
      <w:r w:rsidRPr="000F0F1C">
        <w:rPr>
          <w:rFonts w:ascii="Times New Roman" w:hAnsi="Times New Roman" w:cs="Times New Roman"/>
          <w:sz w:val="24"/>
          <w:lang w:val="en-US"/>
        </w:rPr>
        <w:t>LIB</w:t>
      </w:r>
      <w:r w:rsidR="00B578D5" w:rsidRPr="000F0F1C">
        <w:rPr>
          <w:rFonts w:ascii="Times New Roman" w:hAnsi="Times New Roman" w:cs="Times New Roman"/>
          <w:sz w:val="24"/>
          <w:lang w:val="en-US"/>
        </w:rPr>
        <w:t xml:space="preserve"> can be divided in operational and standby losses. </w:t>
      </w:r>
      <w:r w:rsidR="00F80B02" w:rsidRPr="000F0F1C">
        <w:rPr>
          <w:rFonts w:ascii="Times New Roman" w:hAnsi="Times New Roman" w:cs="Times New Roman"/>
          <w:sz w:val="24"/>
          <w:lang w:val="en-US"/>
        </w:rPr>
        <w:t>The operation</w:t>
      </w:r>
      <w:r w:rsidR="00523957">
        <w:rPr>
          <w:rFonts w:ascii="Times New Roman" w:hAnsi="Times New Roman" w:cs="Times New Roman"/>
          <w:sz w:val="24"/>
          <w:lang w:val="en-US"/>
        </w:rPr>
        <w:t>al</w:t>
      </w:r>
      <w:r w:rsidR="00F80B02" w:rsidRPr="000F0F1C">
        <w:rPr>
          <w:rFonts w:ascii="Times New Roman" w:hAnsi="Times New Roman" w:cs="Times New Roman"/>
          <w:sz w:val="24"/>
          <w:lang w:val="en-US"/>
        </w:rPr>
        <w:t xml:space="preserve"> losses are first described, then the standby losses. </w:t>
      </w:r>
      <w:r w:rsidR="00ED2517">
        <w:rPr>
          <w:rFonts w:ascii="Times New Roman" w:hAnsi="Times New Roman" w:cs="Times New Roman"/>
          <w:sz w:val="24"/>
          <w:lang w:val="en-US"/>
        </w:rPr>
        <w:t xml:space="preserve">Finally the energy efficiency is discussed. </w:t>
      </w:r>
    </w:p>
    <w:p w14:paraId="38CB5016" w14:textId="77D12C1C" w:rsidR="004F0F93" w:rsidRDefault="004F0F93" w:rsidP="007D441B">
      <w:pPr>
        <w:tabs>
          <w:tab w:val="left" w:pos="6946"/>
        </w:tabs>
        <w:spacing w:after="0"/>
        <w:rPr>
          <w:rFonts w:ascii="Times New Roman" w:hAnsi="Times New Roman" w:cs="Times New Roman"/>
          <w:lang w:val="en-US"/>
        </w:rPr>
      </w:pPr>
      <w:bookmarkStart w:id="36" w:name="_Toc528918103"/>
      <w:bookmarkStart w:id="37" w:name="_Toc529169829"/>
      <w:bookmarkStart w:id="38" w:name="_Toc529178828"/>
      <w:bookmarkStart w:id="39" w:name="_Toc529178943"/>
      <w:r>
        <w:rPr>
          <w:rStyle w:val="Heading2Char"/>
          <w:rFonts w:ascii="Times New Roman" w:hAnsi="Times New Roman" w:cs="Times New Roman"/>
        </w:rPr>
        <w:t>Operational losses</w:t>
      </w:r>
      <w:bookmarkEnd w:id="36"/>
      <w:bookmarkEnd w:id="37"/>
      <w:bookmarkEnd w:id="38"/>
      <w:bookmarkEnd w:id="39"/>
    </w:p>
    <w:p w14:paraId="4EF85565" w14:textId="77777777" w:rsidR="00F03EFB" w:rsidRDefault="00AE0D8F" w:rsidP="004A49E2">
      <w:pPr>
        <w:rPr>
          <w:rFonts w:ascii="Times New Roman" w:hAnsi="Times New Roman" w:cs="Times New Roman"/>
          <w:sz w:val="24"/>
          <w:szCs w:val="24"/>
          <w:lang w:val="en-US"/>
        </w:rPr>
      </w:pPr>
      <w:r w:rsidRPr="00443122">
        <w:rPr>
          <w:rFonts w:ascii="Times New Roman" w:hAnsi="Times New Roman" w:cs="Times New Roman"/>
          <w:sz w:val="24"/>
          <w:szCs w:val="24"/>
          <w:lang w:val="en-US"/>
        </w:rPr>
        <w:t xml:space="preserve">The operational </w:t>
      </w:r>
      <w:r w:rsidR="00F03EFB" w:rsidRPr="00443122">
        <w:rPr>
          <w:rFonts w:ascii="Times New Roman" w:hAnsi="Times New Roman" w:cs="Times New Roman"/>
          <w:sz w:val="24"/>
          <w:szCs w:val="24"/>
          <w:lang w:val="en-US"/>
        </w:rPr>
        <w:t xml:space="preserve">losses </w:t>
      </w:r>
      <w:r w:rsidR="000E1C4A" w:rsidRPr="000E1C4A">
        <w:rPr>
          <w:rFonts w:ascii="Times New Roman" w:hAnsi="Times New Roman" w:cs="Times New Roman"/>
          <w:sz w:val="24"/>
          <w:szCs w:val="24"/>
          <w:lang w:val="en-US"/>
        </w:rPr>
        <w:t xml:space="preserve">occur </w:t>
      </w:r>
      <w:r w:rsidR="00F03EFB">
        <w:rPr>
          <w:rFonts w:ascii="Times New Roman" w:hAnsi="Times New Roman" w:cs="Times New Roman"/>
          <w:sz w:val="24"/>
          <w:szCs w:val="24"/>
          <w:lang w:val="en-US"/>
        </w:rPr>
        <w:t xml:space="preserve">when energy is discharged or charged to/from </w:t>
      </w:r>
      <w:r w:rsidR="000E1C4A" w:rsidRPr="000E1C4A">
        <w:rPr>
          <w:rFonts w:ascii="Times New Roman" w:hAnsi="Times New Roman" w:cs="Times New Roman"/>
          <w:sz w:val="24"/>
          <w:szCs w:val="24"/>
          <w:lang w:val="en-US"/>
        </w:rPr>
        <w:t xml:space="preserve">the grid. It includes the conversion losses in the battery and </w:t>
      </w:r>
      <w:r w:rsidR="00F03EFB">
        <w:rPr>
          <w:rFonts w:ascii="Times New Roman" w:hAnsi="Times New Roman" w:cs="Times New Roman"/>
          <w:sz w:val="24"/>
          <w:szCs w:val="24"/>
          <w:lang w:val="en-US"/>
        </w:rPr>
        <w:t xml:space="preserve">the </w:t>
      </w:r>
      <w:r w:rsidR="000E1C4A" w:rsidRPr="000E1C4A">
        <w:rPr>
          <w:rFonts w:ascii="Times New Roman" w:hAnsi="Times New Roman" w:cs="Times New Roman"/>
          <w:sz w:val="24"/>
          <w:szCs w:val="24"/>
          <w:lang w:val="en-US"/>
        </w:rPr>
        <w:t>power electronics</w:t>
      </w:r>
      <w:r w:rsidR="00F03EFB">
        <w:rPr>
          <w:rFonts w:ascii="Times New Roman" w:hAnsi="Times New Roman" w:cs="Times New Roman"/>
          <w:sz w:val="24"/>
          <w:szCs w:val="24"/>
          <w:lang w:val="en-US"/>
        </w:rPr>
        <w:t xml:space="preserve">. </w:t>
      </w:r>
    </w:p>
    <w:p w14:paraId="1B735E5F" w14:textId="1C7E9386" w:rsidR="00F80B02" w:rsidRPr="00443122" w:rsidRDefault="00A66154" w:rsidP="004A49E2">
      <w:pPr>
        <w:rPr>
          <w:rFonts w:ascii="Times New Roman" w:hAnsi="Times New Roman" w:cs="Times New Roman"/>
          <w:sz w:val="24"/>
          <w:szCs w:val="24"/>
          <w:lang w:val="en-US"/>
        </w:rPr>
      </w:pPr>
      <w:r>
        <w:rPr>
          <w:rFonts w:ascii="Times New Roman" w:hAnsi="Times New Roman" w:cs="Times New Roman"/>
          <w:sz w:val="24"/>
          <w:szCs w:val="24"/>
          <w:lang w:val="en-US"/>
        </w:rPr>
        <w:t>W</w:t>
      </w:r>
      <w:r w:rsidRPr="00443122">
        <w:rPr>
          <w:rFonts w:ascii="Times New Roman" w:hAnsi="Times New Roman" w:cs="Times New Roman"/>
          <w:sz w:val="24"/>
          <w:szCs w:val="24"/>
          <w:lang w:val="en-US"/>
        </w:rPr>
        <w:t xml:space="preserve">hen the LIB is not </w:t>
      </w:r>
      <w:r>
        <w:rPr>
          <w:rFonts w:ascii="Times New Roman" w:hAnsi="Times New Roman" w:cs="Times New Roman"/>
          <w:sz w:val="24"/>
          <w:szCs w:val="24"/>
          <w:lang w:val="en-US"/>
        </w:rPr>
        <w:t xml:space="preserve">operated </w:t>
      </w:r>
      <w:r w:rsidRPr="00443122">
        <w:rPr>
          <w:rFonts w:ascii="Times New Roman" w:hAnsi="Times New Roman" w:cs="Times New Roman"/>
          <w:sz w:val="24"/>
          <w:szCs w:val="24"/>
          <w:lang w:val="en-US"/>
        </w:rPr>
        <w:t>its</w:t>
      </w:r>
      <w:r>
        <w:rPr>
          <w:rFonts w:ascii="Times New Roman" w:hAnsi="Times New Roman" w:cs="Times New Roman"/>
          <w:sz w:val="24"/>
          <w:szCs w:val="24"/>
          <w:lang w:val="en-US"/>
        </w:rPr>
        <w:t xml:space="preserve"> voltage </w:t>
      </w:r>
      <w:r w:rsidRPr="000F0F1C">
        <w:rPr>
          <w:rFonts w:ascii="Times New Roman" w:hAnsi="Times New Roman" w:cs="Times New Roman"/>
          <w:i/>
          <w:sz w:val="24"/>
          <w:szCs w:val="24"/>
          <w:lang w:val="en-US"/>
        </w:rPr>
        <w:t>U</w:t>
      </w:r>
      <w:r>
        <w:rPr>
          <w:rFonts w:ascii="Times New Roman" w:hAnsi="Times New Roman" w:cs="Times New Roman"/>
          <w:sz w:val="24"/>
          <w:szCs w:val="24"/>
          <w:lang w:val="en-US"/>
        </w:rPr>
        <w:t xml:space="preserve"> equals the</w:t>
      </w:r>
      <w:r w:rsidRPr="00443122">
        <w:rPr>
          <w:rFonts w:ascii="Times New Roman" w:hAnsi="Times New Roman" w:cs="Times New Roman"/>
          <w:sz w:val="24"/>
          <w:szCs w:val="24"/>
          <w:lang w:val="en-US"/>
        </w:rPr>
        <w:t xml:space="preserve"> </w:t>
      </w:r>
      <w:r w:rsidRPr="00443122">
        <w:rPr>
          <w:rFonts w:ascii="Times New Roman" w:hAnsi="Times New Roman" w:cs="Times New Roman"/>
          <w:i/>
          <w:sz w:val="24"/>
          <w:szCs w:val="24"/>
          <w:lang w:val="en-US"/>
        </w:rPr>
        <w:t>EMF</w:t>
      </w:r>
      <w:r w:rsidRPr="00443122">
        <w:rPr>
          <w:rFonts w:ascii="Times New Roman" w:hAnsi="Times New Roman" w:cs="Times New Roman"/>
          <w:sz w:val="24"/>
          <w:szCs w:val="24"/>
          <w:lang w:val="en-US"/>
        </w:rPr>
        <w:t xml:space="preserve">. </w:t>
      </w:r>
      <w:r>
        <w:rPr>
          <w:rFonts w:ascii="Times New Roman" w:hAnsi="Times New Roman" w:cs="Times New Roman"/>
          <w:sz w:val="24"/>
          <w:szCs w:val="24"/>
          <w:lang w:val="en-US"/>
        </w:rPr>
        <w:t>However, d</w:t>
      </w:r>
      <w:r w:rsidR="00F03EFB" w:rsidRPr="00443122">
        <w:rPr>
          <w:rFonts w:ascii="Times New Roman" w:hAnsi="Times New Roman" w:cs="Times New Roman"/>
          <w:sz w:val="24"/>
          <w:szCs w:val="24"/>
          <w:lang w:val="en-US"/>
        </w:rPr>
        <w:t xml:space="preserve">uring discharge or charge the battery voltage </w:t>
      </w:r>
      <w:r w:rsidR="00F03EFB" w:rsidRPr="00443122">
        <w:rPr>
          <w:rFonts w:ascii="Times New Roman" w:hAnsi="Times New Roman" w:cs="Times New Roman"/>
          <w:i/>
          <w:sz w:val="24"/>
          <w:szCs w:val="24"/>
          <w:lang w:val="en-US"/>
        </w:rPr>
        <w:t>U</w:t>
      </w:r>
      <w:r w:rsidR="00F03EFB" w:rsidRPr="00443122">
        <w:rPr>
          <w:rFonts w:ascii="Times New Roman" w:hAnsi="Times New Roman" w:cs="Times New Roman"/>
          <w:sz w:val="24"/>
          <w:szCs w:val="24"/>
          <w:lang w:val="en-US"/>
        </w:rPr>
        <w:t xml:space="preserve"> change due to current </w:t>
      </w:r>
      <w:proofErr w:type="gramStart"/>
      <w:r w:rsidR="00F03EFB" w:rsidRPr="00443122">
        <w:rPr>
          <w:rFonts w:ascii="Times New Roman" w:hAnsi="Times New Roman" w:cs="Times New Roman"/>
          <w:i/>
          <w:sz w:val="24"/>
          <w:szCs w:val="24"/>
          <w:lang w:val="en-US"/>
        </w:rPr>
        <w:t>I</w:t>
      </w:r>
      <w:proofErr w:type="gramEnd"/>
      <w:r w:rsidR="00F03EFB" w:rsidRPr="00443122">
        <w:rPr>
          <w:rFonts w:ascii="Times New Roman" w:hAnsi="Times New Roman" w:cs="Times New Roman"/>
          <w:sz w:val="24"/>
          <w:szCs w:val="24"/>
          <w:lang w:val="en-US"/>
        </w:rPr>
        <w:t xml:space="preserve"> passing the internal resistance </w:t>
      </w:r>
      <w:proofErr w:type="spellStart"/>
      <w:r w:rsidR="00F03EFB" w:rsidRPr="00443122">
        <w:rPr>
          <w:rFonts w:ascii="Times New Roman" w:hAnsi="Times New Roman" w:cs="Times New Roman"/>
          <w:i/>
          <w:sz w:val="24"/>
          <w:szCs w:val="24"/>
          <w:lang w:val="en-US"/>
        </w:rPr>
        <w:t>R</w:t>
      </w:r>
      <w:r w:rsidR="00F03EFB" w:rsidRPr="00443122">
        <w:rPr>
          <w:rFonts w:ascii="Times New Roman" w:hAnsi="Times New Roman" w:cs="Times New Roman"/>
          <w:sz w:val="24"/>
          <w:szCs w:val="24"/>
          <w:vertAlign w:val="subscript"/>
          <w:lang w:val="en-US"/>
        </w:rPr>
        <w:t>i</w:t>
      </w:r>
      <w:proofErr w:type="spellEnd"/>
      <w:r w:rsidR="00F03EFB">
        <w:rPr>
          <w:rFonts w:ascii="Times New Roman" w:hAnsi="Times New Roman" w:cs="Times New Roman"/>
          <w:sz w:val="24"/>
          <w:szCs w:val="24"/>
          <w:lang w:val="en-US"/>
        </w:rPr>
        <w:t xml:space="preserve"> in the LIB. </w:t>
      </w:r>
      <w:r w:rsidR="003074D8" w:rsidRPr="00443122">
        <w:rPr>
          <w:rFonts w:ascii="Times New Roman" w:hAnsi="Times New Roman" w:cs="Times New Roman"/>
          <w:sz w:val="24"/>
          <w:szCs w:val="24"/>
          <w:lang w:val="en-US"/>
        </w:rPr>
        <w:t xml:space="preserve">The voltage change </w:t>
      </w:r>
      <w:r w:rsidR="00F04FC3" w:rsidRPr="00F04FC3">
        <w:rPr>
          <w:rFonts w:ascii="Symbol" w:hAnsi="Symbol" w:cs="Times New Roman"/>
          <w:sz w:val="24"/>
          <w:szCs w:val="24"/>
          <w:lang w:val="en-US"/>
        </w:rPr>
        <w:t></w:t>
      </w:r>
      <w:r w:rsidR="00F04FC3" w:rsidRPr="00443122">
        <w:rPr>
          <w:rFonts w:ascii="Times New Roman" w:hAnsi="Times New Roman" w:cs="Times New Roman"/>
          <w:i/>
          <w:sz w:val="24"/>
          <w:szCs w:val="24"/>
          <w:lang w:val="en-US"/>
        </w:rPr>
        <w:t>U</w:t>
      </w:r>
      <w:r w:rsidR="00F04FC3" w:rsidRPr="00443122">
        <w:rPr>
          <w:rFonts w:ascii="Times New Roman" w:hAnsi="Times New Roman" w:cs="Times New Roman"/>
          <w:sz w:val="24"/>
          <w:szCs w:val="24"/>
          <w:lang w:val="en-US"/>
        </w:rPr>
        <w:t xml:space="preserve"> </w:t>
      </w:r>
      <w:r w:rsidR="00112AF3" w:rsidRPr="00443122">
        <w:rPr>
          <w:rFonts w:ascii="Times New Roman" w:hAnsi="Times New Roman" w:cs="Times New Roman"/>
          <w:sz w:val="24"/>
          <w:szCs w:val="24"/>
          <w:lang w:val="en-US"/>
        </w:rPr>
        <w:t xml:space="preserve">can </w:t>
      </w:r>
      <w:r w:rsidR="009612A9">
        <w:rPr>
          <w:rFonts w:ascii="Times New Roman" w:hAnsi="Times New Roman" w:cs="Times New Roman"/>
          <w:sz w:val="24"/>
          <w:szCs w:val="24"/>
          <w:lang w:val="en-US"/>
        </w:rPr>
        <w:t>be described using Ohms law</w:t>
      </w:r>
      <w:r w:rsidR="003074D8" w:rsidRPr="00443122">
        <w:rPr>
          <w:rFonts w:ascii="Times New Roman" w:hAnsi="Times New Roman" w:cs="Times New Roman"/>
          <w:sz w:val="24"/>
          <w:szCs w:val="24"/>
          <w:lang w:val="en-US"/>
        </w:rPr>
        <w:t xml:space="preserve">  </w:t>
      </w:r>
    </w:p>
    <w:p w14:paraId="1F1BF241" w14:textId="09235448" w:rsidR="003074D8" w:rsidRPr="00443122" w:rsidRDefault="003074D8" w:rsidP="003074D8">
      <w:pPr>
        <w:pStyle w:val="MTDisplayEquation"/>
        <w:rPr>
          <w:sz w:val="24"/>
          <w:szCs w:val="24"/>
        </w:rPr>
      </w:pPr>
      <w:r w:rsidRPr="00443122">
        <w:rPr>
          <w:sz w:val="24"/>
          <w:szCs w:val="24"/>
        </w:rPr>
        <w:tab/>
      </w:r>
      <w:r w:rsidR="00E32665" w:rsidRPr="00E32665">
        <w:rPr>
          <w:noProof/>
          <w:position w:val="-12"/>
          <w:sz w:val="24"/>
          <w:szCs w:val="24"/>
        </w:rPr>
        <w:object w:dxaOrig="2160" w:dyaOrig="360" w14:anchorId="23968C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08.45pt;height:17.75pt;mso-width-percent:0;mso-height-percent:0;mso-width-percent:0;mso-height-percent:0" o:ole="">
            <v:imagedata r:id="rId19" o:title=""/>
          </v:shape>
          <o:OLEObject Type="Embed" ProgID="Equation.DSMT4" ShapeID="_x0000_i1025" DrawAspect="Content" ObjectID="_1603709458" r:id="rId20"/>
        </w:object>
      </w:r>
      <w:r w:rsidRPr="00443122">
        <w:rPr>
          <w:sz w:val="24"/>
          <w:szCs w:val="24"/>
        </w:rPr>
        <w:t xml:space="preserve"> </w:t>
      </w:r>
      <w:r w:rsidRPr="00443122">
        <w:rPr>
          <w:sz w:val="24"/>
          <w:szCs w:val="24"/>
        </w:rPr>
        <w:tab/>
      </w:r>
      <w:r w:rsidRPr="00443122">
        <w:rPr>
          <w:sz w:val="24"/>
          <w:szCs w:val="24"/>
        </w:rPr>
        <w:fldChar w:fldCharType="begin"/>
      </w:r>
      <w:r w:rsidRPr="00443122">
        <w:rPr>
          <w:sz w:val="24"/>
          <w:szCs w:val="24"/>
        </w:rPr>
        <w:instrText xml:space="preserve"> MACROBUTTON MTPlaceRef \* MERGEFORMAT </w:instrText>
      </w:r>
      <w:r w:rsidRPr="00443122">
        <w:rPr>
          <w:sz w:val="24"/>
          <w:szCs w:val="24"/>
        </w:rPr>
        <w:fldChar w:fldCharType="begin"/>
      </w:r>
      <w:r w:rsidRPr="00443122">
        <w:rPr>
          <w:sz w:val="24"/>
          <w:szCs w:val="24"/>
        </w:rPr>
        <w:instrText xml:space="preserve"> SEQ MTEqn \h \* MERGEFORMAT </w:instrText>
      </w:r>
      <w:r w:rsidRPr="00443122">
        <w:rPr>
          <w:sz w:val="24"/>
          <w:szCs w:val="24"/>
        </w:rPr>
        <w:fldChar w:fldCharType="end"/>
      </w:r>
      <w:r w:rsidRPr="00443122">
        <w:rPr>
          <w:sz w:val="24"/>
          <w:szCs w:val="24"/>
        </w:rPr>
        <w:instrText>(</w:instrText>
      </w:r>
      <w:r w:rsidR="00757108" w:rsidRPr="00443122">
        <w:rPr>
          <w:sz w:val="24"/>
          <w:szCs w:val="24"/>
        </w:rPr>
        <w:fldChar w:fldCharType="begin"/>
      </w:r>
      <w:r w:rsidR="00757108" w:rsidRPr="00443122">
        <w:rPr>
          <w:sz w:val="24"/>
          <w:szCs w:val="24"/>
        </w:rPr>
        <w:instrText xml:space="preserve"> SEQ MTEqn \c \* Arabic \* MERGEFORMAT </w:instrText>
      </w:r>
      <w:r w:rsidR="00757108" w:rsidRPr="00443122">
        <w:rPr>
          <w:sz w:val="24"/>
          <w:szCs w:val="24"/>
        </w:rPr>
        <w:fldChar w:fldCharType="separate"/>
      </w:r>
      <w:r w:rsidR="00E60026">
        <w:rPr>
          <w:noProof/>
          <w:sz w:val="24"/>
          <w:szCs w:val="24"/>
        </w:rPr>
        <w:instrText>1</w:instrText>
      </w:r>
      <w:r w:rsidR="00757108" w:rsidRPr="00443122">
        <w:rPr>
          <w:noProof/>
          <w:sz w:val="24"/>
          <w:szCs w:val="24"/>
        </w:rPr>
        <w:fldChar w:fldCharType="end"/>
      </w:r>
      <w:r w:rsidRPr="00443122">
        <w:rPr>
          <w:sz w:val="24"/>
          <w:szCs w:val="24"/>
        </w:rPr>
        <w:instrText>)</w:instrText>
      </w:r>
      <w:r w:rsidRPr="00443122">
        <w:rPr>
          <w:sz w:val="24"/>
          <w:szCs w:val="24"/>
        </w:rPr>
        <w:fldChar w:fldCharType="end"/>
      </w:r>
    </w:p>
    <w:p w14:paraId="499F03BA" w14:textId="5CA41726" w:rsidR="00701474" w:rsidRPr="00443122" w:rsidRDefault="009612A9" w:rsidP="004A49E2">
      <w:pPr>
        <w:rPr>
          <w:rFonts w:ascii="Times New Roman" w:hAnsi="Times New Roman" w:cs="Times New Roman"/>
          <w:sz w:val="24"/>
          <w:szCs w:val="24"/>
          <w:lang w:val="en-US"/>
        </w:rPr>
      </w:pPr>
      <w:proofErr w:type="gramStart"/>
      <w:r>
        <w:rPr>
          <w:rFonts w:ascii="Times New Roman" w:hAnsi="Times New Roman" w:cs="Times New Roman"/>
          <w:sz w:val="24"/>
          <w:szCs w:val="24"/>
          <w:lang w:val="en-US"/>
        </w:rPr>
        <w:t>and</w:t>
      </w:r>
      <w:proofErr w:type="gramEnd"/>
      <w:r>
        <w:rPr>
          <w:rFonts w:ascii="Times New Roman" w:hAnsi="Times New Roman" w:cs="Times New Roman"/>
          <w:sz w:val="24"/>
          <w:szCs w:val="24"/>
          <w:lang w:val="en-US"/>
        </w:rPr>
        <w:t xml:space="preserve"> the </w:t>
      </w:r>
      <w:r w:rsidR="00A94088" w:rsidRPr="00443122">
        <w:rPr>
          <w:rFonts w:ascii="Times New Roman" w:hAnsi="Times New Roman" w:cs="Times New Roman"/>
          <w:sz w:val="24"/>
          <w:szCs w:val="24"/>
          <w:lang w:val="en-US"/>
        </w:rPr>
        <w:t>loss</w:t>
      </w:r>
      <w:r w:rsidR="00701474" w:rsidRPr="00443122">
        <w:rPr>
          <w:rFonts w:ascii="Times New Roman" w:hAnsi="Times New Roman" w:cs="Times New Roman"/>
          <w:sz w:val="24"/>
          <w:szCs w:val="24"/>
          <w:lang w:val="en-US"/>
        </w:rPr>
        <w:t xml:space="preserve"> </w:t>
      </w:r>
      <w:r w:rsidR="00A66154">
        <w:rPr>
          <w:rFonts w:ascii="Times New Roman" w:hAnsi="Times New Roman" w:cs="Times New Roman"/>
          <w:sz w:val="24"/>
          <w:szCs w:val="24"/>
          <w:lang w:val="en-US"/>
        </w:rPr>
        <w:t xml:space="preserve">in the internal resistance </w:t>
      </w:r>
      <w:r>
        <w:rPr>
          <w:rFonts w:ascii="Times New Roman" w:hAnsi="Times New Roman" w:cs="Times New Roman"/>
          <w:sz w:val="24"/>
          <w:szCs w:val="24"/>
          <w:lang w:val="en-US"/>
        </w:rPr>
        <w:t xml:space="preserve">is </w:t>
      </w:r>
      <w:r w:rsidR="00701474" w:rsidRPr="00443122">
        <w:rPr>
          <w:rFonts w:ascii="Times New Roman" w:hAnsi="Times New Roman" w:cs="Times New Roman"/>
          <w:sz w:val="24"/>
          <w:szCs w:val="24"/>
          <w:lang w:val="en-US"/>
        </w:rPr>
        <w:t xml:space="preserve">defined as </w:t>
      </w:r>
    </w:p>
    <w:p w14:paraId="1D9BD571" w14:textId="68292F70" w:rsidR="00701474" w:rsidRPr="00443122" w:rsidRDefault="00701474" w:rsidP="00701474">
      <w:pPr>
        <w:pStyle w:val="MTDisplayEquation"/>
        <w:rPr>
          <w:sz w:val="24"/>
          <w:szCs w:val="24"/>
        </w:rPr>
      </w:pPr>
      <w:r w:rsidRPr="00443122">
        <w:rPr>
          <w:sz w:val="24"/>
          <w:szCs w:val="24"/>
        </w:rPr>
        <w:tab/>
      </w:r>
      <w:r w:rsidR="00E32665" w:rsidRPr="00E32665">
        <w:rPr>
          <w:noProof/>
          <w:position w:val="-12"/>
          <w:sz w:val="24"/>
          <w:szCs w:val="24"/>
        </w:rPr>
        <w:object w:dxaOrig="1740" w:dyaOrig="380" w14:anchorId="20890ABB">
          <v:shape id="_x0000_i1026" type="#_x0000_t75" alt="" style="width:86.95pt;height:18.7pt;mso-width-percent:0;mso-height-percent:0;mso-width-percent:0;mso-height-percent:0" o:ole="">
            <v:imagedata r:id="rId21" o:title=""/>
          </v:shape>
          <o:OLEObject Type="Embed" ProgID="Equation.DSMT4" ShapeID="_x0000_i1026" DrawAspect="Content" ObjectID="_1603709459" r:id="rId22"/>
        </w:object>
      </w:r>
      <w:r w:rsidRPr="00443122">
        <w:rPr>
          <w:sz w:val="24"/>
          <w:szCs w:val="24"/>
        </w:rPr>
        <w:t xml:space="preserve"> </w:t>
      </w:r>
      <w:r w:rsidRPr="00443122">
        <w:rPr>
          <w:sz w:val="24"/>
          <w:szCs w:val="24"/>
        </w:rPr>
        <w:tab/>
      </w:r>
      <w:r w:rsidRPr="00443122">
        <w:rPr>
          <w:sz w:val="24"/>
          <w:szCs w:val="24"/>
        </w:rPr>
        <w:fldChar w:fldCharType="begin"/>
      </w:r>
      <w:r w:rsidRPr="00443122">
        <w:rPr>
          <w:sz w:val="24"/>
          <w:szCs w:val="24"/>
        </w:rPr>
        <w:instrText xml:space="preserve"> MACROBUTTON MTPlaceRef \* MERGEFORMAT </w:instrText>
      </w:r>
      <w:r w:rsidRPr="00443122">
        <w:rPr>
          <w:sz w:val="24"/>
          <w:szCs w:val="24"/>
        </w:rPr>
        <w:fldChar w:fldCharType="begin"/>
      </w:r>
      <w:r w:rsidRPr="00443122">
        <w:rPr>
          <w:sz w:val="24"/>
          <w:szCs w:val="24"/>
        </w:rPr>
        <w:instrText xml:space="preserve"> SEQ MTEqn \h \* MERGEFORMAT </w:instrText>
      </w:r>
      <w:r w:rsidRPr="00443122">
        <w:rPr>
          <w:sz w:val="24"/>
          <w:szCs w:val="24"/>
        </w:rPr>
        <w:fldChar w:fldCharType="end"/>
      </w:r>
      <w:bookmarkStart w:id="40" w:name="ZEqnNum572587"/>
      <w:r w:rsidRPr="00443122">
        <w:rPr>
          <w:sz w:val="24"/>
          <w:szCs w:val="24"/>
        </w:rPr>
        <w:instrText>(</w:instrText>
      </w:r>
      <w:r w:rsidR="00757108" w:rsidRPr="00443122">
        <w:rPr>
          <w:sz w:val="24"/>
          <w:szCs w:val="24"/>
        </w:rPr>
        <w:fldChar w:fldCharType="begin"/>
      </w:r>
      <w:r w:rsidR="00757108" w:rsidRPr="00443122">
        <w:rPr>
          <w:sz w:val="24"/>
          <w:szCs w:val="24"/>
        </w:rPr>
        <w:instrText xml:space="preserve"> SEQ MTEqn \c \* Arabic \* MERGEFORMAT </w:instrText>
      </w:r>
      <w:r w:rsidR="00757108" w:rsidRPr="00443122">
        <w:rPr>
          <w:sz w:val="24"/>
          <w:szCs w:val="24"/>
        </w:rPr>
        <w:fldChar w:fldCharType="separate"/>
      </w:r>
      <w:r w:rsidR="00E60026">
        <w:rPr>
          <w:noProof/>
          <w:sz w:val="24"/>
          <w:szCs w:val="24"/>
        </w:rPr>
        <w:instrText>2</w:instrText>
      </w:r>
      <w:r w:rsidR="00757108" w:rsidRPr="00443122">
        <w:rPr>
          <w:noProof/>
          <w:sz w:val="24"/>
          <w:szCs w:val="24"/>
        </w:rPr>
        <w:fldChar w:fldCharType="end"/>
      </w:r>
      <w:r w:rsidRPr="00443122">
        <w:rPr>
          <w:sz w:val="24"/>
          <w:szCs w:val="24"/>
        </w:rPr>
        <w:instrText>)</w:instrText>
      </w:r>
      <w:bookmarkEnd w:id="40"/>
      <w:r w:rsidRPr="00443122">
        <w:rPr>
          <w:sz w:val="24"/>
          <w:szCs w:val="24"/>
        </w:rPr>
        <w:fldChar w:fldCharType="end"/>
      </w:r>
    </w:p>
    <w:p w14:paraId="1F90D7F4" w14:textId="1E56EF43" w:rsidR="00FA53BC" w:rsidRPr="00595B04" w:rsidRDefault="00F04FC3" w:rsidP="00F21B66">
      <w:pPr>
        <w:rPr>
          <w:rFonts w:ascii="Times New Roman" w:hAnsi="Times New Roman" w:cs="Times New Roman"/>
          <w:i/>
          <w:color w:val="44546A" w:themeColor="text2"/>
          <w:lang w:val="en-US"/>
        </w:rPr>
      </w:pPr>
      <w:r>
        <w:rPr>
          <w:rFonts w:ascii="Times New Roman" w:hAnsi="Times New Roman" w:cs="Times New Roman"/>
          <w:sz w:val="24"/>
          <w:szCs w:val="24"/>
          <w:lang w:val="en-US"/>
        </w:rPr>
        <w:t xml:space="preserve">Equation </w:t>
      </w:r>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 GOTOBUTTON ZEqnNum572587  \* MERGEFORMAT </w:instrText>
      </w:r>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 REF ZEqnNum572587 \* Charformat \! \* MERGEFORMAT </w:instrText>
      </w:r>
      <w:r>
        <w:rPr>
          <w:rFonts w:ascii="Times New Roman" w:hAnsi="Times New Roman" w:cs="Times New Roman"/>
          <w:sz w:val="24"/>
          <w:szCs w:val="24"/>
          <w:lang w:val="en-US"/>
        </w:rPr>
        <w:fldChar w:fldCharType="separate"/>
      </w:r>
      <w:r w:rsidR="00E60026" w:rsidRPr="00E60026">
        <w:rPr>
          <w:rFonts w:ascii="Times New Roman" w:hAnsi="Times New Roman" w:cs="Times New Roman"/>
          <w:sz w:val="24"/>
          <w:szCs w:val="24"/>
          <w:lang w:val="en-US"/>
        </w:rPr>
        <w:instrText>(2)</w:instrTex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explains how </w:t>
      </w:r>
      <w:r w:rsidR="00A66154">
        <w:rPr>
          <w:rFonts w:ascii="Times New Roman" w:hAnsi="Times New Roman" w:cs="Times New Roman"/>
          <w:sz w:val="24"/>
          <w:szCs w:val="24"/>
          <w:lang w:val="en-US"/>
        </w:rPr>
        <w:t>the loss</w:t>
      </w:r>
      <w:r w:rsidR="00A66154" w:rsidRPr="00F04FC3">
        <w:rPr>
          <w:rFonts w:ascii="Times New Roman" w:hAnsi="Times New Roman" w:cs="Times New Roman"/>
          <w:sz w:val="24"/>
          <w:szCs w:val="24"/>
          <w:lang w:val="en-US"/>
        </w:rPr>
        <w:t xml:space="preserve"> increases with increasing current. </w:t>
      </w:r>
    </w:p>
    <w:p w14:paraId="60AC92F5" w14:textId="10DA452B" w:rsidR="00F21B66" w:rsidRPr="001C2971" w:rsidRDefault="00B30429" w:rsidP="00F21B66">
      <w:pPr>
        <w:rPr>
          <w:rFonts w:ascii="Times New Roman" w:hAnsi="Times New Roman" w:cs="Times New Roman"/>
          <w:sz w:val="24"/>
          <w:szCs w:val="24"/>
          <w:lang w:val="en-US"/>
        </w:rPr>
      </w:pPr>
      <w:r>
        <w:rPr>
          <w:rFonts w:ascii="Times New Roman" w:hAnsi="Times New Roman" w:cs="Times New Roman"/>
          <w:sz w:val="24"/>
          <w:lang w:val="en-US"/>
        </w:rPr>
        <w:t xml:space="preserve">The LIB provides a DC current during discharge and needs a DC current input for charging. Before the electricity is sent to the grid the inverter converts the DC current to AC. </w:t>
      </w:r>
      <w:r w:rsidR="00F21B66">
        <w:rPr>
          <w:rFonts w:ascii="Times New Roman" w:hAnsi="Times New Roman" w:cs="Times New Roman"/>
          <w:noProof/>
          <w:sz w:val="24"/>
          <w:szCs w:val="24"/>
          <w:lang w:val="en-US"/>
        </w:rPr>
        <w:t xml:space="preserve">The </w:t>
      </w:r>
      <w:r w:rsidR="00F21B66" w:rsidRPr="00F04FC3">
        <w:rPr>
          <w:rFonts w:ascii="Times New Roman" w:hAnsi="Times New Roman" w:cs="Times New Roman"/>
          <w:sz w:val="24"/>
          <w:szCs w:val="24"/>
          <w:lang w:val="en-US"/>
        </w:rPr>
        <w:t xml:space="preserve">inverter </w:t>
      </w:r>
      <w:r w:rsidR="00F21B66">
        <w:rPr>
          <w:rFonts w:ascii="Times New Roman" w:hAnsi="Times New Roman" w:cs="Times New Roman"/>
          <w:sz w:val="24"/>
          <w:szCs w:val="24"/>
          <w:lang w:val="en-US"/>
        </w:rPr>
        <w:t xml:space="preserve">loss typically </w:t>
      </w:r>
      <w:r w:rsidR="00F21B66">
        <w:rPr>
          <w:rFonts w:ascii="Times New Roman" w:hAnsi="Times New Roman" w:cs="Times New Roman"/>
          <w:sz w:val="24"/>
          <w:lang w:val="en-US"/>
        </w:rPr>
        <w:t xml:space="preserve">increases </w:t>
      </w:r>
      <w:r w:rsidR="00F21B66">
        <w:rPr>
          <w:rFonts w:ascii="Times New Roman" w:hAnsi="Times New Roman" w:cs="Times New Roman"/>
          <w:sz w:val="24"/>
          <w:szCs w:val="24"/>
          <w:lang w:val="en-US"/>
        </w:rPr>
        <w:t xml:space="preserve">gradually </w:t>
      </w:r>
      <w:r w:rsidR="00F21B66">
        <w:rPr>
          <w:rFonts w:ascii="Times New Roman" w:hAnsi="Times New Roman" w:cs="Times New Roman"/>
          <w:sz w:val="24"/>
          <w:lang w:val="en-US"/>
        </w:rPr>
        <w:t xml:space="preserve">from around 1% to 2% when increasing the relative conversion power from 0% to 100% </w:t>
      </w:r>
      <w:r w:rsidR="00F21B66" w:rsidRPr="00520C0A">
        <w:rPr>
          <w:rFonts w:ascii="Times New Roman" w:hAnsi="Times New Roman" w:cs="Times New Roman"/>
          <w:sz w:val="24"/>
          <w:lang w:val="en-US"/>
        </w:rPr>
        <w:fldChar w:fldCharType="begin" w:fldLock="1"/>
      </w:r>
      <w:r w:rsidR="002E3D04">
        <w:rPr>
          <w:rFonts w:ascii="Times New Roman" w:hAnsi="Times New Roman" w:cs="Times New Roman"/>
          <w:sz w:val="24"/>
          <w:lang w:val="en-US"/>
        </w:rPr>
        <w:instrText>ADDIN CSL_CITATION {"citationItems":[{"id":"ITEM-1","itemData":{"DOI":"10.1016/J.APENERGY.2017.10.129","ISSN":"0306-2619","abstract":"Energy efficiency is a key performance indicator for battery storage systems. A detailed electro-thermal model of a stationary lithium-ion battery system is developed and an evaluation of its energy efficiency is conducted. The model offers a holistic approach to calculating conversion losses and auxiliary power consumption. Sub-models for battery rack, power electronics, thermal management as well as the control and monitoring components are developed and coupled to a comprehensive model. The simulation is parametrized based on a prototype 192 kWh system using lithium iron phosphate batteries connected to the low voltage grid. The key loss mechanisms are identified, thoroughly analyzed and modeled. Generic profiles featuring various system operation modes are evaluated to show the characteristics of stationary battery systems. Typically the losses in the power electronics outweigh the losses in the battery at low power operating points. The auxiliary power consumption dominates for low system utilization rates. For estimation of real-world performance, the grid applications Primary Control Reserve, Secondary Control Reserve and the storage of surplus photovoltaic power are evaluated. Conversion round-trip efficiency is in the range of 70–80%. Overall system efficiency, which also considers system power consumption, is 8–13 percentage points lower for Primary Control Reserve and the photovoltaic-battery application. However, for Secondary Control Reserve, the total round-trip efficiency is found to be extremely low at 23% due to the low energy throughput of this application type.","author":[{"dropping-particle":"","family":"Schimpe","given":"Michael","non-dropping-particle":"","parse-names":false,"suffix":""},{"dropping-particle":"","family":"Naumann","given":"Maik","non-dropping-particle":"","parse-names":false,"suffix":""},{"dropping-particle":"","family":"Truong","given":"Nam","non-dropping-particle":"","parse-names":false,"suffix":""},{"dropping-particle":"","family":"Hesse","given":"Holger C.","non-dropping-particle":"","parse-names":false,"suffix":""},{"dropping-particle":"","family":"Santhanagopalan","given":"Shriram","non-dropping-particle":"","parse-names":false,"suffix":""},{"dropping-particle":"","family":"Saxon","given":"Aron","non-dropping-particle":"","parse-names":false,"suffix":""},{"dropping-particle":"","family":"Jossen","given":"Andreas","non-dropping-particle":"","parse-names":false,"suffix":""}],"container-title":"Applied Energy","id":"ITEM-1","issued":{"date-parts":[["2018","1","15"]]},"page":"211-229","publisher":"Elsevier","title":"Energy efficiency evaluation of a stationary lithium-ion battery container storage system via electro-thermal modeling and detailed component analysis","type":"article-journal","volume":"210"},"uris":["http://www.mendeley.com/documents/?uuid=7c57f4fc-c413-3b7b-bf77-81cd78ebf4c7","http://www.mendeley.com/documents/?uuid=18201310-f36e-406f-99a7-5caebcce51c0"]}],"mendeley":{"formattedCitation":"[17]","plainTextFormattedCitation":"[17]","previouslyFormattedCitation":"[17]"},"properties":{"noteIndex":0},"schema":"https://github.com/citation-style-language/schema/raw/master/csl-citation.json"}</w:instrText>
      </w:r>
      <w:r w:rsidR="00F21B66" w:rsidRPr="00520C0A">
        <w:rPr>
          <w:rFonts w:ascii="Times New Roman" w:hAnsi="Times New Roman" w:cs="Times New Roman"/>
          <w:sz w:val="24"/>
          <w:lang w:val="en-US"/>
        </w:rPr>
        <w:fldChar w:fldCharType="separate"/>
      </w:r>
      <w:r w:rsidR="004646E5" w:rsidRPr="004646E5">
        <w:rPr>
          <w:rFonts w:ascii="Times New Roman" w:hAnsi="Times New Roman" w:cs="Times New Roman"/>
          <w:noProof/>
          <w:sz w:val="24"/>
          <w:lang w:val="en-US"/>
        </w:rPr>
        <w:t>[17]</w:t>
      </w:r>
      <w:r w:rsidR="00F21B66" w:rsidRPr="00520C0A">
        <w:rPr>
          <w:rFonts w:ascii="Times New Roman" w:hAnsi="Times New Roman" w:cs="Times New Roman"/>
          <w:sz w:val="24"/>
          <w:lang w:val="en-US"/>
        </w:rPr>
        <w:fldChar w:fldCharType="end"/>
      </w:r>
      <w:r w:rsidR="00F21B66" w:rsidRPr="00520C0A">
        <w:rPr>
          <w:rFonts w:ascii="Times New Roman" w:hAnsi="Times New Roman" w:cs="Times New Roman"/>
          <w:sz w:val="24"/>
          <w:lang w:val="en-US"/>
        </w:rPr>
        <w:t>.</w:t>
      </w:r>
    </w:p>
    <w:p w14:paraId="38355DBD" w14:textId="1E0BC776" w:rsidR="004F0F93" w:rsidRDefault="004F0F93" w:rsidP="004F0F93">
      <w:pPr>
        <w:tabs>
          <w:tab w:val="left" w:pos="6946"/>
        </w:tabs>
        <w:spacing w:after="0"/>
        <w:rPr>
          <w:rFonts w:ascii="Times New Roman" w:hAnsi="Times New Roman" w:cs="Times New Roman"/>
          <w:lang w:val="en-US"/>
        </w:rPr>
      </w:pPr>
      <w:bookmarkStart w:id="41" w:name="_Toc528918104"/>
      <w:bookmarkStart w:id="42" w:name="_Toc529169830"/>
      <w:bookmarkStart w:id="43" w:name="_Toc529178829"/>
      <w:bookmarkStart w:id="44" w:name="_Toc529178944"/>
      <w:r>
        <w:rPr>
          <w:rStyle w:val="Heading2Char"/>
          <w:rFonts w:ascii="Times New Roman" w:hAnsi="Times New Roman" w:cs="Times New Roman"/>
        </w:rPr>
        <w:t>Standby losses</w:t>
      </w:r>
      <w:bookmarkEnd w:id="41"/>
      <w:bookmarkEnd w:id="42"/>
      <w:bookmarkEnd w:id="43"/>
      <w:bookmarkEnd w:id="44"/>
    </w:p>
    <w:p w14:paraId="204B026D" w14:textId="3FC7F59B" w:rsidR="00405A51" w:rsidRDefault="00ED2517" w:rsidP="005E3EA2">
      <w:pPr>
        <w:rPr>
          <w:rFonts w:ascii="Times New Roman" w:hAnsi="Times New Roman" w:cs="Times New Roman"/>
          <w:sz w:val="24"/>
          <w:lang w:val="en-US"/>
        </w:rPr>
      </w:pPr>
      <w:r w:rsidRPr="005E3EA2">
        <w:rPr>
          <w:rFonts w:ascii="Times New Roman" w:hAnsi="Times New Roman" w:cs="Times New Roman"/>
          <w:sz w:val="24"/>
          <w:lang w:val="en-US"/>
        </w:rPr>
        <w:t>Unwanted chemical reactions</w:t>
      </w:r>
      <w:r>
        <w:rPr>
          <w:rFonts w:ascii="Times New Roman" w:hAnsi="Times New Roman" w:cs="Times New Roman"/>
          <w:sz w:val="24"/>
          <w:lang w:val="en-US"/>
        </w:rPr>
        <w:t xml:space="preserve"> </w:t>
      </w:r>
      <w:r w:rsidRPr="005E3EA2">
        <w:rPr>
          <w:rFonts w:ascii="Times New Roman" w:hAnsi="Times New Roman" w:cs="Times New Roman"/>
          <w:sz w:val="24"/>
          <w:lang w:val="en-US"/>
        </w:rPr>
        <w:t>cause</w:t>
      </w:r>
      <w:r>
        <w:rPr>
          <w:rFonts w:ascii="Times New Roman" w:hAnsi="Times New Roman" w:cs="Times New Roman"/>
          <w:sz w:val="24"/>
          <w:lang w:val="en-US"/>
        </w:rPr>
        <w:t xml:space="preserve"> </w:t>
      </w:r>
      <w:r w:rsidRPr="005E3EA2">
        <w:rPr>
          <w:rFonts w:ascii="Times New Roman" w:hAnsi="Times New Roman" w:cs="Times New Roman"/>
          <w:sz w:val="24"/>
          <w:lang w:val="en-US"/>
        </w:rPr>
        <w:t xml:space="preserve">internal current leakage </w:t>
      </w:r>
      <w:r>
        <w:rPr>
          <w:rFonts w:ascii="Times New Roman" w:hAnsi="Times New Roman" w:cs="Times New Roman"/>
          <w:sz w:val="24"/>
          <w:lang w:val="en-US"/>
        </w:rPr>
        <w:t>in the LIB.</w:t>
      </w:r>
      <w:r w:rsidR="00D147B7">
        <w:rPr>
          <w:rFonts w:ascii="Times New Roman" w:hAnsi="Times New Roman" w:cs="Times New Roman"/>
          <w:sz w:val="24"/>
          <w:lang w:val="en-US"/>
        </w:rPr>
        <w:t xml:space="preserve"> The current leakage </w:t>
      </w:r>
      <w:r>
        <w:rPr>
          <w:rFonts w:ascii="Times New Roman" w:hAnsi="Times New Roman" w:cs="Times New Roman"/>
          <w:sz w:val="24"/>
          <w:lang w:val="en-US"/>
        </w:rPr>
        <w:t xml:space="preserve">leads </w:t>
      </w:r>
      <w:r w:rsidR="005E3EA2" w:rsidRPr="005E3EA2">
        <w:rPr>
          <w:rFonts w:ascii="Times New Roman" w:hAnsi="Times New Roman" w:cs="Times New Roman"/>
          <w:sz w:val="24"/>
          <w:lang w:val="en-US"/>
        </w:rPr>
        <w:t xml:space="preserve">to a gradual self-discharge during standby. </w:t>
      </w:r>
      <w:r w:rsidR="00405A51" w:rsidRPr="005E3EA2">
        <w:rPr>
          <w:rFonts w:ascii="Times New Roman" w:hAnsi="Times New Roman" w:cs="Times New Roman"/>
          <w:sz w:val="24"/>
          <w:lang w:val="en-US"/>
        </w:rPr>
        <w:t xml:space="preserve">The </w:t>
      </w:r>
      <w:r w:rsidR="005E3EA2" w:rsidRPr="005E3EA2">
        <w:rPr>
          <w:rFonts w:ascii="Times New Roman" w:hAnsi="Times New Roman" w:cs="Times New Roman"/>
          <w:sz w:val="24"/>
          <w:lang w:val="en-US"/>
        </w:rPr>
        <w:t xml:space="preserve">self-discharge </w:t>
      </w:r>
      <w:r w:rsidR="00405A51" w:rsidRPr="005E3EA2">
        <w:rPr>
          <w:rFonts w:ascii="Times New Roman" w:hAnsi="Times New Roman" w:cs="Times New Roman"/>
          <w:sz w:val="24"/>
          <w:lang w:val="en-US"/>
        </w:rPr>
        <w:t>rate increases with temperature</w:t>
      </w:r>
      <w:r w:rsidR="00743BE0">
        <w:rPr>
          <w:rFonts w:ascii="Times New Roman" w:hAnsi="Times New Roman" w:cs="Times New Roman"/>
          <w:sz w:val="24"/>
          <w:lang w:val="en-US"/>
        </w:rPr>
        <w:t xml:space="preserve"> and t</w:t>
      </w:r>
      <w:r w:rsidR="00405A51" w:rsidRPr="005E3EA2">
        <w:rPr>
          <w:rFonts w:ascii="Times New Roman" w:hAnsi="Times New Roman" w:cs="Times New Roman"/>
          <w:sz w:val="24"/>
          <w:lang w:val="en-US"/>
        </w:rPr>
        <w:t xml:space="preserve">he graph below shows </w:t>
      </w:r>
      <w:r w:rsidR="009D3608">
        <w:rPr>
          <w:rFonts w:ascii="Times New Roman" w:hAnsi="Times New Roman" w:cs="Times New Roman"/>
          <w:sz w:val="24"/>
          <w:lang w:val="en-US"/>
        </w:rPr>
        <w:t>the r</w:t>
      </w:r>
      <w:r w:rsidR="009D3608" w:rsidRPr="009D3608">
        <w:rPr>
          <w:rFonts w:ascii="Times New Roman" w:hAnsi="Times New Roman" w:cs="Times New Roman"/>
          <w:sz w:val="24"/>
          <w:lang w:val="en-US"/>
        </w:rPr>
        <w:t xml:space="preserve">emaining charge capacity </w:t>
      </w:r>
      <w:r w:rsidR="009D3608">
        <w:rPr>
          <w:rFonts w:ascii="Times New Roman" w:hAnsi="Times New Roman" w:cs="Times New Roman"/>
          <w:sz w:val="24"/>
          <w:lang w:val="en-US"/>
        </w:rPr>
        <w:t xml:space="preserve">as function of time and temperature </w:t>
      </w:r>
      <w:r w:rsidR="00405A51" w:rsidRPr="005E3EA2">
        <w:rPr>
          <w:rFonts w:ascii="Times New Roman" w:hAnsi="Times New Roman" w:cs="Times New Roman"/>
          <w:sz w:val="24"/>
          <w:lang w:val="en-US"/>
        </w:rPr>
        <w:t xml:space="preserve">for a </w:t>
      </w:r>
      <w:r w:rsidR="00EB71C7">
        <w:rPr>
          <w:rFonts w:ascii="Times New Roman" w:hAnsi="Times New Roman" w:cs="Times New Roman"/>
          <w:sz w:val="24"/>
          <w:lang w:val="en-US"/>
        </w:rPr>
        <w:t>LIB</w:t>
      </w:r>
      <w:r w:rsidR="00405A51" w:rsidRPr="005E3EA2">
        <w:rPr>
          <w:rFonts w:ascii="Times New Roman" w:hAnsi="Times New Roman" w:cs="Times New Roman"/>
          <w:sz w:val="24"/>
          <w:lang w:val="en-US"/>
        </w:rPr>
        <w:t>.</w:t>
      </w:r>
      <w:r w:rsidR="009D3608">
        <w:rPr>
          <w:rFonts w:ascii="Times New Roman" w:hAnsi="Times New Roman" w:cs="Times New Roman"/>
          <w:sz w:val="24"/>
          <w:lang w:val="en-US"/>
        </w:rPr>
        <w:t xml:space="preserve"> The discharge rate is the slope of the curve and is around 0.1% per day at ambient temperature.</w:t>
      </w:r>
    </w:p>
    <w:p w14:paraId="2103BA89" w14:textId="77777777" w:rsidR="00E709D7" w:rsidRDefault="00E709D7" w:rsidP="005E3EA2">
      <w:pPr>
        <w:rPr>
          <w:rFonts w:ascii="Times New Roman" w:hAnsi="Times New Roman" w:cs="Times New Roman"/>
          <w:sz w:val="24"/>
          <w:lang w:val="en-US"/>
        </w:rPr>
      </w:pPr>
    </w:p>
    <w:p w14:paraId="7DDD5B3C" w14:textId="1CD7E1F2" w:rsidR="00405A51" w:rsidRPr="00405A51" w:rsidRDefault="00405A51" w:rsidP="00E709D7">
      <w:pPr>
        <w:jc w:val="center"/>
        <w:rPr>
          <w:rFonts w:ascii="Times New Roman" w:hAnsi="Times New Roman" w:cs="Times New Roman"/>
        </w:rPr>
      </w:pPr>
      <w:r w:rsidRPr="00405A51">
        <w:rPr>
          <w:rFonts w:ascii="Times New Roman" w:hAnsi="Times New Roman" w:cs="Times New Roman"/>
          <w:noProof/>
          <w:lang w:eastAsia="da-DK"/>
        </w:rPr>
        <w:drawing>
          <wp:inline distT="0" distB="0" distL="0" distR="0" wp14:anchorId="19E75965" wp14:editId="6BE703BB">
            <wp:extent cx="2583873" cy="1864782"/>
            <wp:effectExtent l="0" t="0" r="6985" b="2540"/>
            <wp:docPr id="12" name="Picture 12" descr="Battery Self Discharge with Temperature and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attery Self Discharge with Temperature and Tim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81708" cy="1863219"/>
                    </a:xfrm>
                    <a:prstGeom prst="rect">
                      <a:avLst/>
                    </a:prstGeom>
                    <a:noFill/>
                    <a:ln>
                      <a:noFill/>
                    </a:ln>
                  </pic:spPr>
                </pic:pic>
              </a:graphicData>
            </a:graphic>
          </wp:inline>
        </w:drawing>
      </w:r>
    </w:p>
    <w:p w14:paraId="4D937610" w14:textId="23724012" w:rsidR="00405A51" w:rsidRPr="005E1059" w:rsidRDefault="005E3EA2" w:rsidP="004A49E2">
      <w:pPr>
        <w:rPr>
          <w:rFonts w:ascii="Times New Roman" w:hAnsi="Times New Roman" w:cs="Times New Roman"/>
          <w:i/>
          <w:color w:val="44546A" w:themeColor="text2"/>
          <w:lang w:val="en-US"/>
        </w:rPr>
      </w:pPr>
      <w:proofErr w:type="gramStart"/>
      <w:r w:rsidRPr="005E1059">
        <w:rPr>
          <w:rFonts w:ascii="Times New Roman" w:hAnsi="Times New Roman" w:cs="Times New Roman"/>
          <w:i/>
          <w:color w:val="44546A" w:themeColor="text2"/>
          <w:lang w:val="en-US"/>
        </w:rPr>
        <w:t xml:space="preserve">Figure </w:t>
      </w:r>
      <w:r w:rsidRPr="005E1059">
        <w:rPr>
          <w:rFonts w:ascii="Times New Roman" w:hAnsi="Times New Roman" w:cs="Times New Roman"/>
          <w:i/>
          <w:color w:val="44546A" w:themeColor="text2"/>
        </w:rPr>
        <w:fldChar w:fldCharType="begin"/>
      </w:r>
      <w:r w:rsidRPr="005E1059">
        <w:rPr>
          <w:rFonts w:ascii="Times New Roman" w:hAnsi="Times New Roman" w:cs="Times New Roman"/>
          <w:i/>
          <w:color w:val="44546A" w:themeColor="text2"/>
          <w:lang w:val="en-US"/>
        </w:rPr>
        <w:instrText xml:space="preserve"> SEQ Figure \* ARABIC </w:instrText>
      </w:r>
      <w:r w:rsidRPr="005E1059">
        <w:rPr>
          <w:rFonts w:ascii="Times New Roman" w:hAnsi="Times New Roman" w:cs="Times New Roman"/>
          <w:i/>
          <w:color w:val="44546A" w:themeColor="text2"/>
        </w:rPr>
        <w:fldChar w:fldCharType="separate"/>
      </w:r>
      <w:r w:rsidR="00E60026">
        <w:rPr>
          <w:rFonts w:ascii="Times New Roman" w:hAnsi="Times New Roman" w:cs="Times New Roman"/>
          <w:i/>
          <w:noProof/>
          <w:color w:val="44546A" w:themeColor="text2"/>
          <w:lang w:val="en-US"/>
        </w:rPr>
        <w:t>6</w:t>
      </w:r>
      <w:r w:rsidRPr="005E1059">
        <w:rPr>
          <w:rFonts w:ascii="Times New Roman" w:hAnsi="Times New Roman" w:cs="Times New Roman"/>
          <w:i/>
          <w:color w:val="44546A" w:themeColor="text2"/>
          <w:lang w:val="en-US"/>
        </w:rPr>
        <w:fldChar w:fldCharType="end"/>
      </w:r>
      <w:r w:rsidRPr="005E1059">
        <w:rPr>
          <w:rFonts w:ascii="Times New Roman" w:hAnsi="Times New Roman" w:cs="Times New Roman"/>
          <w:i/>
          <w:color w:val="44546A" w:themeColor="text2"/>
          <w:lang w:val="en-US"/>
        </w:rPr>
        <w:t>.</w:t>
      </w:r>
      <w:proofErr w:type="gramEnd"/>
      <w:r w:rsidR="00941857" w:rsidRPr="005E1059">
        <w:rPr>
          <w:rFonts w:ascii="Times New Roman" w:hAnsi="Times New Roman" w:cs="Times New Roman"/>
          <w:i/>
          <w:color w:val="44546A" w:themeColor="text2"/>
          <w:lang w:val="en-US"/>
        </w:rPr>
        <w:t xml:space="preserve"> Remaining charge capacity </w:t>
      </w:r>
      <w:r w:rsidR="00B71FC0" w:rsidRPr="005E1059">
        <w:rPr>
          <w:rFonts w:ascii="Times New Roman" w:hAnsi="Times New Roman" w:cs="Times New Roman"/>
          <w:i/>
          <w:color w:val="44546A" w:themeColor="text2"/>
          <w:lang w:val="en-US"/>
        </w:rPr>
        <w:t>for a typical LIB as function of</w:t>
      </w:r>
      <w:r w:rsidR="00941857" w:rsidRPr="005E1059">
        <w:rPr>
          <w:rFonts w:ascii="Times New Roman" w:hAnsi="Times New Roman" w:cs="Times New Roman"/>
          <w:i/>
          <w:color w:val="44546A" w:themeColor="text2"/>
          <w:lang w:val="en-US"/>
        </w:rPr>
        <w:t xml:space="preserve"> storage time</w:t>
      </w:r>
      <w:r w:rsidR="00B71FC0" w:rsidRPr="005E1059">
        <w:rPr>
          <w:rFonts w:ascii="Times New Roman" w:hAnsi="Times New Roman" w:cs="Times New Roman"/>
          <w:i/>
          <w:color w:val="44546A" w:themeColor="text2"/>
          <w:lang w:val="en-US"/>
        </w:rPr>
        <w:t xml:space="preserve"> </w:t>
      </w:r>
      <w:r w:rsidR="00DF6907" w:rsidRPr="005E1059">
        <w:rPr>
          <w:rFonts w:ascii="Times New Roman" w:hAnsi="Times New Roman" w:cs="Times New Roman"/>
          <w:i/>
          <w:color w:val="44546A" w:themeColor="text2"/>
          <w:lang w:val="en-US"/>
        </w:rPr>
        <w:fldChar w:fldCharType="begin" w:fldLock="1"/>
      </w:r>
      <w:r w:rsidR="000439FA">
        <w:rPr>
          <w:rFonts w:ascii="Times New Roman" w:hAnsi="Times New Roman" w:cs="Times New Roman"/>
          <w:i/>
          <w:color w:val="44546A" w:themeColor="text2"/>
          <w:lang w:val="en-US"/>
        </w:rPr>
        <w:instrText>ADDIN CSL_CITATION {"citationItems":[{"id":"ITEM-1","itemData":{"URL":"https://www.mpoweruk.com/performance.htm","author":[{"dropping-particle":"","family":"Electropaedia","given":"","non-dropping-particle":"","parse-names":false,"suffix":""}],"id":"ITEM-1","issued":{"date-parts":[["0"]]},"title":"Battery Performance Characteristics - How to specify and test a battery","type":"webpage"},"uris":["http://www.mendeley.com/documents/?uuid=268decfe-096f-412c-8b75-510b4cf99b6e"]}],"mendeley":{"formattedCitation":"[18]","plainTextFormattedCitation":"[18]","previouslyFormattedCitation":"[18]"},"properties":{"noteIndex":0},"schema":"https://github.com/citation-style-language/schema/raw/master/csl-citation.json"}</w:instrText>
      </w:r>
      <w:r w:rsidR="00DF6907" w:rsidRPr="005E1059">
        <w:rPr>
          <w:rFonts w:ascii="Times New Roman" w:hAnsi="Times New Roman" w:cs="Times New Roman"/>
          <w:i/>
          <w:color w:val="44546A" w:themeColor="text2"/>
          <w:lang w:val="en-US"/>
        </w:rPr>
        <w:fldChar w:fldCharType="separate"/>
      </w:r>
      <w:r w:rsidR="004646E5" w:rsidRPr="004646E5">
        <w:rPr>
          <w:rFonts w:ascii="Times New Roman" w:hAnsi="Times New Roman" w:cs="Times New Roman"/>
          <w:noProof/>
          <w:color w:val="44546A" w:themeColor="text2"/>
          <w:lang w:val="en-US"/>
        </w:rPr>
        <w:t>[18]</w:t>
      </w:r>
      <w:r w:rsidR="00DF6907" w:rsidRPr="005E1059">
        <w:rPr>
          <w:rFonts w:ascii="Times New Roman" w:hAnsi="Times New Roman" w:cs="Times New Roman"/>
          <w:i/>
          <w:color w:val="44546A" w:themeColor="text2"/>
          <w:lang w:val="en-US"/>
        </w:rPr>
        <w:fldChar w:fldCharType="end"/>
      </w:r>
      <w:r w:rsidR="00DF6907" w:rsidRPr="005E1059">
        <w:rPr>
          <w:rFonts w:ascii="Times New Roman" w:hAnsi="Times New Roman" w:cs="Times New Roman"/>
          <w:i/>
          <w:color w:val="44546A" w:themeColor="text2"/>
          <w:lang w:val="en-US"/>
        </w:rPr>
        <w:t>.</w:t>
      </w:r>
    </w:p>
    <w:p w14:paraId="2D2526DF" w14:textId="682B2527" w:rsidR="00405A51" w:rsidRDefault="00A02A71" w:rsidP="004A49E2">
      <w:pPr>
        <w:rPr>
          <w:rFonts w:ascii="Times New Roman" w:hAnsi="Times New Roman" w:cs="Times New Roman"/>
          <w:sz w:val="24"/>
          <w:lang w:val="en-US"/>
        </w:rPr>
      </w:pPr>
      <w:r w:rsidRPr="00520C0A">
        <w:rPr>
          <w:rFonts w:ascii="Times New Roman" w:hAnsi="Times New Roman" w:cs="Times New Roman"/>
          <w:sz w:val="24"/>
          <w:lang w:val="en-US"/>
        </w:rPr>
        <w:t xml:space="preserve">Besides the self-discharge in the cell, a LIB </w:t>
      </w:r>
      <w:r w:rsidR="00B30429">
        <w:rPr>
          <w:rFonts w:ascii="Times New Roman" w:hAnsi="Times New Roman" w:cs="Times New Roman"/>
          <w:sz w:val="24"/>
          <w:lang w:val="en-US"/>
        </w:rPr>
        <w:t xml:space="preserve">electricity storage </w:t>
      </w:r>
      <w:r w:rsidRPr="00520C0A">
        <w:rPr>
          <w:rFonts w:ascii="Times New Roman" w:hAnsi="Times New Roman" w:cs="Times New Roman"/>
          <w:sz w:val="24"/>
          <w:lang w:val="en-US"/>
        </w:rPr>
        <w:t xml:space="preserve">system requires power to operate the auxiliary balance of plant (BOP) components. </w:t>
      </w:r>
      <w:r w:rsidR="00520C0A" w:rsidRPr="00520C0A">
        <w:rPr>
          <w:rFonts w:ascii="Times New Roman" w:hAnsi="Times New Roman" w:cs="Times New Roman"/>
          <w:sz w:val="24"/>
          <w:lang w:val="en-US"/>
        </w:rPr>
        <w:fldChar w:fldCharType="begin"/>
      </w:r>
      <w:r w:rsidR="00520C0A" w:rsidRPr="00520C0A">
        <w:rPr>
          <w:rFonts w:ascii="Times New Roman" w:hAnsi="Times New Roman" w:cs="Times New Roman"/>
          <w:sz w:val="24"/>
          <w:lang w:val="en-US"/>
        </w:rPr>
        <w:instrText xml:space="preserve"> REF _Ref527838174 \h  \* MERGEFORMAT </w:instrText>
      </w:r>
      <w:r w:rsidR="00520C0A" w:rsidRPr="00520C0A">
        <w:rPr>
          <w:rFonts w:ascii="Times New Roman" w:hAnsi="Times New Roman" w:cs="Times New Roman"/>
          <w:sz w:val="24"/>
          <w:lang w:val="en-US"/>
        </w:rPr>
      </w:r>
      <w:r w:rsidR="00520C0A" w:rsidRPr="00520C0A">
        <w:rPr>
          <w:rFonts w:ascii="Times New Roman" w:hAnsi="Times New Roman" w:cs="Times New Roman"/>
          <w:sz w:val="24"/>
          <w:lang w:val="en-US"/>
        </w:rPr>
        <w:fldChar w:fldCharType="separate"/>
      </w:r>
      <w:r w:rsidR="00E60026" w:rsidRPr="00E60026">
        <w:rPr>
          <w:rFonts w:ascii="Times New Roman" w:hAnsi="Times New Roman" w:cs="Times New Roman"/>
          <w:sz w:val="24"/>
          <w:lang w:val="en-US"/>
        </w:rPr>
        <w:t xml:space="preserve">Figure </w:t>
      </w:r>
      <w:r w:rsidR="00E60026" w:rsidRPr="00E60026">
        <w:rPr>
          <w:rFonts w:ascii="Times New Roman" w:hAnsi="Times New Roman" w:cs="Times New Roman"/>
          <w:noProof/>
          <w:sz w:val="24"/>
          <w:lang w:val="en-US"/>
        </w:rPr>
        <w:t>5</w:t>
      </w:r>
      <w:r w:rsidR="00520C0A" w:rsidRPr="00520C0A">
        <w:rPr>
          <w:rFonts w:ascii="Times New Roman" w:hAnsi="Times New Roman" w:cs="Times New Roman"/>
          <w:sz w:val="24"/>
          <w:lang w:val="en-US"/>
        </w:rPr>
        <w:fldChar w:fldCharType="end"/>
      </w:r>
      <w:r w:rsidR="00520C0A" w:rsidRPr="00520C0A">
        <w:rPr>
          <w:rFonts w:ascii="Times New Roman" w:hAnsi="Times New Roman" w:cs="Times New Roman"/>
          <w:sz w:val="24"/>
          <w:lang w:val="en-US"/>
        </w:rPr>
        <w:t xml:space="preserve"> outlines t</w:t>
      </w:r>
      <w:r w:rsidRPr="00520C0A">
        <w:rPr>
          <w:rFonts w:ascii="Times New Roman" w:hAnsi="Times New Roman" w:cs="Times New Roman"/>
          <w:sz w:val="24"/>
          <w:lang w:val="en-US"/>
        </w:rPr>
        <w:t>he</w:t>
      </w:r>
      <w:r w:rsidR="00B30429">
        <w:rPr>
          <w:rFonts w:ascii="Times New Roman" w:hAnsi="Times New Roman" w:cs="Times New Roman"/>
          <w:sz w:val="24"/>
          <w:lang w:val="en-US"/>
        </w:rPr>
        <w:t xml:space="preserve"> BOP </w:t>
      </w:r>
      <w:r w:rsidRPr="00520C0A">
        <w:rPr>
          <w:rFonts w:ascii="Times New Roman" w:hAnsi="Times New Roman" w:cs="Times New Roman"/>
          <w:sz w:val="24"/>
          <w:lang w:val="en-US"/>
        </w:rPr>
        <w:t xml:space="preserve">components </w:t>
      </w:r>
      <w:r w:rsidR="00520C0A" w:rsidRPr="00520C0A">
        <w:rPr>
          <w:rFonts w:ascii="Times New Roman" w:hAnsi="Times New Roman" w:cs="Times New Roman"/>
          <w:sz w:val="24"/>
          <w:lang w:val="en-US"/>
        </w:rPr>
        <w:t>which include</w:t>
      </w:r>
      <w:r w:rsidRPr="00520C0A">
        <w:rPr>
          <w:rFonts w:ascii="Times New Roman" w:hAnsi="Times New Roman" w:cs="Times New Roman"/>
          <w:sz w:val="24"/>
          <w:lang w:val="en-US"/>
        </w:rPr>
        <w:t xml:space="preserve"> the inverter, BMS, EMS and TMS. </w:t>
      </w:r>
      <w:r w:rsidR="00E000C1">
        <w:rPr>
          <w:rFonts w:ascii="Times New Roman" w:hAnsi="Times New Roman" w:cs="Times New Roman"/>
          <w:sz w:val="24"/>
          <w:lang w:val="en-US"/>
        </w:rPr>
        <w:t xml:space="preserve">The relative energy loss to the </w:t>
      </w:r>
      <w:r w:rsidR="00B30429">
        <w:rPr>
          <w:rFonts w:ascii="Times New Roman" w:hAnsi="Times New Roman" w:cs="Times New Roman"/>
          <w:sz w:val="24"/>
          <w:lang w:val="en-US"/>
        </w:rPr>
        <w:t>BOP</w:t>
      </w:r>
      <w:r w:rsidR="00E000C1">
        <w:rPr>
          <w:rFonts w:ascii="Times New Roman" w:hAnsi="Times New Roman" w:cs="Times New Roman"/>
          <w:sz w:val="24"/>
          <w:lang w:val="en-US"/>
        </w:rPr>
        <w:t xml:space="preserve"> components depends on the application, and a careful operation strategy is important to </w:t>
      </w:r>
      <w:r w:rsidR="00E000C1">
        <w:rPr>
          <w:rFonts w:ascii="Times New Roman" w:hAnsi="Times New Roman" w:cs="Times New Roman"/>
          <w:sz w:val="24"/>
          <w:lang w:val="en-US"/>
        </w:rPr>
        <w:lastRenderedPageBreak/>
        <w:t>minimize the</w:t>
      </w:r>
      <w:r w:rsidR="00B30429">
        <w:rPr>
          <w:rFonts w:ascii="Times New Roman" w:hAnsi="Times New Roman" w:cs="Times New Roman"/>
          <w:sz w:val="24"/>
          <w:lang w:val="en-US"/>
        </w:rPr>
        <w:t>ir</w:t>
      </w:r>
      <w:r w:rsidR="00E000C1">
        <w:rPr>
          <w:rFonts w:ascii="Times New Roman" w:hAnsi="Times New Roman" w:cs="Times New Roman"/>
          <w:sz w:val="24"/>
          <w:lang w:val="en-US"/>
        </w:rPr>
        <w:t xml:space="preserve"> power consumption </w:t>
      </w:r>
      <w:r w:rsidR="00E000C1" w:rsidRPr="00520C0A">
        <w:rPr>
          <w:rFonts w:ascii="Times New Roman" w:hAnsi="Times New Roman" w:cs="Times New Roman"/>
          <w:sz w:val="24"/>
          <w:lang w:val="en-US"/>
        </w:rPr>
        <w:fldChar w:fldCharType="begin" w:fldLock="1"/>
      </w:r>
      <w:r w:rsidR="002E3D04">
        <w:rPr>
          <w:rFonts w:ascii="Times New Roman" w:hAnsi="Times New Roman" w:cs="Times New Roman"/>
          <w:sz w:val="24"/>
          <w:lang w:val="en-US"/>
        </w:rPr>
        <w:instrText>ADDIN CSL_CITATION {"citationItems":[{"id":"ITEM-1","itemData":{"DOI":"10.1016/J.APENERGY.2017.10.129","ISSN":"0306-2619","abstract":"Energy efficiency is a key performance indicator for battery storage systems. A detailed electro-thermal model of a stationary lithium-ion battery system is developed and an evaluation of its energy efficiency is conducted. The model offers a holistic approach to calculating conversion losses and auxiliary power consumption. Sub-models for battery rack, power electronics, thermal management as well as the control and monitoring components are developed and coupled to a comprehensive model. The simulation is parametrized based on a prototype 192 kWh system using lithium iron phosphate batteries connected to the low voltage grid. The key loss mechanisms are identified, thoroughly analyzed and modeled. Generic profiles featuring various system operation modes are evaluated to show the characteristics of stationary battery systems. Typically the losses in the power electronics outweigh the losses in the battery at low power operating points. The auxiliary power consumption dominates for low system utilization rates. For estimation of real-world performance, the grid applications Primary Control Reserve, Secondary Control Reserve and the storage of surplus photovoltaic power are evaluated. Conversion round-trip efficiency is in the range of 70–80%. Overall system efficiency, which also considers system power consumption, is 8–13 percentage points lower for Primary Control Reserve and the photovoltaic-battery application. However, for Secondary Control Reserve, the total round-trip efficiency is found to be extremely low at 23% due to the low energy throughput of this application type.","author":[{"dropping-particle":"","family":"Schimpe","given":"Michael","non-dropping-particle":"","parse-names":false,"suffix":""},{"dropping-particle":"","family":"Naumann","given":"Maik","non-dropping-particle":"","parse-names":false,"suffix":""},{"dropping-particle":"","family":"Truong","given":"Nam","non-dropping-particle":"","parse-names":false,"suffix":""},{"dropping-particle":"","family":"Hesse","given":"Holger C.","non-dropping-particle":"","parse-names":false,"suffix":""},{"dropping-particle":"","family":"Santhanagopalan","given":"Shriram","non-dropping-particle":"","parse-names":false,"suffix":""},{"dropping-particle":"","family":"Saxon","given":"Aron","non-dropping-particle":"","parse-names":false,"suffix":""},{"dropping-particle":"","family":"Jossen","given":"Andreas","non-dropping-particle":"","parse-names":false,"suffix":""}],"container-title":"Applied Energy","id":"ITEM-1","issued":{"date-parts":[["2018","1","15"]]},"page":"211-229","publisher":"Elsevier","title":"Energy efficiency evaluation of a stationary lithium-ion battery container storage system via electro-thermal modeling and detailed component analysis","type":"article-journal","volume":"210"},"uris":["http://www.mendeley.com/documents/?uuid=7c57f4fc-c413-3b7b-bf77-81cd78ebf4c7","http://www.mendeley.com/documents/?uuid=18201310-f36e-406f-99a7-5caebcce51c0"]}],"mendeley":{"formattedCitation":"[17]","plainTextFormattedCitation":"[17]","previouslyFormattedCitation":"[17]"},"properties":{"noteIndex":0},"schema":"https://github.com/citation-style-language/schema/raw/master/csl-citation.json"}</w:instrText>
      </w:r>
      <w:r w:rsidR="00E000C1" w:rsidRPr="00520C0A">
        <w:rPr>
          <w:rFonts w:ascii="Times New Roman" w:hAnsi="Times New Roman" w:cs="Times New Roman"/>
          <w:sz w:val="24"/>
          <w:lang w:val="en-US"/>
        </w:rPr>
        <w:fldChar w:fldCharType="separate"/>
      </w:r>
      <w:r w:rsidR="004646E5" w:rsidRPr="004646E5">
        <w:rPr>
          <w:rFonts w:ascii="Times New Roman" w:hAnsi="Times New Roman" w:cs="Times New Roman"/>
          <w:noProof/>
          <w:sz w:val="24"/>
          <w:lang w:val="en-US"/>
        </w:rPr>
        <w:t>[17]</w:t>
      </w:r>
      <w:r w:rsidR="00E000C1" w:rsidRPr="00520C0A">
        <w:rPr>
          <w:rFonts w:ascii="Times New Roman" w:hAnsi="Times New Roman" w:cs="Times New Roman"/>
          <w:sz w:val="24"/>
          <w:lang w:val="en-US"/>
        </w:rPr>
        <w:fldChar w:fldCharType="end"/>
      </w:r>
      <w:r w:rsidR="00E000C1" w:rsidRPr="00520C0A">
        <w:rPr>
          <w:rFonts w:ascii="Times New Roman" w:hAnsi="Times New Roman" w:cs="Times New Roman"/>
          <w:sz w:val="24"/>
          <w:lang w:val="en-US"/>
        </w:rPr>
        <w:t>.</w:t>
      </w:r>
      <w:r w:rsidR="00E000C1">
        <w:rPr>
          <w:rFonts w:ascii="Times New Roman" w:hAnsi="Times New Roman" w:cs="Times New Roman"/>
          <w:sz w:val="24"/>
          <w:lang w:val="en-US"/>
        </w:rPr>
        <w:t xml:space="preserve"> </w:t>
      </w:r>
      <w:r w:rsidR="00520C0A">
        <w:rPr>
          <w:rFonts w:ascii="Times New Roman" w:hAnsi="Times New Roman" w:cs="Times New Roman"/>
          <w:sz w:val="24"/>
          <w:lang w:val="en-US"/>
        </w:rPr>
        <w:t xml:space="preserve">The standby loss </w:t>
      </w:r>
      <w:r w:rsidR="00E32665" w:rsidRPr="00E32665">
        <w:rPr>
          <w:rFonts w:ascii="Times New Roman" w:hAnsi="Times New Roman" w:cs="Times New Roman"/>
          <w:noProof/>
          <w:position w:val="-12"/>
          <w:sz w:val="24"/>
          <w:lang w:val="en-US"/>
        </w:rPr>
        <w:object w:dxaOrig="400" w:dyaOrig="360" w14:anchorId="3EE26F1C">
          <v:shape id="_x0000_i1027" type="#_x0000_t75" alt="" style="width:18.7pt;height:17.75pt;mso-width-percent:0;mso-height-percent:0;mso-width-percent:0;mso-height-percent:0" o:ole="">
            <v:imagedata r:id="rId24" o:title=""/>
          </v:shape>
          <o:OLEObject Type="Embed" ProgID="Equation.DSMT4" ShapeID="_x0000_i1027" DrawAspect="Content" ObjectID="_1603709460" r:id="rId25"/>
        </w:object>
      </w:r>
      <w:r w:rsidR="00E000C1">
        <w:rPr>
          <w:rFonts w:ascii="Times New Roman" w:hAnsi="Times New Roman" w:cs="Times New Roman"/>
          <w:sz w:val="24"/>
          <w:lang w:val="en-US"/>
        </w:rPr>
        <w:t xml:space="preserve"> </w:t>
      </w:r>
      <w:r w:rsidR="00520C0A">
        <w:rPr>
          <w:rFonts w:ascii="Times New Roman" w:hAnsi="Times New Roman" w:cs="Times New Roman"/>
          <w:sz w:val="24"/>
          <w:lang w:val="en-US"/>
        </w:rPr>
        <w:t xml:space="preserve">is the sum of the </w:t>
      </w:r>
      <w:r w:rsidR="00B30429">
        <w:rPr>
          <w:rFonts w:ascii="Times New Roman" w:hAnsi="Times New Roman" w:cs="Times New Roman"/>
          <w:sz w:val="24"/>
          <w:lang w:val="en-US"/>
        </w:rPr>
        <w:t xml:space="preserve">energy </w:t>
      </w:r>
      <w:r w:rsidR="00520C0A">
        <w:rPr>
          <w:rFonts w:ascii="Times New Roman" w:hAnsi="Times New Roman" w:cs="Times New Roman"/>
          <w:sz w:val="24"/>
          <w:lang w:val="en-US"/>
        </w:rPr>
        <w:t xml:space="preserve">losses </w:t>
      </w:r>
      <w:r w:rsidR="00B30429">
        <w:rPr>
          <w:rFonts w:ascii="Times New Roman" w:hAnsi="Times New Roman" w:cs="Times New Roman"/>
          <w:sz w:val="24"/>
          <w:lang w:val="en-US"/>
        </w:rPr>
        <w:t xml:space="preserve">during standby </w:t>
      </w:r>
      <w:r w:rsidR="00520C0A">
        <w:rPr>
          <w:rFonts w:ascii="Times New Roman" w:hAnsi="Times New Roman" w:cs="Times New Roman"/>
          <w:sz w:val="24"/>
          <w:lang w:val="en-US"/>
        </w:rPr>
        <w:t xml:space="preserve">due to self-discharge and power consumption in the </w:t>
      </w:r>
      <w:r w:rsidR="00B30429">
        <w:rPr>
          <w:rFonts w:ascii="Times New Roman" w:hAnsi="Times New Roman" w:cs="Times New Roman"/>
          <w:sz w:val="24"/>
          <w:lang w:val="en-US"/>
        </w:rPr>
        <w:t>BOP</w:t>
      </w:r>
      <w:r w:rsidR="00520C0A">
        <w:rPr>
          <w:rFonts w:ascii="Times New Roman" w:hAnsi="Times New Roman" w:cs="Times New Roman"/>
          <w:sz w:val="24"/>
          <w:lang w:val="en-US"/>
        </w:rPr>
        <w:t xml:space="preserve"> components. </w:t>
      </w:r>
    </w:p>
    <w:p w14:paraId="09FEE925" w14:textId="356247CB" w:rsidR="007B0BF7" w:rsidRDefault="007B0BF7" w:rsidP="007D441B">
      <w:pPr>
        <w:spacing w:after="0"/>
        <w:rPr>
          <w:rFonts w:ascii="Times New Roman" w:hAnsi="Times New Roman" w:cs="Times New Roman"/>
          <w:lang w:val="en-US"/>
        </w:rPr>
      </w:pPr>
      <w:bookmarkStart w:id="45" w:name="_Toc528918105"/>
      <w:bookmarkStart w:id="46" w:name="_Toc529169831"/>
      <w:bookmarkStart w:id="47" w:name="_Toc529178830"/>
      <w:bookmarkStart w:id="48" w:name="_Toc529178945"/>
      <w:r>
        <w:rPr>
          <w:rStyle w:val="Heading2Char"/>
          <w:rFonts w:ascii="Times New Roman" w:hAnsi="Times New Roman" w:cs="Times New Roman"/>
        </w:rPr>
        <w:t>Energy Efficiency</w:t>
      </w:r>
      <w:bookmarkEnd w:id="45"/>
      <w:bookmarkEnd w:id="46"/>
      <w:bookmarkEnd w:id="47"/>
      <w:bookmarkEnd w:id="48"/>
    </w:p>
    <w:p w14:paraId="064EB6B2" w14:textId="5CC09751" w:rsidR="00F21B66" w:rsidRDefault="00F21B66" w:rsidP="00392637">
      <w:pPr>
        <w:rPr>
          <w:rFonts w:ascii="Times New Roman" w:hAnsi="Times New Roman" w:cs="Times New Roman"/>
          <w:sz w:val="24"/>
          <w:szCs w:val="24"/>
          <w:lang w:val="en-US"/>
        </w:rPr>
      </w:pPr>
      <w:r w:rsidRPr="00F21B66">
        <w:rPr>
          <w:rFonts w:ascii="Times New Roman" w:hAnsi="Times New Roman" w:cs="Times New Roman"/>
          <w:sz w:val="24"/>
          <w:szCs w:val="24"/>
          <w:lang w:val="en-US"/>
        </w:rPr>
        <w:t xml:space="preserve">The conversion </w:t>
      </w:r>
      <w:r w:rsidR="00D35F9A">
        <w:rPr>
          <w:rFonts w:ascii="Times New Roman" w:hAnsi="Times New Roman" w:cs="Times New Roman"/>
          <w:sz w:val="24"/>
          <w:szCs w:val="24"/>
          <w:lang w:val="en-US"/>
        </w:rPr>
        <w:t>roundtrip</w:t>
      </w:r>
      <w:r w:rsidR="00392637">
        <w:rPr>
          <w:rFonts w:ascii="Times New Roman" w:hAnsi="Times New Roman" w:cs="Times New Roman"/>
          <w:sz w:val="24"/>
          <w:szCs w:val="24"/>
          <w:lang w:val="en-US"/>
        </w:rPr>
        <w:t xml:space="preserve"> </w:t>
      </w:r>
      <w:r w:rsidRPr="00F21B66">
        <w:rPr>
          <w:rFonts w:ascii="Times New Roman" w:hAnsi="Times New Roman" w:cs="Times New Roman"/>
          <w:sz w:val="24"/>
          <w:szCs w:val="24"/>
          <w:lang w:val="en-US"/>
        </w:rPr>
        <w:t>efficiency of the LIB cell is the discharged energy divided with the charged energy. T</w:t>
      </w:r>
      <w:r w:rsidRPr="00F21B66">
        <w:rPr>
          <w:rFonts w:ascii="Times New Roman" w:hAnsi="Times New Roman" w:cs="Times New Roman"/>
          <w:noProof/>
          <w:sz w:val="24"/>
          <w:szCs w:val="24"/>
          <w:lang w:val="en-US"/>
        </w:rPr>
        <w:t xml:space="preserve">he </w:t>
      </w:r>
      <w:r w:rsidR="009D3608">
        <w:rPr>
          <w:rFonts w:ascii="Times New Roman" w:hAnsi="Times New Roman" w:cs="Times New Roman"/>
          <w:noProof/>
          <w:sz w:val="24"/>
          <w:szCs w:val="24"/>
          <w:lang w:val="en-US"/>
        </w:rPr>
        <w:t xml:space="preserve">battery </w:t>
      </w:r>
      <w:r w:rsidRPr="00F21B66">
        <w:rPr>
          <w:rFonts w:ascii="Times New Roman" w:hAnsi="Times New Roman" w:cs="Times New Roman"/>
          <w:noProof/>
          <w:sz w:val="24"/>
          <w:szCs w:val="24"/>
          <w:lang w:val="en-US"/>
        </w:rPr>
        <w:t xml:space="preserve">conversion efficiency decreases with increasing current since the </w:t>
      </w:r>
      <w:r w:rsidR="00E32665" w:rsidRPr="00E32665">
        <w:rPr>
          <w:rFonts w:ascii="Times New Roman" w:hAnsi="Times New Roman" w:cs="Times New Roman"/>
          <w:noProof/>
          <w:position w:val="-12"/>
          <w:sz w:val="24"/>
          <w:szCs w:val="24"/>
        </w:rPr>
        <w:object w:dxaOrig="400" w:dyaOrig="360" w14:anchorId="2344015C">
          <v:shape id="_x0000_i1028" type="#_x0000_t75" alt="" style="width:18.7pt;height:17.75pt;mso-width-percent:0;mso-height-percent:0;mso-width-percent:0;mso-height-percent:0" o:ole="">
            <v:imagedata r:id="rId26" o:title=""/>
          </v:shape>
          <o:OLEObject Type="Embed" ProgID="Equation.DSMT4" ShapeID="_x0000_i1028" DrawAspect="Content" ObjectID="_1603709461" r:id="rId27"/>
        </w:object>
      </w:r>
      <w:r w:rsidRPr="00F21B66">
        <w:rPr>
          <w:rFonts w:ascii="Times New Roman" w:hAnsi="Times New Roman" w:cs="Times New Roman"/>
          <w:noProof/>
          <w:sz w:val="24"/>
          <w:szCs w:val="24"/>
          <w:lang w:val="en-US"/>
        </w:rPr>
        <w:t xml:space="preserve"> increases.</w:t>
      </w:r>
      <w:r>
        <w:rPr>
          <w:rFonts w:ascii="Times New Roman" w:hAnsi="Times New Roman" w:cs="Times New Roman"/>
          <w:noProof/>
          <w:sz w:val="24"/>
          <w:szCs w:val="24"/>
          <w:lang w:val="en-US"/>
        </w:rPr>
        <w:t xml:space="preserve"> </w:t>
      </w:r>
      <w:r w:rsidR="00392637">
        <w:rPr>
          <w:rFonts w:ascii="Times New Roman" w:hAnsi="Times New Roman" w:cs="Times New Roman"/>
          <w:noProof/>
          <w:sz w:val="24"/>
          <w:szCs w:val="24"/>
          <w:lang w:val="en-US"/>
        </w:rPr>
        <w:t xml:space="preserve">An example of a LIB cell conversion efficiency is shown in </w:t>
      </w:r>
      <w:r w:rsidR="00392637" w:rsidRPr="00B04E5D">
        <w:rPr>
          <w:rFonts w:ascii="Times New Roman" w:hAnsi="Times New Roman" w:cs="Times New Roman"/>
          <w:sz w:val="24"/>
          <w:szCs w:val="24"/>
          <w:lang w:val="en-US"/>
        </w:rPr>
        <w:fldChar w:fldCharType="begin"/>
      </w:r>
      <w:r w:rsidR="00392637" w:rsidRPr="00B04E5D">
        <w:rPr>
          <w:rFonts w:ascii="Times New Roman" w:hAnsi="Times New Roman" w:cs="Times New Roman"/>
          <w:sz w:val="24"/>
          <w:szCs w:val="24"/>
          <w:lang w:val="en-US"/>
        </w:rPr>
        <w:instrText xml:space="preserve"> REF _Ref528138495 \h  \* MERGEFORMAT </w:instrText>
      </w:r>
      <w:r w:rsidR="00392637" w:rsidRPr="00B04E5D">
        <w:rPr>
          <w:rFonts w:ascii="Times New Roman" w:hAnsi="Times New Roman" w:cs="Times New Roman"/>
          <w:sz w:val="24"/>
          <w:szCs w:val="24"/>
          <w:lang w:val="en-US"/>
        </w:rPr>
      </w:r>
      <w:r w:rsidR="00392637" w:rsidRPr="00B04E5D">
        <w:rPr>
          <w:rFonts w:ascii="Times New Roman" w:hAnsi="Times New Roman" w:cs="Times New Roman"/>
          <w:sz w:val="24"/>
          <w:szCs w:val="24"/>
          <w:lang w:val="en-US"/>
        </w:rPr>
        <w:fldChar w:fldCharType="separate"/>
      </w:r>
      <w:r w:rsidR="00E60026" w:rsidRPr="00E60026">
        <w:rPr>
          <w:rFonts w:ascii="Times New Roman" w:hAnsi="Times New Roman" w:cs="Times New Roman"/>
          <w:sz w:val="24"/>
          <w:szCs w:val="24"/>
          <w:lang w:val="en-US"/>
        </w:rPr>
        <w:t xml:space="preserve">Figure </w:t>
      </w:r>
      <w:r w:rsidR="00E60026" w:rsidRPr="00E60026">
        <w:rPr>
          <w:rFonts w:ascii="Times New Roman" w:hAnsi="Times New Roman" w:cs="Times New Roman"/>
          <w:noProof/>
          <w:sz w:val="24"/>
          <w:szCs w:val="24"/>
          <w:lang w:val="en-US"/>
        </w:rPr>
        <w:t>7</w:t>
      </w:r>
      <w:r w:rsidR="00392637" w:rsidRPr="00B04E5D">
        <w:rPr>
          <w:rFonts w:ascii="Times New Roman" w:hAnsi="Times New Roman" w:cs="Times New Roman"/>
          <w:sz w:val="24"/>
          <w:szCs w:val="24"/>
          <w:lang w:val="en-US"/>
        </w:rPr>
        <w:fldChar w:fldCharType="end"/>
      </w:r>
      <w:r w:rsidR="00392637">
        <w:rPr>
          <w:rFonts w:ascii="Times New Roman" w:hAnsi="Times New Roman" w:cs="Times New Roman"/>
          <w:sz w:val="24"/>
          <w:szCs w:val="24"/>
          <w:lang w:val="en-US"/>
        </w:rPr>
        <w:t xml:space="preserve">. </w:t>
      </w:r>
      <w:r>
        <w:rPr>
          <w:rFonts w:ascii="Times New Roman" w:hAnsi="Times New Roman" w:cs="Times New Roman"/>
          <w:noProof/>
          <w:sz w:val="24"/>
          <w:szCs w:val="24"/>
          <w:lang w:val="en-US"/>
        </w:rPr>
        <w:t xml:space="preserve">The </w:t>
      </w:r>
      <w:r w:rsidRPr="00443122">
        <w:rPr>
          <w:rFonts w:ascii="Times New Roman" w:hAnsi="Times New Roman" w:cs="Times New Roman"/>
          <w:noProof/>
          <w:sz w:val="24"/>
          <w:szCs w:val="24"/>
          <w:lang w:val="en-US"/>
        </w:rPr>
        <w:t xml:space="preserve">C-rate </w:t>
      </w:r>
      <w:r>
        <w:rPr>
          <w:rFonts w:ascii="Times New Roman" w:hAnsi="Times New Roman" w:cs="Times New Roman"/>
          <w:noProof/>
          <w:sz w:val="24"/>
          <w:szCs w:val="24"/>
          <w:lang w:val="en-US"/>
        </w:rPr>
        <w:t xml:space="preserve">is the inverse </w:t>
      </w:r>
      <w:r w:rsidRPr="00443122">
        <w:rPr>
          <w:rFonts w:ascii="Times New Roman" w:hAnsi="Times New Roman" w:cs="Times New Roman"/>
          <w:noProof/>
          <w:sz w:val="24"/>
          <w:szCs w:val="24"/>
          <w:lang w:val="en-US"/>
        </w:rPr>
        <w:t xml:space="preserve">of </w:t>
      </w:r>
      <w:r>
        <w:rPr>
          <w:rFonts w:ascii="Times New Roman" w:hAnsi="Times New Roman" w:cs="Times New Roman"/>
          <w:noProof/>
          <w:sz w:val="24"/>
          <w:szCs w:val="24"/>
          <w:lang w:val="en-US"/>
        </w:rPr>
        <w:t xml:space="preserve">the time </w:t>
      </w:r>
      <w:r w:rsidRPr="00443122">
        <w:rPr>
          <w:rFonts w:ascii="Times New Roman" w:hAnsi="Times New Roman" w:cs="Times New Roman"/>
          <w:noProof/>
          <w:sz w:val="24"/>
          <w:szCs w:val="24"/>
          <w:lang w:val="en-US"/>
        </w:rPr>
        <w:t xml:space="preserve">it takes to discharge a </w:t>
      </w:r>
      <w:r>
        <w:rPr>
          <w:rFonts w:ascii="Times New Roman" w:hAnsi="Times New Roman" w:cs="Times New Roman"/>
          <w:noProof/>
          <w:sz w:val="24"/>
          <w:szCs w:val="24"/>
          <w:lang w:val="en-US"/>
        </w:rPr>
        <w:t xml:space="preserve">fully charged </w:t>
      </w:r>
      <w:r w:rsidRPr="00443122">
        <w:rPr>
          <w:rFonts w:ascii="Times New Roman" w:hAnsi="Times New Roman" w:cs="Times New Roman"/>
          <w:noProof/>
          <w:sz w:val="24"/>
          <w:szCs w:val="24"/>
          <w:lang w:val="en-US"/>
        </w:rPr>
        <w:t xml:space="preserve">battery. </w:t>
      </w:r>
      <w:r w:rsidRPr="00443122">
        <w:rPr>
          <w:rFonts w:ascii="Times New Roman" w:hAnsi="Times New Roman" w:cs="Times New Roman"/>
          <w:sz w:val="24"/>
          <w:szCs w:val="24"/>
          <w:lang w:val="en-US"/>
        </w:rPr>
        <w:t xml:space="preserve">At a C-rate of 2 it takes </w:t>
      </w:r>
      <w:r>
        <w:rPr>
          <w:rFonts w:ascii="Times New Roman" w:hAnsi="Times New Roman" w:cs="Times New Roman"/>
          <w:sz w:val="24"/>
          <w:szCs w:val="24"/>
          <w:lang w:val="en-US"/>
        </w:rPr>
        <w:t xml:space="preserve">½ hour and at a C-rate of </w:t>
      </w:r>
      <w:r w:rsidR="00B30429">
        <w:rPr>
          <w:rFonts w:ascii="Times New Roman" w:hAnsi="Times New Roman" w:cs="Times New Roman"/>
          <w:sz w:val="24"/>
          <w:szCs w:val="24"/>
          <w:lang w:val="en-US"/>
        </w:rPr>
        <w:t>6</w:t>
      </w:r>
      <w:r>
        <w:rPr>
          <w:rFonts w:ascii="Times New Roman" w:hAnsi="Times New Roman" w:cs="Times New Roman"/>
          <w:sz w:val="24"/>
          <w:szCs w:val="24"/>
          <w:lang w:val="en-US"/>
        </w:rPr>
        <w:t xml:space="preserve"> it takes </w:t>
      </w:r>
      <w:r w:rsidR="00B30429">
        <w:rPr>
          <w:rFonts w:ascii="Times New Roman" w:hAnsi="Times New Roman" w:cs="Times New Roman"/>
          <w:sz w:val="24"/>
          <w:szCs w:val="24"/>
          <w:lang w:val="en-US"/>
        </w:rPr>
        <w:t>10</w:t>
      </w:r>
      <w:r>
        <w:rPr>
          <w:rFonts w:ascii="Times New Roman" w:hAnsi="Times New Roman" w:cs="Times New Roman"/>
          <w:sz w:val="24"/>
          <w:szCs w:val="24"/>
          <w:lang w:val="en-US"/>
        </w:rPr>
        <w:t xml:space="preserve"> minutes</w:t>
      </w:r>
      <w:r w:rsidRPr="00443122">
        <w:rPr>
          <w:rFonts w:ascii="Times New Roman" w:hAnsi="Times New Roman" w:cs="Times New Roman"/>
          <w:sz w:val="24"/>
          <w:szCs w:val="24"/>
          <w:lang w:val="en-US"/>
        </w:rPr>
        <w:t xml:space="preserve">. </w:t>
      </w:r>
    </w:p>
    <w:p w14:paraId="2717E766" w14:textId="77777777" w:rsidR="00E709D7" w:rsidRDefault="00E709D7" w:rsidP="00392637">
      <w:pPr>
        <w:rPr>
          <w:rFonts w:ascii="Times New Roman" w:hAnsi="Times New Roman" w:cs="Times New Roman"/>
          <w:sz w:val="24"/>
          <w:szCs w:val="24"/>
          <w:lang w:val="en-US"/>
        </w:rPr>
      </w:pPr>
    </w:p>
    <w:p w14:paraId="14C3863C" w14:textId="77777777" w:rsidR="00F21B66" w:rsidRDefault="00F21B66" w:rsidP="00F21B66">
      <w:pPr>
        <w:jc w:val="center"/>
        <w:rPr>
          <w:rFonts w:ascii="Times New Roman" w:hAnsi="Times New Roman" w:cs="Times New Roman"/>
          <w:sz w:val="24"/>
          <w:szCs w:val="24"/>
          <w:lang w:val="en-US"/>
        </w:rPr>
      </w:pPr>
      <w:r>
        <w:rPr>
          <w:noProof/>
          <w:lang w:eastAsia="da-DK"/>
        </w:rPr>
        <w:drawing>
          <wp:inline distT="0" distB="0" distL="0" distR="0" wp14:anchorId="4E03D755" wp14:editId="11E2D780">
            <wp:extent cx="2916382" cy="2161434"/>
            <wp:effectExtent l="0" t="0" r="0" b="0"/>
            <wp:docPr id="11" name="Picture 11" descr="http://kokam.com/wp-content/uploads/2015/02/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kokam.com/wp-content/uploads/2015/02/graph.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6947" cy="2161853"/>
                    </a:xfrm>
                    <a:prstGeom prst="rect">
                      <a:avLst/>
                    </a:prstGeom>
                    <a:noFill/>
                    <a:ln>
                      <a:noFill/>
                    </a:ln>
                  </pic:spPr>
                </pic:pic>
              </a:graphicData>
            </a:graphic>
          </wp:inline>
        </w:drawing>
      </w:r>
    </w:p>
    <w:p w14:paraId="2C016EC9" w14:textId="0457B2BE" w:rsidR="00F21B66" w:rsidRPr="00595B04" w:rsidRDefault="00F21B66" w:rsidP="00F21B66">
      <w:pPr>
        <w:rPr>
          <w:rFonts w:ascii="Times New Roman" w:hAnsi="Times New Roman" w:cs="Times New Roman"/>
          <w:i/>
          <w:color w:val="44546A" w:themeColor="text2"/>
          <w:lang w:val="en-US"/>
        </w:rPr>
      </w:pPr>
      <w:bookmarkStart w:id="49" w:name="_Ref528138495"/>
      <w:proofErr w:type="gramStart"/>
      <w:r w:rsidRPr="00595B04">
        <w:rPr>
          <w:rFonts w:ascii="Times New Roman" w:hAnsi="Times New Roman" w:cs="Times New Roman"/>
          <w:i/>
          <w:color w:val="44546A" w:themeColor="text2"/>
          <w:lang w:val="en-US"/>
        </w:rPr>
        <w:t xml:space="preserve">Figure </w:t>
      </w:r>
      <w:r w:rsidRPr="00595B04">
        <w:rPr>
          <w:rFonts w:ascii="Times New Roman" w:hAnsi="Times New Roman" w:cs="Times New Roman"/>
          <w:i/>
          <w:color w:val="44546A" w:themeColor="text2"/>
        </w:rPr>
        <w:fldChar w:fldCharType="begin"/>
      </w:r>
      <w:r w:rsidRPr="00595B04">
        <w:rPr>
          <w:rFonts w:ascii="Times New Roman" w:hAnsi="Times New Roman" w:cs="Times New Roman"/>
          <w:i/>
          <w:color w:val="44546A" w:themeColor="text2"/>
          <w:lang w:val="en-US"/>
        </w:rPr>
        <w:instrText xml:space="preserve"> SEQ Figure \* ARABIC </w:instrText>
      </w:r>
      <w:r w:rsidRPr="00595B04">
        <w:rPr>
          <w:rFonts w:ascii="Times New Roman" w:hAnsi="Times New Roman" w:cs="Times New Roman"/>
          <w:i/>
          <w:color w:val="44546A" w:themeColor="text2"/>
        </w:rPr>
        <w:fldChar w:fldCharType="separate"/>
      </w:r>
      <w:r w:rsidR="00E60026">
        <w:rPr>
          <w:rFonts w:ascii="Times New Roman" w:hAnsi="Times New Roman" w:cs="Times New Roman"/>
          <w:i/>
          <w:noProof/>
          <w:color w:val="44546A" w:themeColor="text2"/>
          <w:lang w:val="en-US"/>
        </w:rPr>
        <w:t>7</w:t>
      </w:r>
      <w:r w:rsidRPr="00595B04">
        <w:rPr>
          <w:rFonts w:ascii="Times New Roman" w:hAnsi="Times New Roman" w:cs="Times New Roman"/>
          <w:i/>
          <w:color w:val="44546A" w:themeColor="text2"/>
        </w:rPr>
        <w:fldChar w:fldCharType="end"/>
      </w:r>
      <w:bookmarkEnd w:id="49"/>
      <w:r w:rsidRPr="00595B04">
        <w:rPr>
          <w:rFonts w:ascii="Times New Roman" w:hAnsi="Times New Roman" w:cs="Times New Roman"/>
          <w:i/>
          <w:color w:val="44546A" w:themeColor="text2"/>
          <w:lang w:val="en-US"/>
        </w:rPr>
        <w:t>.</w:t>
      </w:r>
      <w:proofErr w:type="gramEnd"/>
      <w:r w:rsidRPr="00595B04">
        <w:rPr>
          <w:rFonts w:ascii="Times New Roman" w:hAnsi="Times New Roman" w:cs="Times New Roman"/>
          <w:i/>
          <w:color w:val="44546A" w:themeColor="text2"/>
          <w:lang w:val="en-US"/>
        </w:rPr>
        <w:t xml:space="preserve"> </w:t>
      </w:r>
      <w:r w:rsidR="00392637">
        <w:rPr>
          <w:rFonts w:ascii="Times New Roman" w:hAnsi="Times New Roman" w:cs="Times New Roman"/>
          <w:i/>
          <w:color w:val="44546A" w:themeColor="text2"/>
          <w:lang w:val="en-US"/>
        </w:rPr>
        <w:t>Conversion r</w:t>
      </w:r>
      <w:r w:rsidRPr="00595B04">
        <w:rPr>
          <w:rFonts w:ascii="Times New Roman" w:hAnsi="Times New Roman" w:cs="Times New Roman"/>
          <w:i/>
          <w:color w:val="44546A" w:themeColor="text2"/>
          <w:lang w:val="en-US"/>
        </w:rPr>
        <w:t xml:space="preserve">ound </w:t>
      </w:r>
      <w:r w:rsidR="00392637">
        <w:rPr>
          <w:rFonts w:ascii="Times New Roman" w:hAnsi="Times New Roman" w:cs="Times New Roman"/>
          <w:i/>
          <w:color w:val="44546A" w:themeColor="text2"/>
          <w:lang w:val="en-US"/>
        </w:rPr>
        <w:t>t</w:t>
      </w:r>
      <w:r w:rsidRPr="00595B04">
        <w:rPr>
          <w:rFonts w:ascii="Times New Roman" w:hAnsi="Times New Roman" w:cs="Times New Roman"/>
          <w:i/>
          <w:color w:val="44546A" w:themeColor="text2"/>
          <w:lang w:val="en-US"/>
        </w:rPr>
        <w:t xml:space="preserve">rip </w:t>
      </w:r>
      <w:r w:rsidR="00392637">
        <w:rPr>
          <w:rFonts w:ascii="Times New Roman" w:hAnsi="Times New Roman" w:cs="Times New Roman"/>
          <w:i/>
          <w:color w:val="44546A" w:themeColor="text2"/>
          <w:lang w:val="en-US"/>
        </w:rPr>
        <w:t>e</w:t>
      </w:r>
      <w:r w:rsidRPr="00595B04">
        <w:rPr>
          <w:rFonts w:ascii="Times New Roman" w:hAnsi="Times New Roman" w:cs="Times New Roman"/>
          <w:i/>
          <w:color w:val="44546A" w:themeColor="text2"/>
          <w:lang w:val="en-US"/>
        </w:rPr>
        <w:t xml:space="preserve">fficiency vs. C-rate for one of </w:t>
      </w:r>
      <w:proofErr w:type="spellStart"/>
      <w:r w:rsidRPr="00595B04">
        <w:rPr>
          <w:rFonts w:ascii="Times New Roman" w:hAnsi="Times New Roman" w:cs="Times New Roman"/>
          <w:i/>
          <w:color w:val="44546A" w:themeColor="text2"/>
          <w:lang w:val="en-US"/>
        </w:rPr>
        <w:t>Kokam’s</w:t>
      </w:r>
      <w:proofErr w:type="spellEnd"/>
      <w:r w:rsidRPr="00595B04">
        <w:rPr>
          <w:rFonts w:ascii="Times New Roman" w:hAnsi="Times New Roman" w:cs="Times New Roman"/>
          <w:i/>
          <w:color w:val="44546A" w:themeColor="text2"/>
          <w:lang w:val="en-US"/>
        </w:rPr>
        <w:t xml:space="preserve"> NMC-based lithium polymer batteries </w:t>
      </w:r>
      <w:r w:rsidRPr="00595B04">
        <w:rPr>
          <w:rFonts w:ascii="Times New Roman" w:hAnsi="Times New Roman" w:cs="Times New Roman"/>
          <w:i/>
          <w:color w:val="44546A" w:themeColor="text2"/>
          <w:lang w:val="en-US"/>
        </w:rPr>
        <w:fldChar w:fldCharType="begin" w:fldLock="1"/>
      </w:r>
      <w:r w:rsidR="000439FA">
        <w:rPr>
          <w:rFonts w:ascii="Times New Roman" w:hAnsi="Times New Roman" w:cs="Times New Roman"/>
          <w:i/>
          <w:color w:val="44546A" w:themeColor="text2"/>
          <w:lang w:val="en-US"/>
        </w:rPr>
        <w:instrText>ADDIN CSL_CITATION {"citationItems":[{"id":"ITEM-1","itemData":{"URL":"http://kokam.com/cell/","author":[{"dropping-particle":"","family":"Kokam Co.","given":"Ltd.","non-dropping-particle":"","parse-names":false,"suffix":""}],"id":"ITEM-1","issued":{"date-parts":[["0"]]},"title":"Lithium Ion Polymer Cells - High Energy High Power</w:instrText>
      </w:r>
      <w:r w:rsidR="000439FA">
        <w:rPr>
          <w:rFonts w:ascii="Gulim" w:eastAsia="Gulim" w:hAnsi="Gulim" w:cs="Gulim" w:hint="eastAsia"/>
          <w:i/>
          <w:color w:val="44546A" w:themeColor="text2"/>
          <w:lang w:val="en-US"/>
        </w:rPr>
        <w:instrText>ㅣ</w:instrText>
      </w:r>
      <w:r w:rsidR="000439FA">
        <w:rPr>
          <w:rFonts w:ascii="Times New Roman" w:hAnsi="Times New Roman" w:cs="Times New Roman"/>
          <w:i/>
          <w:color w:val="44546A" w:themeColor="text2"/>
          <w:lang w:val="en-US"/>
        </w:rPr>
        <w:instrText>Kokam Battery Cells","type":"webpage"},"uris":["http://www.mendeley.com/documents/?uuid=56d423a0-c788-440e-ac49-877850594ddb"]}],"mendeley":{"formattedCitation":"[19]","plainTextFormattedCitation":"[19]","previouslyFormattedCitation":"[19]"},"properties":{"noteIndex":0},"schema":"https://github.com/citation-style-language/schema/raw/master/csl-citation.json"}</w:instrText>
      </w:r>
      <w:r w:rsidRPr="00595B04">
        <w:rPr>
          <w:rFonts w:ascii="Times New Roman" w:hAnsi="Times New Roman" w:cs="Times New Roman"/>
          <w:i/>
          <w:color w:val="44546A" w:themeColor="text2"/>
          <w:lang w:val="en-US"/>
        </w:rPr>
        <w:fldChar w:fldCharType="separate"/>
      </w:r>
      <w:r w:rsidR="004646E5" w:rsidRPr="004646E5">
        <w:rPr>
          <w:rFonts w:ascii="Times New Roman" w:hAnsi="Times New Roman" w:cs="Times New Roman"/>
          <w:noProof/>
          <w:color w:val="44546A" w:themeColor="text2"/>
          <w:lang w:val="en-US"/>
        </w:rPr>
        <w:t>[19]</w:t>
      </w:r>
      <w:r w:rsidRPr="00595B04">
        <w:rPr>
          <w:rFonts w:ascii="Times New Roman" w:hAnsi="Times New Roman" w:cs="Times New Roman"/>
          <w:i/>
          <w:color w:val="44546A" w:themeColor="text2"/>
          <w:lang w:val="en-US"/>
        </w:rPr>
        <w:fldChar w:fldCharType="end"/>
      </w:r>
      <w:r w:rsidRPr="00595B04">
        <w:rPr>
          <w:rFonts w:ascii="Times New Roman" w:hAnsi="Times New Roman" w:cs="Times New Roman"/>
          <w:i/>
          <w:color w:val="44546A" w:themeColor="text2"/>
          <w:lang w:val="en-US"/>
        </w:rPr>
        <w:t xml:space="preserve">.  </w:t>
      </w:r>
    </w:p>
    <w:p w14:paraId="47A245B9" w14:textId="5478D9BA" w:rsidR="00392637" w:rsidRDefault="00392637" w:rsidP="004A49E2">
      <w:pPr>
        <w:rPr>
          <w:rFonts w:ascii="Times New Roman" w:hAnsi="Times New Roman" w:cs="Times New Roman"/>
          <w:sz w:val="24"/>
          <w:lang w:val="en-US"/>
        </w:rPr>
      </w:pPr>
      <w:r w:rsidRPr="00392637">
        <w:rPr>
          <w:rFonts w:ascii="Times New Roman" w:hAnsi="Times New Roman" w:cs="Times New Roman"/>
          <w:sz w:val="24"/>
          <w:lang w:val="en-US"/>
        </w:rPr>
        <w:t xml:space="preserve">The </w:t>
      </w:r>
      <w:r>
        <w:rPr>
          <w:rFonts w:ascii="Times New Roman" w:hAnsi="Times New Roman" w:cs="Times New Roman"/>
          <w:sz w:val="24"/>
          <w:lang w:val="en-US"/>
        </w:rPr>
        <w:t xml:space="preserve">system </w:t>
      </w:r>
      <w:r w:rsidRPr="00392637">
        <w:rPr>
          <w:rFonts w:ascii="Times New Roman" w:hAnsi="Times New Roman" w:cs="Times New Roman"/>
          <w:sz w:val="24"/>
          <w:lang w:val="en-US"/>
        </w:rPr>
        <w:t xml:space="preserve">conversion </w:t>
      </w:r>
      <w:proofErr w:type="spellStart"/>
      <w:r w:rsidR="00D35F9A">
        <w:rPr>
          <w:rFonts w:ascii="Times New Roman" w:hAnsi="Times New Roman" w:cs="Times New Roman"/>
          <w:sz w:val="24"/>
          <w:lang w:val="en-US"/>
        </w:rPr>
        <w:t>roundtrip</w:t>
      </w:r>
      <w:proofErr w:type="spellEnd"/>
      <w:r w:rsidRPr="00392637">
        <w:rPr>
          <w:rFonts w:ascii="Times New Roman" w:hAnsi="Times New Roman" w:cs="Times New Roman"/>
          <w:sz w:val="24"/>
          <w:lang w:val="en-US"/>
        </w:rPr>
        <w:t xml:space="preserve"> e</w:t>
      </w:r>
      <w:r w:rsidRPr="00392637">
        <w:rPr>
          <w:rFonts w:ascii="Cambria Math" w:hAnsi="Cambria Math" w:cs="Cambria Math"/>
          <w:sz w:val="24"/>
          <w:lang w:val="en-US"/>
        </w:rPr>
        <w:t>ﬃ</w:t>
      </w:r>
      <w:r w:rsidRPr="00392637">
        <w:rPr>
          <w:rFonts w:ascii="Times New Roman" w:hAnsi="Times New Roman" w:cs="Times New Roman"/>
          <w:sz w:val="24"/>
          <w:lang w:val="en-US"/>
        </w:rPr>
        <w:t xml:space="preserve">ciency </w:t>
      </w:r>
      <w:r w:rsidR="00E32665" w:rsidRPr="00E32665">
        <w:rPr>
          <w:rFonts w:ascii="Times New Roman" w:hAnsi="Times New Roman" w:cs="Times New Roman"/>
          <w:noProof/>
          <w:position w:val="-12"/>
          <w:sz w:val="24"/>
          <w:lang w:val="en-US"/>
        </w:rPr>
        <w:object w:dxaOrig="840" w:dyaOrig="360" w14:anchorId="505F5821">
          <v:shape id="_x0000_i1029" type="#_x0000_t75" alt="" style="width:42.1pt;height:17.75pt;mso-width-percent:0;mso-height-percent:0;mso-width-percent:0;mso-height-percent:0" o:ole="">
            <v:imagedata r:id="rId29" o:title=""/>
          </v:shape>
          <o:OLEObject Type="Embed" ProgID="Equation.DSMT4" ShapeID="_x0000_i1029" DrawAspect="Content" ObjectID="_1603709462" r:id="rId30"/>
        </w:object>
      </w:r>
      <w:r>
        <w:rPr>
          <w:rFonts w:ascii="Times New Roman" w:hAnsi="Times New Roman" w:cs="Times New Roman"/>
          <w:sz w:val="24"/>
          <w:lang w:val="en-US"/>
        </w:rPr>
        <w:t xml:space="preserve"> </w:t>
      </w:r>
      <w:r w:rsidRPr="00392637">
        <w:rPr>
          <w:rFonts w:ascii="Times New Roman" w:hAnsi="Times New Roman" w:cs="Times New Roman"/>
          <w:sz w:val="24"/>
          <w:lang w:val="en-US"/>
        </w:rPr>
        <w:t>considers losses which occur on the conversion path from the energy charged</w:t>
      </w:r>
      <w:r w:rsidR="00E32665" w:rsidRPr="00E32665">
        <w:rPr>
          <w:rFonts w:ascii="Times New Roman" w:hAnsi="Times New Roman" w:cs="Times New Roman"/>
          <w:noProof/>
          <w:position w:val="-14"/>
          <w:sz w:val="24"/>
          <w:lang w:val="en-US"/>
        </w:rPr>
        <w:object w:dxaOrig="859" w:dyaOrig="380" w14:anchorId="6694BB69">
          <v:shape id="_x0000_i1030" type="#_x0000_t75" alt="" style="width:43pt;height:18.7pt;mso-width-percent:0;mso-height-percent:0;mso-width-percent:0;mso-height-percent:0" o:ole="">
            <v:imagedata r:id="rId31" o:title=""/>
          </v:shape>
          <o:OLEObject Type="Embed" ProgID="Equation.DSMT4" ShapeID="_x0000_i1030" DrawAspect="Content" ObjectID="_1603709463" r:id="rId32"/>
        </w:object>
      </w:r>
      <w:r>
        <w:rPr>
          <w:rFonts w:ascii="Times New Roman" w:hAnsi="Times New Roman" w:cs="Times New Roman"/>
          <w:sz w:val="24"/>
          <w:lang w:val="en-US"/>
        </w:rPr>
        <w:t xml:space="preserve"> and the energy discharged </w:t>
      </w:r>
      <w:r w:rsidR="00E32665" w:rsidRPr="00E32665">
        <w:rPr>
          <w:rFonts w:ascii="Times New Roman" w:hAnsi="Times New Roman" w:cs="Times New Roman"/>
          <w:noProof/>
          <w:position w:val="-14"/>
          <w:sz w:val="24"/>
          <w:lang w:val="en-US"/>
        </w:rPr>
        <w:object w:dxaOrig="1040" w:dyaOrig="380" w14:anchorId="12A65CE9">
          <v:shape id="_x0000_i1031" type="#_x0000_t75" alt="" style="width:53.3pt;height:18.7pt;mso-width-percent:0;mso-height-percent:0;mso-width-percent:0;mso-height-percent:0" o:ole="">
            <v:imagedata r:id="rId33" o:title=""/>
          </v:shape>
          <o:OLEObject Type="Embed" ProgID="Equation.DSMT4" ShapeID="_x0000_i1031" DrawAspect="Content" ObjectID="_1603709464" r:id="rId34"/>
        </w:object>
      </w:r>
      <w:r>
        <w:rPr>
          <w:rFonts w:ascii="Times New Roman" w:hAnsi="Times New Roman" w:cs="Times New Roman"/>
          <w:sz w:val="24"/>
          <w:lang w:val="en-US"/>
        </w:rPr>
        <w:t xml:space="preserve"> </w:t>
      </w:r>
      <w:r w:rsidRPr="00392637">
        <w:rPr>
          <w:rFonts w:ascii="Times New Roman" w:hAnsi="Times New Roman" w:cs="Times New Roman"/>
          <w:sz w:val="24"/>
          <w:lang w:val="en-US"/>
        </w:rPr>
        <w:t>from/to the grid. It includes the conversion losses in the battery and power electronics</w:t>
      </w:r>
    </w:p>
    <w:p w14:paraId="530DA9FA" w14:textId="77777777" w:rsidR="00392637" w:rsidRDefault="00392637" w:rsidP="004A49E2">
      <w:pPr>
        <w:rPr>
          <w:rFonts w:ascii="Times New Roman" w:hAnsi="Times New Roman" w:cs="Times New Roman"/>
          <w:sz w:val="24"/>
          <w:lang w:val="en-US"/>
        </w:rPr>
      </w:pPr>
      <w:proofErr w:type="gramStart"/>
      <w:r>
        <w:rPr>
          <w:rFonts w:ascii="Times New Roman" w:hAnsi="Times New Roman" w:cs="Times New Roman"/>
          <w:sz w:val="24"/>
          <w:lang w:val="en-US"/>
        </w:rPr>
        <w:t>and</w:t>
      </w:r>
      <w:proofErr w:type="gramEnd"/>
      <w:r>
        <w:rPr>
          <w:rFonts w:ascii="Times New Roman" w:hAnsi="Times New Roman" w:cs="Times New Roman"/>
          <w:sz w:val="24"/>
          <w:lang w:val="en-US"/>
        </w:rPr>
        <w:t xml:space="preserve"> can be written as </w:t>
      </w:r>
    </w:p>
    <w:p w14:paraId="58D70E87" w14:textId="10F17C8A" w:rsidR="00392637" w:rsidRDefault="00392637" w:rsidP="00392637">
      <w:pPr>
        <w:pStyle w:val="MTDisplayEquation"/>
      </w:pPr>
      <w:r>
        <w:tab/>
      </w:r>
      <w:r w:rsidR="00E32665" w:rsidRPr="00392637">
        <w:rPr>
          <w:noProof/>
          <w:position w:val="-32"/>
        </w:rPr>
        <w:object w:dxaOrig="2120" w:dyaOrig="720" w14:anchorId="7D8DFAE9">
          <v:shape id="_x0000_i1032" type="#_x0000_t75" alt="" style="width:107.55pt;height:36.45pt;mso-width-percent:0;mso-height-percent:0;mso-width-percent:0;mso-height-percent:0" o:ole="">
            <v:imagedata r:id="rId35" o:title=""/>
          </v:shape>
          <o:OLEObject Type="Embed" ProgID="Equation.DSMT4" ShapeID="_x0000_i1032" DrawAspect="Content" ObjectID="_1603709465" r:id="rId36"/>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301DD4">
        <w:rPr>
          <w:noProof/>
        </w:rPr>
        <w:fldChar w:fldCharType="begin"/>
      </w:r>
      <w:r w:rsidR="00301DD4">
        <w:rPr>
          <w:noProof/>
        </w:rPr>
        <w:instrText xml:space="preserve"> SEQ MTEqn \c \* Arabic \* MERGEFORMAT </w:instrText>
      </w:r>
      <w:r w:rsidR="00301DD4">
        <w:rPr>
          <w:noProof/>
        </w:rPr>
        <w:fldChar w:fldCharType="separate"/>
      </w:r>
      <w:r w:rsidR="00E60026">
        <w:rPr>
          <w:noProof/>
        </w:rPr>
        <w:instrText>3</w:instrText>
      </w:r>
      <w:r w:rsidR="00301DD4">
        <w:rPr>
          <w:noProof/>
        </w:rPr>
        <w:fldChar w:fldCharType="end"/>
      </w:r>
      <w:r>
        <w:instrText>)</w:instrText>
      </w:r>
      <w:r>
        <w:fldChar w:fldCharType="end"/>
      </w:r>
    </w:p>
    <w:p w14:paraId="332F8954" w14:textId="790D25F0" w:rsidR="00392637" w:rsidRDefault="00392637" w:rsidP="004A49E2">
      <w:pPr>
        <w:rPr>
          <w:rFonts w:ascii="Times New Roman" w:hAnsi="Times New Roman" w:cs="Times New Roman"/>
          <w:sz w:val="24"/>
          <w:lang w:val="en-US"/>
        </w:rPr>
      </w:pPr>
      <w:r>
        <w:rPr>
          <w:rFonts w:ascii="Times New Roman" w:hAnsi="Times New Roman" w:cs="Times New Roman"/>
          <w:sz w:val="24"/>
          <w:lang w:val="en-US"/>
        </w:rPr>
        <w:t>T</w:t>
      </w:r>
      <w:r w:rsidRPr="00392637">
        <w:rPr>
          <w:rFonts w:ascii="Times New Roman" w:hAnsi="Times New Roman" w:cs="Times New Roman"/>
          <w:sz w:val="24"/>
          <w:lang w:val="en-US"/>
        </w:rPr>
        <w:t xml:space="preserve">he total </w:t>
      </w:r>
      <w:proofErr w:type="spellStart"/>
      <w:r w:rsidR="00D35F9A">
        <w:rPr>
          <w:rFonts w:ascii="Times New Roman" w:hAnsi="Times New Roman" w:cs="Times New Roman"/>
          <w:sz w:val="24"/>
          <w:lang w:val="en-US"/>
        </w:rPr>
        <w:t>roundtrip</w:t>
      </w:r>
      <w:proofErr w:type="spellEnd"/>
      <w:r w:rsidRPr="00392637">
        <w:rPr>
          <w:rFonts w:ascii="Times New Roman" w:hAnsi="Times New Roman" w:cs="Times New Roman"/>
          <w:sz w:val="24"/>
          <w:lang w:val="en-US"/>
        </w:rPr>
        <w:t xml:space="preserve"> e</w:t>
      </w:r>
      <w:r w:rsidRPr="00392637">
        <w:rPr>
          <w:rFonts w:ascii="Cambria Math" w:hAnsi="Cambria Math" w:cs="Cambria Math"/>
          <w:sz w:val="24"/>
          <w:lang w:val="en-US"/>
        </w:rPr>
        <w:t>ﬃ</w:t>
      </w:r>
      <w:r w:rsidRPr="00392637">
        <w:rPr>
          <w:rFonts w:ascii="Times New Roman" w:hAnsi="Times New Roman" w:cs="Times New Roman"/>
          <w:sz w:val="24"/>
          <w:lang w:val="en-US"/>
        </w:rPr>
        <w:t xml:space="preserve">ciency </w:t>
      </w:r>
      <w:r w:rsidR="00E32665" w:rsidRPr="00E32665">
        <w:rPr>
          <w:rFonts w:ascii="Times New Roman" w:hAnsi="Times New Roman" w:cs="Times New Roman"/>
          <w:noProof/>
          <w:position w:val="-12"/>
          <w:sz w:val="24"/>
          <w:lang w:val="en-US"/>
        </w:rPr>
        <w:object w:dxaOrig="499" w:dyaOrig="360" w14:anchorId="5DDD630F">
          <v:shape id="_x0000_i1033" type="#_x0000_t75" alt="" style="width:25.25pt;height:17.75pt;mso-width-percent:0;mso-height-percent:0;mso-width-percent:0;mso-height-percent:0" o:ole="">
            <v:imagedata r:id="rId37" o:title=""/>
          </v:shape>
          <o:OLEObject Type="Embed" ProgID="Equation.DSMT4" ShapeID="_x0000_i1033" DrawAspect="Content" ObjectID="_1603709466" r:id="rId38"/>
        </w:object>
      </w:r>
      <w:r>
        <w:rPr>
          <w:rFonts w:ascii="Times New Roman" w:hAnsi="Times New Roman" w:cs="Times New Roman"/>
          <w:sz w:val="24"/>
          <w:lang w:val="en-US"/>
        </w:rPr>
        <w:t xml:space="preserve"> </w:t>
      </w:r>
      <w:r w:rsidRPr="00392637">
        <w:rPr>
          <w:rFonts w:ascii="Times New Roman" w:hAnsi="Times New Roman" w:cs="Times New Roman"/>
          <w:sz w:val="24"/>
          <w:lang w:val="en-US"/>
        </w:rPr>
        <w:t xml:space="preserve">further includes the </w:t>
      </w:r>
      <w:r>
        <w:rPr>
          <w:rFonts w:ascii="Times New Roman" w:hAnsi="Times New Roman" w:cs="Times New Roman"/>
          <w:sz w:val="24"/>
          <w:lang w:val="en-US"/>
        </w:rPr>
        <w:t>standby losses</w:t>
      </w:r>
      <w:r w:rsidR="00B95C79">
        <w:rPr>
          <w:rFonts w:ascii="Times New Roman" w:hAnsi="Times New Roman" w:cs="Times New Roman"/>
          <w:sz w:val="24"/>
          <w:lang w:val="en-US"/>
        </w:rPr>
        <w:t>:</w:t>
      </w:r>
      <w:r>
        <w:rPr>
          <w:rFonts w:ascii="Times New Roman" w:hAnsi="Times New Roman" w:cs="Times New Roman"/>
          <w:sz w:val="24"/>
          <w:lang w:val="en-US"/>
        </w:rPr>
        <w:t xml:space="preserve">  </w:t>
      </w:r>
    </w:p>
    <w:p w14:paraId="3A612ADE" w14:textId="292737AB" w:rsidR="00392637" w:rsidRDefault="00B95C79" w:rsidP="00B95C79">
      <w:pPr>
        <w:pStyle w:val="MTDisplayEquation"/>
      </w:pPr>
      <w:r>
        <w:tab/>
      </w:r>
      <w:r w:rsidR="001306C5" w:rsidRPr="00B95C79">
        <w:rPr>
          <w:noProof/>
          <w:position w:val="-32"/>
        </w:rPr>
        <w:object w:dxaOrig="2160" w:dyaOrig="720" w14:anchorId="0A4F799B">
          <v:shape id="_x0000_i1034" type="#_x0000_t75" alt="" style="width:108.45pt;height:36.45pt" o:ole="">
            <v:imagedata r:id="rId39" o:title=""/>
          </v:shape>
          <o:OLEObject Type="Embed" ProgID="Equation.DSMT4" ShapeID="_x0000_i1034" DrawAspect="Content" ObjectID="_1603709467" r:id="rId40"/>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301DD4">
        <w:rPr>
          <w:noProof/>
        </w:rPr>
        <w:fldChar w:fldCharType="begin"/>
      </w:r>
      <w:r w:rsidR="00301DD4">
        <w:rPr>
          <w:noProof/>
        </w:rPr>
        <w:instrText xml:space="preserve"> SEQ MTEqn \c \* Arabic \* MERGEFORMAT </w:instrText>
      </w:r>
      <w:r w:rsidR="00301DD4">
        <w:rPr>
          <w:noProof/>
        </w:rPr>
        <w:fldChar w:fldCharType="separate"/>
      </w:r>
      <w:r w:rsidR="00E60026">
        <w:rPr>
          <w:noProof/>
        </w:rPr>
        <w:instrText>4</w:instrText>
      </w:r>
      <w:r w:rsidR="00301DD4">
        <w:rPr>
          <w:noProof/>
        </w:rPr>
        <w:fldChar w:fldCharType="end"/>
      </w:r>
      <w:r>
        <w:instrText>)</w:instrText>
      </w:r>
      <w:r>
        <w:fldChar w:fldCharType="end"/>
      </w:r>
    </w:p>
    <w:p w14:paraId="0550F170" w14:textId="69464396" w:rsidR="00405A51" w:rsidRDefault="001306C5" w:rsidP="004A49E2">
      <w:pPr>
        <w:rPr>
          <w:rFonts w:ascii="Times New Roman" w:hAnsi="Times New Roman" w:cs="Times New Roman"/>
          <w:lang w:val="en-US"/>
        </w:rPr>
      </w:pPr>
      <w:r>
        <w:rPr>
          <w:rFonts w:ascii="Times New Roman" w:hAnsi="Times New Roman" w:cs="Times New Roman"/>
          <w:sz w:val="24"/>
          <w:lang w:val="en-US"/>
        </w:rPr>
        <w:t xml:space="preserve">Here </w:t>
      </w:r>
      <w:r w:rsidRPr="001306C5">
        <w:rPr>
          <w:rFonts w:ascii="Times New Roman" w:hAnsi="Times New Roman" w:cs="Times New Roman"/>
          <w:position w:val="-12"/>
          <w:sz w:val="24"/>
          <w:lang w:val="en-US"/>
        </w:rPr>
        <w:object w:dxaOrig="400" w:dyaOrig="360" w14:anchorId="2B62272A">
          <v:shape id="_x0000_i1035" type="#_x0000_t75" style="width:20.55pt;height:17.75pt" o:ole="">
            <v:imagedata r:id="rId41" o:title=""/>
          </v:shape>
          <o:OLEObject Type="Embed" ProgID="Equation.DSMT4" ShapeID="_x0000_i1035" DrawAspect="Content" ObjectID="_1603709468" r:id="rId42"/>
        </w:object>
      </w:r>
      <w:r>
        <w:rPr>
          <w:rFonts w:ascii="Times New Roman" w:hAnsi="Times New Roman" w:cs="Times New Roman"/>
          <w:sz w:val="24"/>
          <w:lang w:val="en-US"/>
        </w:rPr>
        <w:t xml:space="preserve"> denotes </w:t>
      </w:r>
      <w:r w:rsidRPr="001306C5">
        <w:rPr>
          <w:rFonts w:ascii="Times New Roman" w:hAnsi="Times New Roman" w:cs="Times New Roman"/>
          <w:sz w:val="24"/>
          <w:lang w:val="en-US"/>
        </w:rPr>
        <w:t xml:space="preserve">the energy required from the grid to </w:t>
      </w:r>
      <w:r>
        <w:rPr>
          <w:rFonts w:ascii="Times New Roman" w:hAnsi="Times New Roman" w:cs="Times New Roman"/>
          <w:sz w:val="24"/>
          <w:lang w:val="en-US"/>
        </w:rPr>
        <w:t xml:space="preserve">continuously </w:t>
      </w:r>
      <w:r w:rsidRPr="001306C5">
        <w:rPr>
          <w:rFonts w:ascii="Times New Roman" w:hAnsi="Times New Roman" w:cs="Times New Roman"/>
          <w:sz w:val="24"/>
          <w:lang w:val="en-US"/>
        </w:rPr>
        <w:t xml:space="preserve">operate BOP and maintain state of charge. </w:t>
      </w:r>
      <w:r w:rsidR="00523957">
        <w:rPr>
          <w:rFonts w:ascii="Times New Roman" w:hAnsi="Times New Roman" w:cs="Times New Roman"/>
          <w:sz w:val="24"/>
          <w:lang w:val="en-US"/>
        </w:rPr>
        <w:t xml:space="preserve">The various types of losses makes </w:t>
      </w:r>
      <w:r w:rsidR="00E32665" w:rsidRPr="00E32665">
        <w:rPr>
          <w:rFonts w:ascii="Times New Roman" w:hAnsi="Times New Roman" w:cs="Times New Roman"/>
          <w:noProof/>
          <w:position w:val="-12"/>
          <w:sz w:val="24"/>
          <w:lang w:val="en-US"/>
        </w:rPr>
        <w:object w:dxaOrig="499" w:dyaOrig="360" w14:anchorId="1817F2D2">
          <v:shape id="_x0000_i1036" type="#_x0000_t75" alt="" style="width:25.25pt;height:17.75pt;mso-width-percent:0;mso-height-percent:0;mso-width-percent:0;mso-height-percent:0" o:ole="">
            <v:imagedata r:id="rId37" o:title=""/>
          </v:shape>
          <o:OLEObject Type="Embed" ProgID="Equation.DSMT4" ShapeID="_x0000_i1036" DrawAspect="Content" ObjectID="_1603709469" r:id="rId43"/>
        </w:object>
      </w:r>
      <w:r w:rsidR="00581384" w:rsidRPr="00581384">
        <w:rPr>
          <w:rFonts w:ascii="Times New Roman" w:hAnsi="Times New Roman" w:cs="Times New Roman"/>
          <w:sz w:val="24"/>
          <w:lang w:val="en-US"/>
        </w:rPr>
        <w:t xml:space="preserve"> heavily </w:t>
      </w:r>
      <w:r w:rsidR="00581384" w:rsidRPr="00B07B3A">
        <w:rPr>
          <w:rFonts w:ascii="Times New Roman" w:hAnsi="Times New Roman" w:cs="Times New Roman"/>
          <w:sz w:val="24"/>
          <w:szCs w:val="24"/>
          <w:lang w:val="en-US"/>
        </w:rPr>
        <w:t>depend</w:t>
      </w:r>
      <w:r w:rsidR="00B30429">
        <w:rPr>
          <w:rFonts w:ascii="Times New Roman" w:hAnsi="Times New Roman" w:cs="Times New Roman"/>
          <w:sz w:val="24"/>
          <w:szCs w:val="24"/>
          <w:lang w:val="en-US"/>
        </w:rPr>
        <w:t>ent</w:t>
      </w:r>
      <w:r w:rsidR="00581384" w:rsidRPr="00B07B3A">
        <w:rPr>
          <w:rFonts w:ascii="Times New Roman" w:hAnsi="Times New Roman" w:cs="Times New Roman"/>
          <w:sz w:val="24"/>
          <w:szCs w:val="24"/>
          <w:lang w:val="en-US"/>
        </w:rPr>
        <w:t xml:space="preserve"> on the application. </w:t>
      </w:r>
      <w:r w:rsidR="008B7918">
        <w:rPr>
          <w:rFonts w:ascii="Times New Roman" w:hAnsi="Times New Roman" w:cs="Times New Roman"/>
          <w:sz w:val="24"/>
          <w:szCs w:val="24"/>
          <w:lang w:val="en-US"/>
        </w:rPr>
        <w:t>As an example, a</w:t>
      </w:r>
      <w:r w:rsidR="00282754">
        <w:rPr>
          <w:rFonts w:ascii="Times New Roman" w:hAnsi="Times New Roman" w:cs="Times New Roman"/>
          <w:sz w:val="24"/>
          <w:szCs w:val="24"/>
          <w:lang w:val="en-US"/>
        </w:rPr>
        <w:t xml:space="preserve">n 11 MW/4.4 MWh LIB system was installed in Maui, Hawaii for </w:t>
      </w:r>
      <w:r w:rsidR="00282754" w:rsidRPr="00282754">
        <w:rPr>
          <w:rFonts w:ascii="Times New Roman" w:hAnsi="Times New Roman" w:cs="Times New Roman"/>
          <w:sz w:val="24"/>
          <w:szCs w:val="24"/>
          <w:lang w:val="en-US"/>
        </w:rPr>
        <w:t>wind ramp management</w:t>
      </w:r>
      <w:r w:rsidR="00282754">
        <w:rPr>
          <w:rFonts w:ascii="Times New Roman" w:hAnsi="Times New Roman" w:cs="Times New Roman"/>
          <w:sz w:val="24"/>
          <w:szCs w:val="24"/>
          <w:lang w:val="en-US"/>
        </w:rPr>
        <w:t>, essentially</w:t>
      </w:r>
      <w:r w:rsidR="00282754" w:rsidRPr="00282754">
        <w:rPr>
          <w:rFonts w:ascii="Times New Roman" w:hAnsi="Times New Roman" w:cs="Times New Roman"/>
          <w:sz w:val="24"/>
          <w:szCs w:val="24"/>
          <w:lang w:val="en-US"/>
        </w:rPr>
        <w:t xml:space="preserve"> smoothing the output of </w:t>
      </w:r>
      <w:r w:rsidR="00282754">
        <w:rPr>
          <w:rFonts w:ascii="Times New Roman" w:hAnsi="Times New Roman" w:cs="Times New Roman"/>
          <w:sz w:val="24"/>
          <w:szCs w:val="24"/>
          <w:lang w:val="en-US"/>
        </w:rPr>
        <w:t>an</w:t>
      </w:r>
      <w:r w:rsidR="00282754" w:rsidRPr="00282754">
        <w:rPr>
          <w:rFonts w:ascii="Times New Roman" w:hAnsi="Times New Roman" w:cs="Times New Roman"/>
          <w:sz w:val="24"/>
          <w:szCs w:val="24"/>
          <w:lang w:val="en-US"/>
        </w:rPr>
        <w:t xml:space="preserve"> 21</w:t>
      </w:r>
      <w:r w:rsidR="00282754">
        <w:rPr>
          <w:rFonts w:ascii="Times New Roman" w:hAnsi="Times New Roman" w:cs="Times New Roman"/>
          <w:sz w:val="24"/>
          <w:szCs w:val="24"/>
          <w:lang w:val="en-US"/>
        </w:rPr>
        <w:t xml:space="preserve"> </w:t>
      </w:r>
      <w:r w:rsidR="00282754" w:rsidRPr="00282754">
        <w:rPr>
          <w:rFonts w:ascii="Times New Roman" w:hAnsi="Times New Roman" w:cs="Times New Roman"/>
          <w:sz w:val="24"/>
          <w:szCs w:val="24"/>
          <w:lang w:val="en-US"/>
        </w:rPr>
        <w:t>MW wind farm</w:t>
      </w:r>
      <w:r w:rsidR="00282754">
        <w:rPr>
          <w:rFonts w:ascii="Times New Roman" w:hAnsi="Times New Roman" w:cs="Times New Roman"/>
          <w:sz w:val="24"/>
          <w:szCs w:val="24"/>
          <w:lang w:val="en-US"/>
        </w:rPr>
        <w:t xml:space="preserve"> </w:t>
      </w:r>
      <w:r w:rsidR="00282754">
        <w:rPr>
          <w:rFonts w:ascii="Times New Roman" w:hAnsi="Times New Roman" w:cs="Times New Roman"/>
          <w:sz w:val="24"/>
          <w:szCs w:val="24"/>
          <w:lang w:val="en-US"/>
        </w:rPr>
        <w:fldChar w:fldCharType="begin" w:fldLock="1"/>
      </w:r>
      <w:r w:rsidR="002E3D04">
        <w:rPr>
          <w:rFonts w:ascii="Times New Roman" w:hAnsi="Times New Roman" w:cs="Times New Roman"/>
          <w:sz w:val="24"/>
          <w:szCs w:val="24"/>
          <w:lang w:val="en-US"/>
        </w:rPr>
        <w:instrText>ADDIN CSL_CITATION {"citationItems":[{"id":"ITEM-1","itemData":{"URL":"http://www.semprarenewables.com/project/auwahi-wind/","accessed":{"date-parts":[["2018","10","25"]]},"id":"ITEM-1","issued":{"date-parts":[["0"]]},"title":"Auwahi Wind - Sempra Renewables","type":"webpage"},"uris":["http://www.mendeley.com/documents/?uuid=f1a41703-6333-3bd1-8c1c-590a33022919","http://www.mendeley.com/documents/?uuid=b4361425-105d-442c-a2e2-8cc45b748b7c"]}],"mendeley":{"formattedCitation":"[20]","plainTextFormattedCitation":"[20]","previouslyFormattedCitation":"[20]"},"properties":{"noteIndex":0},"schema":"https://github.com/citation-style-language/schema/raw/master/csl-citation.json"}</w:instrText>
      </w:r>
      <w:r w:rsidR="00282754">
        <w:rPr>
          <w:rFonts w:ascii="Times New Roman" w:hAnsi="Times New Roman" w:cs="Times New Roman"/>
          <w:sz w:val="24"/>
          <w:szCs w:val="24"/>
          <w:lang w:val="en-US"/>
        </w:rPr>
        <w:fldChar w:fldCharType="separate"/>
      </w:r>
      <w:r w:rsidR="004646E5" w:rsidRPr="004646E5">
        <w:rPr>
          <w:rFonts w:ascii="Times New Roman" w:hAnsi="Times New Roman" w:cs="Times New Roman"/>
          <w:noProof/>
          <w:sz w:val="24"/>
          <w:szCs w:val="24"/>
          <w:lang w:val="en-US"/>
        </w:rPr>
        <w:t>[20]</w:t>
      </w:r>
      <w:r w:rsidR="00282754">
        <w:rPr>
          <w:rFonts w:ascii="Times New Roman" w:hAnsi="Times New Roman" w:cs="Times New Roman"/>
          <w:sz w:val="24"/>
          <w:szCs w:val="24"/>
          <w:lang w:val="en-US"/>
        </w:rPr>
        <w:fldChar w:fldCharType="end"/>
      </w:r>
      <w:r w:rsidR="00282754">
        <w:rPr>
          <w:rFonts w:ascii="Times New Roman" w:hAnsi="Times New Roman" w:cs="Times New Roman"/>
          <w:sz w:val="24"/>
          <w:szCs w:val="24"/>
          <w:lang w:val="en-US"/>
        </w:rPr>
        <w:t xml:space="preserve">. </w:t>
      </w:r>
      <w:r w:rsidR="00282754" w:rsidRPr="00282754">
        <w:rPr>
          <w:rFonts w:ascii="Times New Roman" w:hAnsi="Times New Roman" w:cs="Times New Roman"/>
          <w:sz w:val="24"/>
          <w:szCs w:val="24"/>
          <w:lang w:val="en-US"/>
        </w:rPr>
        <w:t xml:space="preserve"> </w:t>
      </w:r>
      <w:r w:rsidR="00282754">
        <w:rPr>
          <w:rFonts w:ascii="Times New Roman" w:hAnsi="Times New Roman" w:cs="Times New Roman"/>
          <w:sz w:val="24"/>
          <w:szCs w:val="24"/>
          <w:lang w:val="en-US"/>
        </w:rPr>
        <w:t>The</w:t>
      </w:r>
      <w:r w:rsidR="00581384" w:rsidRPr="00B07B3A">
        <w:rPr>
          <w:rFonts w:ascii="Times New Roman" w:hAnsi="Times New Roman" w:cs="Times New Roman"/>
          <w:sz w:val="24"/>
          <w:szCs w:val="24"/>
          <w:lang w:val="en-US"/>
        </w:rPr>
        <w:t xml:space="preserve"> </w:t>
      </w:r>
      <w:r w:rsidR="00112490" w:rsidRPr="00392637">
        <w:rPr>
          <w:rFonts w:ascii="Times New Roman" w:hAnsi="Times New Roman" w:cs="Times New Roman"/>
          <w:sz w:val="24"/>
          <w:lang w:val="en-US"/>
        </w:rPr>
        <w:t xml:space="preserve">total </w:t>
      </w:r>
      <w:r w:rsidR="00D35F9A">
        <w:rPr>
          <w:rFonts w:ascii="Times New Roman" w:hAnsi="Times New Roman" w:cs="Times New Roman"/>
          <w:sz w:val="24"/>
          <w:lang w:val="en-US"/>
        </w:rPr>
        <w:t>roundtrip</w:t>
      </w:r>
      <w:r w:rsidR="00112490" w:rsidRPr="00392637">
        <w:rPr>
          <w:rFonts w:ascii="Times New Roman" w:hAnsi="Times New Roman" w:cs="Times New Roman"/>
          <w:sz w:val="24"/>
          <w:lang w:val="en-US"/>
        </w:rPr>
        <w:t xml:space="preserve"> e</w:t>
      </w:r>
      <w:r w:rsidR="00112490" w:rsidRPr="00392637">
        <w:rPr>
          <w:rFonts w:ascii="Cambria Math" w:hAnsi="Cambria Math" w:cs="Cambria Math"/>
          <w:sz w:val="24"/>
          <w:lang w:val="en-US"/>
        </w:rPr>
        <w:t>ﬃ</w:t>
      </w:r>
      <w:r w:rsidR="00112490" w:rsidRPr="00392637">
        <w:rPr>
          <w:rFonts w:ascii="Times New Roman" w:hAnsi="Times New Roman" w:cs="Times New Roman"/>
          <w:sz w:val="24"/>
          <w:lang w:val="en-US"/>
        </w:rPr>
        <w:t>ciency</w:t>
      </w:r>
      <w:r w:rsidR="00581384" w:rsidRPr="00B07B3A">
        <w:rPr>
          <w:rFonts w:ascii="Times New Roman" w:hAnsi="Times New Roman" w:cs="Times New Roman"/>
          <w:sz w:val="24"/>
          <w:szCs w:val="24"/>
          <w:lang w:val="en-US"/>
        </w:rPr>
        <w:t xml:space="preserve"> </w:t>
      </w:r>
      <w:r w:rsidR="00011743">
        <w:rPr>
          <w:rFonts w:ascii="Times New Roman" w:hAnsi="Times New Roman" w:cs="Times New Roman"/>
          <w:sz w:val="24"/>
          <w:szCs w:val="24"/>
          <w:lang w:val="en-US"/>
        </w:rPr>
        <w:t xml:space="preserve">for this system is </w:t>
      </w:r>
      <w:r w:rsidR="00581384" w:rsidRPr="00B07B3A">
        <w:rPr>
          <w:rFonts w:ascii="Times New Roman" w:hAnsi="Times New Roman" w:cs="Times New Roman"/>
          <w:sz w:val="24"/>
          <w:szCs w:val="24"/>
          <w:lang w:val="en-US"/>
        </w:rPr>
        <w:t>around 8</w:t>
      </w:r>
      <w:r w:rsidR="00112490">
        <w:rPr>
          <w:rFonts w:ascii="Times New Roman" w:hAnsi="Times New Roman" w:cs="Times New Roman"/>
          <w:sz w:val="24"/>
          <w:szCs w:val="24"/>
          <w:lang w:val="en-US"/>
        </w:rPr>
        <w:t>0</w:t>
      </w:r>
      <w:r w:rsidR="00581384" w:rsidRPr="00B07B3A">
        <w:rPr>
          <w:rFonts w:ascii="Times New Roman" w:hAnsi="Times New Roman" w:cs="Times New Roman"/>
          <w:sz w:val="24"/>
          <w:szCs w:val="24"/>
          <w:lang w:val="en-US"/>
        </w:rPr>
        <w:t xml:space="preserve"> %</w:t>
      </w:r>
      <w:r w:rsidR="00011743">
        <w:rPr>
          <w:rFonts w:ascii="Times New Roman" w:hAnsi="Times New Roman" w:cs="Times New Roman"/>
          <w:sz w:val="24"/>
          <w:szCs w:val="24"/>
          <w:lang w:val="en-US"/>
        </w:rPr>
        <w:t xml:space="preserve"> </w:t>
      </w:r>
      <w:r w:rsidR="00011743">
        <w:rPr>
          <w:rFonts w:ascii="Times New Roman" w:hAnsi="Times New Roman" w:cs="Times New Roman"/>
          <w:sz w:val="24"/>
          <w:szCs w:val="24"/>
          <w:lang w:val="en-US"/>
        </w:rPr>
        <w:fldChar w:fldCharType="begin" w:fldLock="1"/>
      </w:r>
      <w:r w:rsidR="004646E5">
        <w:rPr>
          <w:rFonts w:ascii="Times New Roman" w:hAnsi="Times New Roman" w:cs="Times New Roman"/>
          <w:sz w:val="24"/>
          <w:szCs w:val="24"/>
          <w:lang w:val="en-US"/>
        </w:rPr>
        <w:instrText>ADDIN CSL_CITATION {"citationItems":[{"id":"ITEM-1","itemData":{"ISBN":"0081024940","abstract":"Cover; Title Page; Copyright Page; Contents; List of Contributors; 1 -- Hybrid PV-wind renewable energy sources for microgrid application: an overview; 1 -- Introduction; 2 -- Hybrid renewable energy system and its benefit; 3 -- Hybrid renewable energy system configuration; 4 -- Optimization of hybrid system; 4.1 -- Optimization objectives; 4.2 -- Optimization practices in HRES; 5 -- Energy storage system in MG; 6 -- Stability concerns in a HRES MG system; 7 -- Simulation; 7.1 -- Load generator with PV only; 7.2 -- Load generator with wind only; 7.3 -- Load generator with PV-wind 7.4 -- Comparison of voltages with different combinations of PV/wind8 -- Conclusion; References; 2 -- Microgrid architecture, control, and operation; 1 -- Introduction; 2 -- Microgrid architecture; 3 -- Mathematical analysis of microgrid structure; 3.1 -- AC microgrid; 3.2 -- DC microgrid; 3.3 -- AC-DC hybrid microgrid; 4 -- Microgrid control and operation; 4.1 -- Hierarchical control of microgrid; 5 -- Mathematical model of hierarchical control; 5.1 -- Droop-based control of microgrid; 6 -- Simulation study; 7 -- Conclusion; References 3 -- Integrated renewable energy sources with droop control techniques-based microgrid operation1 -- Introduction; 2 -- Framework of microgrid technology; 2.1 -- Physical equipment; 2.2 -- Protection and control; 2.3 -- Automation and control; 2.4 -- Monitoring, scheduling, optimization, and dispatch; 2.5 -- Energy market and coordinating the response of smart grid operation; 3 -- DC microgrid and AC microgrid; 3.1 -- DC microgrid; 3.2 -- AC microgrid; 4 -- Proposed structure of grid connected microgrid system; 5 -- Characteristics and modeling of renewable energy sources; 5.1 -- Solar PV 5.2 -- Battery modeling6 -- Concept of droop control; 6.1 -- Droop control techniques in microgrid; 6.1.1 -- Virtual impedance droop control; 7 -- Case study of solar PV and BESS with P/Q and V/f droop control; 7.1 -- Results and discussion; 8 -- Conclusion; References; Further reading; 4 -- Multilevel inverters: an enabling technology; 1 -- Introduction; 2 -- Multilevel inverter topologies; 2.1 -- Diode-clamped inverter; 2.2 -- Capacitor-clamped inverter; 2.2.1 -- Advantages; 2.2.2 -- Disadvantages; 2.3 -- Cascaded H bridge inverters; 2.4 -- Comparison of different multilevel inverters 3 -- Matlab/Simulink modeling and simulation of multilevel inverters3.1 -- Single phase three level CMLI; 4 -- Applications of multilevel inverters; 4.1 -- Energy and power syst…","author":[{"dropping-particle":"","family":"Fathima","given":"A. Hina","non-dropping-particle":"","parse-names":false,"suffix":""},{"dropping-particle":"","family":"N","given":"Prabaharan","non-dropping-particle":"","parse-names":false,"suffix":""},{"dropping-particle":"","family":"K","given":"Palanisamy","non-dropping-particle":"","parse-names":false,"suffix":""},{"dropping-particle":"","family":"Kalam","given":"Akhtar","non-dropping-particle":"","parse-names":false,"suffix":""},{"dropping-particle":"","family":"Mekhilef","given":"Saad","non-dropping-particle":"","parse-names":false,"suffix":""},{"dropping-particle":"","family":"Justo","given":"Jackson J.","non-dropping-particle":"","parse-names":false,"suffix":""}],"id":"ITEM-1","issued":{"date-parts":[["0"]]},"title":"Hybrid-renewable energy systems in microgrids : integration, developments and control","type":"book"},"uris":["http://www.mendeley.com/documents/?uuid=ec60c7e3-c666-3ba5-992c-79cb30b51588","http://www.mendeley.com/documents/?uuid=c7658074-579c-401b-b6af-f39559047cb1"]}],"mendeley":{"formattedCitation":"[21]","plainTextFormattedCitation":"[21]","previouslyFormattedCitation":"[21]"},"properties":{"noteIndex":0},"schema":"https://github.com/citation-style-language/schema/raw/master/csl-citation.json"}</w:instrText>
      </w:r>
      <w:r w:rsidR="00011743">
        <w:rPr>
          <w:rFonts w:ascii="Times New Roman" w:hAnsi="Times New Roman" w:cs="Times New Roman"/>
          <w:sz w:val="24"/>
          <w:szCs w:val="24"/>
          <w:lang w:val="en-US"/>
        </w:rPr>
        <w:fldChar w:fldCharType="separate"/>
      </w:r>
      <w:r w:rsidR="004646E5" w:rsidRPr="004646E5">
        <w:rPr>
          <w:rFonts w:ascii="Times New Roman" w:hAnsi="Times New Roman" w:cs="Times New Roman"/>
          <w:noProof/>
          <w:sz w:val="24"/>
          <w:szCs w:val="24"/>
          <w:lang w:val="en-US"/>
        </w:rPr>
        <w:t>[21]</w:t>
      </w:r>
      <w:r w:rsidR="00011743">
        <w:rPr>
          <w:rFonts w:ascii="Times New Roman" w:hAnsi="Times New Roman" w:cs="Times New Roman"/>
          <w:sz w:val="24"/>
          <w:szCs w:val="24"/>
          <w:lang w:val="en-US"/>
        </w:rPr>
        <w:fldChar w:fldCharType="end"/>
      </w:r>
      <w:r w:rsidR="00581384" w:rsidRPr="00B07B3A">
        <w:rPr>
          <w:rFonts w:ascii="Times New Roman" w:hAnsi="Times New Roman" w:cs="Times New Roman"/>
          <w:sz w:val="24"/>
          <w:szCs w:val="24"/>
          <w:lang w:val="en-US"/>
        </w:rPr>
        <w:t xml:space="preserve">. </w:t>
      </w:r>
      <w:r w:rsidR="00986F3F">
        <w:rPr>
          <w:rFonts w:ascii="Times New Roman" w:hAnsi="Times New Roman" w:cs="Times New Roman"/>
          <w:sz w:val="24"/>
          <w:szCs w:val="24"/>
          <w:lang w:val="en-US"/>
        </w:rPr>
        <w:t xml:space="preserve">Lazard uses an estimate of 85% </w:t>
      </w:r>
      <w:r w:rsidR="00986F3F">
        <w:rPr>
          <w:rFonts w:ascii="Times New Roman" w:hAnsi="Times New Roman" w:cs="Times New Roman"/>
          <w:sz w:val="24"/>
          <w:szCs w:val="24"/>
          <w:lang w:val="en-US"/>
        </w:rPr>
        <w:fldChar w:fldCharType="begin" w:fldLock="1"/>
      </w:r>
      <w:r w:rsidR="007D441B">
        <w:rPr>
          <w:rFonts w:ascii="Times New Roman" w:hAnsi="Times New Roman" w:cs="Times New Roman"/>
          <w:sz w:val="24"/>
          <w:szCs w:val="24"/>
          <w:lang w:val="en-US"/>
        </w:rPr>
        <w:instrText>ADDIN CSL_CITATION {"citationItems":[{"id":"ITEM-1","itemData":{"author":[{"dropping-particle":"","family":"Lazard","given":"","non-dropping-particle":"","parse-names":false,"suffix":""}],"id":"ITEM-1","issued":{"date-parts":[["2017"]]},"title":"Lazard.com | Levelized Cost of Storage 2017","type":"report"},"uris":["http://www.mendeley.com/documents/?uuid=56d03985-97ee-3fc7-9728-f80c5cd919c9"]}],"mendeley":{"formattedCitation":"[22]","plainTextFormattedCitation":"[22]","previouslyFormattedCitation":"[22]"},"properties":{"noteIndex":0},"schema":"https://github.com/citation-style-language/schema/raw/master/csl-citation.json"}</w:instrText>
      </w:r>
      <w:r w:rsidR="00986F3F">
        <w:rPr>
          <w:rFonts w:ascii="Times New Roman" w:hAnsi="Times New Roman" w:cs="Times New Roman"/>
          <w:sz w:val="24"/>
          <w:szCs w:val="24"/>
          <w:lang w:val="en-US"/>
        </w:rPr>
        <w:fldChar w:fldCharType="separate"/>
      </w:r>
      <w:r w:rsidR="00986F3F" w:rsidRPr="00986F3F">
        <w:rPr>
          <w:rFonts w:ascii="Times New Roman" w:hAnsi="Times New Roman" w:cs="Times New Roman"/>
          <w:noProof/>
          <w:sz w:val="24"/>
          <w:szCs w:val="24"/>
          <w:lang w:val="en-US"/>
        </w:rPr>
        <w:t>[22]</w:t>
      </w:r>
      <w:r w:rsidR="00986F3F">
        <w:rPr>
          <w:rFonts w:ascii="Times New Roman" w:hAnsi="Times New Roman" w:cs="Times New Roman"/>
          <w:sz w:val="24"/>
          <w:szCs w:val="24"/>
          <w:lang w:val="en-US"/>
        </w:rPr>
        <w:fldChar w:fldCharType="end"/>
      </w:r>
      <w:r w:rsidR="00986F3F">
        <w:rPr>
          <w:rFonts w:ascii="Times New Roman" w:hAnsi="Times New Roman" w:cs="Times New Roman"/>
          <w:sz w:val="24"/>
          <w:szCs w:val="24"/>
          <w:lang w:val="en-US"/>
        </w:rPr>
        <w:t>.</w:t>
      </w:r>
      <w:r w:rsidR="006512E5">
        <w:rPr>
          <w:rFonts w:ascii="Times New Roman" w:hAnsi="Times New Roman" w:cs="Times New Roman"/>
          <w:sz w:val="24"/>
          <w:szCs w:val="24"/>
          <w:lang w:val="en-US"/>
        </w:rPr>
        <w:t xml:space="preserve"> </w:t>
      </w:r>
      <w:r w:rsidR="008F4830">
        <w:rPr>
          <w:rFonts w:ascii="Times New Roman" w:hAnsi="Times New Roman" w:cs="Times New Roman"/>
          <w:sz w:val="24"/>
          <w:szCs w:val="24"/>
          <w:lang w:val="en-US"/>
        </w:rPr>
        <w:t xml:space="preserve">To summarize, the total </w:t>
      </w:r>
      <w:r w:rsidR="00D35F9A">
        <w:rPr>
          <w:rFonts w:ascii="Times New Roman" w:hAnsi="Times New Roman" w:cs="Times New Roman"/>
          <w:sz w:val="24"/>
          <w:szCs w:val="24"/>
          <w:lang w:val="en-US"/>
        </w:rPr>
        <w:t>roundtrip</w:t>
      </w:r>
      <w:r w:rsidR="008F4830">
        <w:rPr>
          <w:rFonts w:ascii="Times New Roman" w:hAnsi="Times New Roman" w:cs="Times New Roman"/>
          <w:sz w:val="24"/>
          <w:szCs w:val="24"/>
          <w:lang w:val="en-US"/>
        </w:rPr>
        <w:t xml:space="preserve"> loss typically consist of 2-5% related to the cell, 2-4% to the power electronics and the rest to </w:t>
      </w:r>
      <w:r w:rsidR="00D35F9A">
        <w:rPr>
          <w:rFonts w:ascii="Times New Roman" w:hAnsi="Times New Roman" w:cs="Times New Roman"/>
          <w:sz w:val="24"/>
          <w:szCs w:val="24"/>
          <w:lang w:val="en-US"/>
        </w:rPr>
        <w:t>standby</w:t>
      </w:r>
      <w:r w:rsidR="008F4830">
        <w:rPr>
          <w:rFonts w:ascii="Times New Roman" w:hAnsi="Times New Roman" w:cs="Times New Roman"/>
          <w:sz w:val="24"/>
          <w:szCs w:val="24"/>
          <w:lang w:val="en-US"/>
        </w:rPr>
        <w:t xml:space="preserve"> losses.  </w:t>
      </w:r>
      <w:r w:rsidR="006512E5">
        <w:rPr>
          <w:rFonts w:ascii="Times New Roman" w:hAnsi="Times New Roman" w:cs="Times New Roman"/>
          <w:sz w:val="24"/>
          <w:szCs w:val="24"/>
          <w:lang w:val="en-US"/>
        </w:rPr>
        <w:t xml:space="preserve"> </w:t>
      </w:r>
    </w:p>
    <w:p w14:paraId="3A7418BB" w14:textId="3238C079" w:rsidR="004A49E2" w:rsidRPr="009A64AC" w:rsidRDefault="004A49E2" w:rsidP="00DF3B7D">
      <w:pPr>
        <w:pStyle w:val="Heading1"/>
        <w:rPr>
          <w:rFonts w:cs="Times New Roman"/>
          <w:lang w:val="en-US"/>
        </w:rPr>
      </w:pPr>
      <w:bookmarkStart w:id="50" w:name="_Toc528918106"/>
      <w:bookmarkStart w:id="51" w:name="_Toc529169832"/>
      <w:bookmarkStart w:id="52" w:name="_Toc529178831"/>
      <w:bookmarkStart w:id="53" w:name="_Toc529178946"/>
      <w:r w:rsidRPr="009A64AC">
        <w:rPr>
          <w:rFonts w:cs="Times New Roman"/>
          <w:lang w:val="en-US"/>
        </w:rPr>
        <w:lastRenderedPageBreak/>
        <w:t>Regulation ability and other system services</w:t>
      </w:r>
      <w:bookmarkEnd w:id="50"/>
      <w:bookmarkEnd w:id="51"/>
      <w:bookmarkEnd w:id="52"/>
      <w:bookmarkEnd w:id="53"/>
    </w:p>
    <w:p w14:paraId="30798B2A" w14:textId="7A315953" w:rsidR="003D650C" w:rsidRPr="009D3608" w:rsidRDefault="003D650C" w:rsidP="003D650C">
      <w:pPr>
        <w:rPr>
          <w:rFonts w:ascii="Times New Roman" w:hAnsi="Times New Roman" w:cs="Times New Roman"/>
          <w:sz w:val="24"/>
          <w:lang w:val="en-US"/>
        </w:rPr>
      </w:pPr>
      <w:r w:rsidRPr="009D3608">
        <w:rPr>
          <w:rFonts w:ascii="Times New Roman" w:hAnsi="Times New Roman" w:cs="Times New Roman"/>
          <w:sz w:val="24"/>
          <w:lang w:val="en-US"/>
        </w:rPr>
        <w:t>Grid-connected LIBs can absorb and release electrical energy fast.</w:t>
      </w:r>
      <w:r w:rsidR="009969B8" w:rsidRPr="009D3608">
        <w:rPr>
          <w:rFonts w:ascii="Times New Roman" w:hAnsi="Times New Roman" w:cs="Times New Roman"/>
          <w:sz w:val="24"/>
          <w:lang w:val="en-US"/>
        </w:rPr>
        <w:t xml:space="preserve"> </w:t>
      </w:r>
      <w:r w:rsidRPr="009D3608">
        <w:rPr>
          <w:rFonts w:ascii="Times New Roman" w:hAnsi="Times New Roman" w:cs="Times New Roman"/>
          <w:sz w:val="24"/>
          <w:lang w:val="en-US"/>
        </w:rPr>
        <w:t xml:space="preserve">The response time of grid-connected </w:t>
      </w:r>
      <w:r w:rsidR="00F258DB">
        <w:rPr>
          <w:rFonts w:ascii="Times New Roman" w:hAnsi="Times New Roman" w:cs="Times New Roman"/>
          <w:sz w:val="24"/>
          <w:lang w:val="en-US"/>
        </w:rPr>
        <w:t>LIBs</w:t>
      </w:r>
      <w:r w:rsidR="00F258DB" w:rsidRPr="009D3608">
        <w:rPr>
          <w:rFonts w:ascii="Times New Roman" w:hAnsi="Times New Roman" w:cs="Times New Roman"/>
          <w:sz w:val="24"/>
          <w:lang w:val="en-US"/>
        </w:rPr>
        <w:t xml:space="preserve"> </w:t>
      </w:r>
      <w:r w:rsidRPr="009D3608">
        <w:rPr>
          <w:rFonts w:ascii="Times New Roman" w:hAnsi="Times New Roman" w:cs="Times New Roman"/>
          <w:sz w:val="24"/>
          <w:lang w:val="en-US"/>
        </w:rPr>
        <w:t>are strongly dependent on control components, EMS, BMS and TMS as well</w:t>
      </w:r>
      <w:r w:rsidR="009969B8" w:rsidRPr="009D3608">
        <w:rPr>
          <w:rFonts w:ascii="Times New Roman" w:hAnsi="Times New Roman" w:cs="Times New Roman"/>
          <w:sz w:val="24"/>
          <w:lang w:val="en-US"/>
        </w:rPr>
        <w:t xml:space="preserve"> as the power conversion system. </w:t>
      </w:r>
    </w:p>
    <w:p w14:paraId="0559402C" w14:textId="1B6E5E5D" w:rsidR="00F061DF" w:rsidRPr="009D3608" w:rsidRDefault="009969B8" w:rsidP="003D650C">
      <w:pPr>
        <w:rPr>
          <w:rFonts w:ascii="Times New Roman" w:hAnsi="Times New Roman" w:cs="Times New Roman"/>
          <w:sz w:val="24"/>
          <w:lang w:val="en-US"/>
        </w:rPr>
      </w:pPr>
      <w:r w:rsidRPr="009D3608">
        <w:rPr>
          <w:rFonts w:ascii="Times New Roman" w:hAnsi="Times New Roman" w:cs="Times New Roman"/>
          <w:sz w:val="24"/>
          <w:lang w:val="en-US"/>
        </w:rPr>
        <w:t xml:space="preserve">The </w:t>
      </w:r>
      <w:r w:rsidR="00F061DF" w:rsidRPr="009D3608">
        <w:rPr>
          <w:rFonts w:ascii="Times New Roman" w:hAnsi="Times New Roman" w:cs="Times New Roman"/>
          <w:sz w:val="24"/>
          <w:lang w:val="en-US"/>
        </w:rPr>
        <w:t xml:space="preserve">relatively low electricity storage costs </w:t>
      </w:r>
      <w:r w:rsidRPr="009D3608">
        <w:rPr>
          <w:rFonts w:ascii="Times New Roman" w:hAnsi="Times New Roman" w:cs="Times New Roman"/>
          <w:sz w:val="24"/>
          <w:lang w:val="en-US"/>
        </w:rPr>
        <w:t>makes g</w:t>
      </w:r>
      <w:r w:rsidR="003D650C" w:rsidRPr="009D3608">
        <w:rPr>
          <w:rFonts w:ascii="Times New Roman" w:hAnsi="Times New Roman" w:cs="Times New Roman"/>
          <w:sz w:val="24"/>
          <w:lang w:val="en-US"/>
        </w:rPr>
        <w:t>rid-connected LIB</w:t>
      </w:r>
      <w:r w:rsidR="00E30EF0" w:rsidRPr="009D3608">
        <w:rPr>
          <w:rFonts w:ascii="Times New Roman" w:hAnsi="Times New Roman" w:cs="Times New Roman"/>
          <w:sz w:val="24"/>
          <w:lang w:val="en-US"/>
        </w:rPr>
        <w:t xml:space="preserve"> </w:t>
      </w:r>
      <w:r w:rsidR="008A2410" w:rsidRPr="009D3608">
        <w:rPr>
          <w:rFonts w:ascii="Times New Roman" w:hAnsi="Times New Roman" w:cs="Times New Roman"/>
          <w:sz w:val="24"/>
          <w:lang w:val="en-US"/>
        </w:rPr>
        <w:t>BESS</w:t>
      </w:r>
      <w:r w:rsidR="00FB0366">
        <w:rPr>
          <w:rFonts w:ascii="Times New Roman" w:hAnsi="Times New Roman" w:cs="Times New Roman"/>
          <w:sz w:val="24"/>
          <w:lang w:val="en-US"/>
        </w:rPr>
        <w:t xml:space="preserve"> (Battery Energy Storage System)</w:t>
      </w:r>
      <w:r w:rsidR="003D650C" w:rsidRPr="009D3608">
        <w:rPr>
          <w:rFonts w:ascii="Times New Roman" w:hAnsi="Times New Roman" w:cs="Times New Roman"/>
          <w:sz w:val="24"/>
          <w:lang w:val="en-US"/>
        </w:rPr>
        <w:t xml:space="preserve"> suitable for </w:t>
      </w:r>
      <w:r w:rsidR="00E30EF0" w:rsidRPr="009D3608">
        <w:rPr>
          <w:rFonts w:ascii="Times New Roman" w:hAnsi="Times New Roman" w:cs="Times New Roman"/>
          <w:sz w:val="24"/>
          <w:lang w:val="en-US"/>
        </w:rPr>
        <w:t xml:space="preserve">a broad range of </w:t>
      </w:r>
      <w:r w:rsidR="003D650C" w:rsidRPr="009D3608">
        <w:rPr>
          <w:rFonts w:ascii="Times New Roman" w:hAnsi="Times New Roman" w:cs="Times New Roman"/>
          <w:sz w:val="24"/>
          <w:lang w:val="en-US"/>
        </w:rPr>
        <w:t xml:space="preserve">applications </w:t>
      </w:r>
      <w:r w:rsidR="003D650C" w:rsidRPr="009D3608">
        <w:rPr>
          <w:rFonts w:ascii="Times New Roman" w:hAnsi="Times New Roman" w:cs="Times New Roman"/>
          <w:sz w:val="24"/>
          <w:lang w:val="en-US"/>
        </w:rPr>
        <w:fldChar w:fldCharType="begin" w:fldLock="1"/>
      </w:r>
      <w:r w:rsidR="007D441B" w:rsidRPr="009D3608">
        <w:rPr>
          <w:rFonts w:ascii="Times New Roman" w:hAnsi="Times New Roman" w:cs="Times New Roman"/>
          <w:sz w:val="24"/>
          <w:lang w:val="en-US"/>
        </w:rPr>
        <w:instrText>ADDIN CSL_CITATION {"citationItems":[{"id":"ITEM-1","itemData":{"DOI":"10.1109/ETCM.2017.8247485","ISBN":"9781538638941","abstract":"A brief discussion is presented regarding the current development and applications of Battery Energy Storage Systems (BESS) from the recent achievements in both the academic research and commercial sectors. It is reviewed the architecture of BESS, the applications in grid scale and its benefits of implementing it in power systems. BESS can help to improve the penetration levels of RES (renewable energy resources), and it is listed some of the most relevant application where BESS plays an important role. Also, it is summarized the criteria used to assess the environmental impacts of BESS and how it is compared with conventional units. Finally, some study cases are presented and where BESS have been tested.","author":[{"dropping-particle":"","family":"Hidalgo-Leon","given":"Ruben","non-dropping-particle":"","parse-names":false,"suffix":""},{"dropping-particle":"","family":"Siguenza","given":"Diego","non-dropping-particle":"","parse-names":false,"suffix":""},{"dropping-particle":"","family":"Sanchez","given":"Carola","non-dropping-particle":"","parse-names":false,"suffix":""},{"dropping-particle":"","family":"Leon","given":"Jonathan","non-dropping-particle":"","parse-names":false,"suffix":""},{"dropping-particle":"","family":"Jacome-Ruiz","given":"Pablo","non-dropping-particle":"","parse-names":false,"suffix":""},{"dropping-particle":"","family":"Wu","given":"Jinsong","non-dropping-particle":"","parse-names":false,"suffix":""},{"dropping-particle":"","family":"Ortiz","given":"Diego","non-dropping-particle":"","parse-names":false,"suffix":""}],"container-title":"2017 IEEE 2nd Ecuador Technical Chapters Meeting, ETCM 2017","id":"ITEM-1","issue":"January 2018","issued":{"date-parts":[["2018"]]},"page":"1-6","title":"A survey of battery energy storage system (BESS), applications and environmental impacts in power systems","type":"article-journal","volume":"2017-Janua"},"uris":["http://www.mendeley.com/documents/?uuid=2fec2107-00ce-424f-88b6-530dbaa4b371","http://www.mendeley.com/documents/?uuid=2cf4163f-56b4-4ff0-944b-e73804da5b38"]}],"mendeley":{"formattedCitation":"[23]","plainTextFormattedCitation":"[23]","previouslyFormattedCitation":"[23]"},"properties":{"noteIndex":0},"schema":"https://github.com/citation-style-language/schema/raw/master/csl-citation.json"}</w:instrText>
      </w:r>
      <w:r w:rsidR="003D650C" w:rsidRPr="009D3608">
        <w:rPr>
          <w:rFonts w:ascii="Times New Roman" w:hAnsi="Times New Roman" w:cs="Times New Roman"/>
          <w:sz w:val="24"/>
          <w:lang w:val="en-US"/>
        </w:rPr>
        <w:fldChar w:fldCharType="separate"/>
      </w:r>
      <w:r w:rsidR="00986F3F" w:rsidRPr="009D3608">
        <w:rPr>
          <w:rFonts w:ascii="Times New Roman" w:hAnsi="Times New Roman" w:cs="Times New Roman"/>
          <w:noProof/>
          <w:sz w:val="24"/>
          <w:lang w:val="en-US"/>
        </w:rPr>
        <w:t>[23]</w:t>
      </w:r>
      <w:r w:rsidR="003D650C" w:rsidRPr="009D3608">
        <w:rPr>
          <w:rFonts w:ascii="Times New Roman" w:hAnsi="Times New Roman" w:cs="Times New Roman"/>
          <w:sz w:val="24"/>
          <w:lang w:val="en-US"/>
        </w:rPr>
        <w:fldChar w:fldCharType="end"/>
      </w:r>
      <w:r w:rsidR="008A2410" w:rsidRPr="009D3608">
        <w:rPr>
          <w:rFonts w:ascii="Times New Roman" w:hAnsi="Times New Roman" w:cs="Times New Roman"/>
          <w:sz w:val="24"/>
          <w:lang w:val="en-US"/>
        </w:rPr>
        <w:t xml:space="preserve"> such as </w:t>
      </w:r>
      <w:r w:rsidR="00F061DF" w:rsidRPr="009D3608">
        <w:rPr>
          <w:rFonts w:ascii="Times New Roman" w:hAnsi="Times New Roman" w:cs="Times New Roman"/>
          <w:b/>
          <w:i/>
          <w:sz w:val="24"/>
          <w:lang w:val="en-US"/>
        </w:rPr>
        <w:t>peak load shaving</w:t>
      </w:r>
      <w:r w:rsidR="00F061DF" w:rsidRPr="009D3608">
        <w:rPr>
          <w:rFonts w:ascii="Times New Roman" w:hAnsi="Times New Roman" w:cs="Times New Roman"/>
          <w:i/>
          <w:sz w:val="24"/>
          <w:lang w:val="en-US"/>
        </w:rPr>
        <w:t xml:space="preserve"> </w:t>
      </w:r>
      <w:r w:rsidR="008A2410" w:rsidRPr="009D3608">
        <w:rPr>
          <w:rFonts w:ascii="Times New Roman" w:hAnsi="Times New Roman" w:cs="Times New Roman"/>
          <w:sz w:val="24"/>
          <w:lang w:val="en-US"/>
        </w:rPr>
        <w:t xml:space="preserve">where the BESS </w:t>
      </w:r>
      <w:r w:rsidR="00F061DF" w:rsidRPr="009D3608">
        <w:rPr>
          <w:rFonts w:ascii="Times New Roman" w:hAnsi="Times New Roman" w:cs="Times New Roman"/>
          <w:sz w:val="24"/>
          <w:lang w:val="en-US"/>
        </w:rPr>
        <w:t>provide</w:t>
      </w:r>
      <w:r w:rsidR="008A2410" w:rsidRPr="009D3608">
        <w:rPr>
          <w:rFonts w:ascii="Times New Roman" w:hAnsi="Times New Roman" w:cs="Times New Roman"/>
          <w:sz w:val="24"/>
          <w:lang w:val="en-US"/>
        </w:rPr>
        <w:t>s</w:t>
      </w:r>
      <w:r w:rsidR="00F061DF" w:rsidRPr="009D3608">
        <w:rPr>
          <w:rFonts w:ascii="Times New Roman" w:hAnsi="Times New Roman" w:cs="Times New Roman"/>
          <w:sz w:val="24"/>
          <w:lang w:val="en-US"/>
        </w:rPr>
        <w:t xml:space="preserve"> </w:t>
      </w:r>
      <w:r w:rsidR="008A2410" w:rsidRPr="009D3608">
        <w:rPr>
          <w:rFonts w:ascii="Times New Roman" w:hAnsi="Times New Roman" w:cs="Times New Roman"/>
          <w:sz w:val="24"/>
          <w:lang w:val="en-US"/>
        </w:rPr>
        <w:t xml:space="preserve">or consumes </w:t>
      </w:r>
      <w:r w:rsidR="00F061DF" w:rsidRPr="009D3608">
        <w:rPr>
          <w:rFonts w:ascii="Times New Roman" w:hAnsi="Times New Roman" w:cs="Times New Roman"/>
          <w:sz w:val="24"/>
          <w:lang w:val="en-US"/>
        </w:rPr>
        <w:t>energy to reduce peaking in a power system.</w:t>
      </w:r>
      <w:r w:rsidR="008A2410" w:rsidRPr="009D3608">
        <w:rPr>
          <w:rFonts w:ascii="Times New Roman" w:hAnsi="Times New Roman" w:cs="Times New Roman"/>
          <w:sz w:val="24"/>
          <w:lang w:val="en-US"/>
        </w:rPr>
        <w:t xml:space="preserve"> In relation to this BESS can</w:t>
      </w:r>
      <w:r w:rsidR="00E30EF0" w:rsidRPr="009D3608">
        <w:rPr>
          <w:rFonts w:ascii="Times New Roman" w:hAnsi="Times New Roman" w:cs="Times New Roman"/>
          <w:sz w:val="24"/>
          <w:lang w:val="en-US"/>
        </w:rPr>
        <w:t xml:space="preserve"> </w:t>
      </w:r>
      <w:r w:rsidR="008A2410" w:rsidRPr="009D3608">
        <w:rPr>
          <w:rFonts w:ascii="Times New Roman" w:hAnsi="Times New Roman" w:cs="Times New Roman"/>
          <w:sz w:val="24"/>
          <w:lang w:val="en-US"/>
        </w:rPr>
        <w:t>promote</w:t>
      </w:r>
      <w:r w:rsidR="00DB0ED5" w:rsidRPr="009D3608">
        <w:rPr>
          <w:rFonts w:ascii="Times New Roman" w:hAnsi="Times New Roman" w:cs="Times New Roman"/>
          <w:sz w:val="24"/>
          <w:lang w:val="en-US"/>
        </w:rPr>
        <w:t xml:space="preserve"> </w:t>
      </w:r>
      <w:r w:rsidR="00E30EF0" w:rsidRPr="009D3608">
        <w:rPr>
          <w:rFonts w:ascii="Times New Roman" w:hAnsi="Times New Roman" w:cs="Times New Roman"/>
          <w:b/>
          <w:i/>
          <w:sz w:val="24"/>
          <w:lang w:val="en-US"/>
        </w:rPr>
        <w:t>r</w:t>
      </w:r>
      <w:r w:rsidR="00DB0ED5" w:rsidRPr="009D3608">
        <w:rPr>
          <w:rFonts w:ascii="Times New Roman" w:hAnsi="Times New Roman" w:cs="Times New Roman"/>
          <w:b/>
          <w:i/>
          <w:sz w:val="24"/>
          <w:lang w:val="en-US"/>
        </w:rPr>
        <w:t>enewable integration</w:t>
      </w:r>
      <w:r w:rsidR="00DB0ED5" w:rsidRPr="009D3608">
        <w:rPr>
          <w:rFonts w:ascii="Times New Roman" w:hAnsi="Times New Roman" w:cs="Times New Roman"/>
          <w:sz w:val="24"/>
          <w:lang w:val="en-US"/>
        </w:rPr>
        <w:t xml:space="preserve">, </w:t>
      </w:r>
      <w:r w:rsidR="00B47DA1" w:rsidRPr="009D3608">
        <w:rPr>
          <w:rFonts w:ascii="Times New Roman" w:hAnsi="Times New Roman" w:cs="Times New Roman"/>
          <w:sz w:val="24"/>
          <w:lang w:val="en-US"/>
        </w:rPr>
        <w:t xml:space="preserve">e.g. </w:t>
      </w:r>
      <w:r w:rsidR="00DB0ED5" w:rsidRPr="009D3608">
        <w:rPr>
          <w:rFonts w:ascii="Times New Roman" w:hAnsi="Times New Roman" w:cs="Times New Roman"/>
          <w:sz w:val="24"/>
          <w:lang w:val="en-US"/>
        </w:rPr>
        <w:t xml:space="preserve">time </w:t>
      </w:r>
      <w:r w:rsidR="00B47DA1" w:rsidRPr="009D3608">
        <w:rPr>
          <w:rFonts w:ascii="Times New Roman" w:hAnsi="Times New Roman" w:cs="Times New Roman"/>
          <w:sz w:val="24"/>
          <w:lang w:val="en-US"/>
        </w:rPr>
        <w:t xml:space="preserve">or load </w:t>
      </w:r>
      <w:r w:rsidR="00DB0ED5" w:rsidRPr="009D3608">
        <w:rPr>
          <w:rFonts w:ascii="Times New Roman" w:hAnsi="Times New Roman" w:cs="Times New Roman"/>
          <w:sz w:val="24"/>
          <w:lang w:val="en-US"/>
        </w:rPr>
        <w:t xml:space="preserve">shifting </w:t>
      </w:r>
      <w:r w:rsidR="00B47DA1" w:rsidRPr="009D3608">
        <w:rPr>
          <w:rFonts w:ascii="Times New Roman" w:hAnsi="Times New Roman" w:cs="Times New Roman"/>
          <w:sz w:val="24"/>
          <w:lang w:val="en-US"/>
        </w:rPr>
        <w:t>of photovoltaic power from day to night.</w:t>
      </w:r>
      <w:r w:rsidR="00E30EF0" w:rsidRPr="009D3608">
        <w:rPr>
          <w:rFonts w:ascii="Times New Roman" w:hAnsi="Times New Roman" w:cs="Times New Roman"/>
          <w:sz w:val="24"/>
          <w:lang w:val="en-US"/>
        </w:rPr>
        <w:t xml:space="preserve"> </w:t>
      </w:r>
      <w:r w:rsidR="008A2410" w:rsidRPr="009D3608">
        <w:rPr>
          <w:rFonts w:ascii="Times New Roman" w:hAnsi="Times New Roman" w:cs="Times New Roman"/>
          <w:sz w:val="24"/>
          <w:lang w:val="en-US"/>
        </w:rPr>
        <w:t xml:space="preserve">Further the BESS can provide </w:t>
      </w:r>
      <w:r w:rsidR="008A2410" w:rsidRPr="009D3608">
        <w:rPr>
          <w:rFonts w:ascii="Times New Roman" w:hAnsi="Times New Roman" w:cs="Times New Roman"/>
          <w:b/>
          <w:i/>
          <w:sz w:val="24"/>
          <w:lang w:val="en-US"/>
        </w:rPr>
        <w:t>tr</w:t>
      </w:r>
      <w:r w:rsidR="00E30EF0" w:rsidRPr="009D3608">
        <w:rPr>
          <w:rFonts w:ascii="Times New Roman" w:hAnsi="Times New Roman" w:cs="Times New Roman"/>
          <w:b/>
          <w:i/>
          <w:sz w:val="24"/>
          <w:lang w:val="en-US"/>
        </w:rPr>
        <w:t>ansmission congestion relief</w:t>
      </w:r>
      <w:r w:rsidR="00E30EF0" w:rsidRPr="009D3608">
        <w:rPr>
          <w:rFonts w:ascii="Times New Roman" w:hAnsi="Times New Roman" w:cs="Times New Roman"/>
          <w:sz w:val="24"/>
          <w:lang w:val="en-US"/>
        </w:rPr>
        <w:t xml:space="preserve"> </w:t>
      </w:r>
      <w:r w:rsidR="00152E1F" w:rsidRPr="009D3608">
        <w:rPr>
          <w:rFonts w:ascii="Times New Roman" w:hAnsi="Times New Roman" w:cs="Times New Roman"/>
          <w:sz w:val="24"/>
          <w:lang w:val="en-US"/>
        </w:rPr>
        <w:t xml:space="preserve">where locally deployed </w:t>
      </w:r>
      <w:r w:rsidR="008A2410" w:rsidRPr="009D3608">
        <w:rPr>
          <w:rFonts w:ascii="Times New Roman" w:hAnsi="Times New Roman" w:cs="Times New Roman"/>
          <w:sz w:val="24"/>
          <w:lang w:val="en-US"/>
        </w:rPr>
        <w:t>BESS</w:t>
      </w:r>
      <w:r w:rsidR="00E30EF0" w:rsidRPr="009D3608">
        <w:rPr>
          <w:rFonts w:ascii="Times New Roman" w:hAnsi="Times New Roman" w:cs="Times New Roman"/>
          <w:sz w:val="24"/>
          <w:lang w:val="en-US"/>
        </w:rPr>
        <w:t xml:space="preserve"> reduce</w:t>
      </w:r>
      <w:r w:rsidR="00C83C7D" w:rsidRPr="009D3608">
        <w:rPr>
          <w:rFonts w:ascii="Times New Roman" w:hAnsi="Times New Roman" w:cs="Times New Roman"/>
          <w:sz w:val="24"/>
          <w:lang w:val="en-US"/>
        </w:rPr>
        <w:t>s</w:t>
      </w:r>
      <w:r w:rsidR="00E30EF0" w:rsidRPr="009D3608">
        <w:rPr>
          <w:rFonts w:ascii="Times New Roman" w:hAnsi="Times New Roman" w:cs="Times New Roman"/>
          <w:sz w:val="24"/>
          <w:lang w:val="en-US"/>
        </w:rPr>
        <w:t xml:space="preserve"> </w:t>
      </w:r>
      <w:r w:rsidR="008A2410" w:rsidRPr="009D3608">
        <w:rPr>
          <w:rFonts w:ascii="Times New Roman" w:hAnsi="Times New Roman" w:cs="Times New Roman"/>
          <w:sz w:val="24"/>
          <w:lang w:val="en-US"/>
        </w:rPr>
        <w:t xml:space="preserve">the </w:t>
      </w:r>
      <w:r w:rsidR="00152E1F" w:rsidRPr="009D3608">
        <w:rPr>
          <w:rFonts w:ascii="Times New Roman" w:hAnsi="Times New Roman" w:cs="Times New Roman"/>
          <w:sz w:val="24"/>
          <w:lang w:val="en-US"/>
        </w:rPr>
        <w:t xml:space="preserve">load in the </w:t>
      </w:r>
      <w:r w:rsidR="00E30EF0" w:rsidRPr="009D3608">
        <w:rPr>
          <w:rFonts w:ascii="Times New Roman" w:hAnsi="Times New Roman" w:cs="Times New Roman"/>
          <w:sz w:val="24"/>
          <w:lang w:val="en-US"/>
        </w:rPr>
        <w:t xml:space="preserve">transmission </w:t>
      </w:r>
      <w:r w:rsidR="00152E1F" w:rsidRPr="009D3608">
        <w:rPr>
          <w:rFonts w:ascii="Times New Roman" w:hAnsi="Times New Roman" w:cs="Times New Roman"/>
          <w:sz w:val="24"/>
          <w:lang w:val="en-US"/>
        </w:rPr>
        <w:t xml:space="preserve">and distribution </w:t>
      </w:r>
      <w:r w:rsidR="00E30EF0" w:rsidRPr="009D3608">
        <w:rPr>
          <w:rFonts w:ascii="Times New Roman" w:hAnsi="Times New Roman" w:cs="Times New Roman"/>
          <w:sz w:val="24"/>
          <w:lang w:val="en-US"/>
        </w:rPr>
        <w:t>system.</w:t>
      </w:r>
      <w:r w:rsidR="00152E1F" w:rsidRPr="009D3608">
        <w:rPr>
          <w:rFonts w:ascii="Times New Roman" w:hAnsi="Times New Roman" w:cs="Times New Roman"/>
          <w:sz w:val="24"/>
          <w:lang w:val="en-US"/>
        </w:rPr>
        <w:t xml:space="preserve"> In this way the </w:t>
      </w:r>
      <w:r w:rsidR="008A2410" w:rsidRPr="009D3608">
        <w:rPr>
          <w:rFonts w:ascii="Times New Roman" w:hAnsi="Times New Roman" w:cs="Times New Roman"/>
          <w:sz w:val="24"/>
          <w:lang w:val="en-US"/>
        </w:rPr>
        <w:t>BESS</w:t>
      </w:r>
      <w:r w:rsidR="00152E1F" w:rsidRPr="009D3608">
        <w:rPr>
          <w:rFonts w:ascii="Times New Roman" w:hAnsi="Times New Roman" w:cs="Times New Roman"/>
          <w:sz w:val="24"/>
          <w:lang w:val="en-US"/>
        </w:rPr>
        <w:t xml:space="preserve"> can help defer expensive upgrades of the transmission and distribution network. </w:t>
      </w:r>
    </w:p>
    <w:p w14:paraId="6EDE3A8A" w14:textId="523CCAAC" w:rsidR="009969B8" w:rsidRPr="009D3608" w:rsidRDefault="008A2410" w:rsidP="003D650C">
      <w:pPr>
        <w:rPr>
          <w:rFonts w:ascii="Times New Roman" w:hAnsi="Times New Roman" w:cs="Times New Roman"/>
          <w:sz w:val="24"/>
          <w:lang w:val="en-US"/>
        </w:rPr>
      </w:pPr>
      <w:r w:rsidRPr="009D3608">
        <w:rPr>
          <w:rFonts w:ascii="Times New Roman" w:hAnsi="Times New Roman" w:cs="Times New Roman"/>
          <w:sz w:val="24"/>
          <w:lang w:val="en-US"/>
        </w:rPr>
        <w:t>The fast response time enables the use of BESS for a broad range of primary control provisions. These include</w:t>
      </w:r>
      <w:r w:rsidRPr="009D3608">
        <w:rPr>
          <w:rFonts w:ascii="Times New Roman" w:hAnsi="Times New Roman" w:cs="Times New Roman"/>
          <w:b/>
          <w:sz w:val="24"/>
          <w:lang w:val="en-US"/>
        </w:rPr>
        <w:t xml:space="preserve"> </w:t>
      </w:r>
      <w:r w:rsidR="00B47DA1" w:rsidRPr="009D3608">
        <w:rPr>
          <w:rFonts w:ascii="Times New Roman" w:hAnsi="Times New Roman" w:cs="Times New Roman"/>
          <w:b/>
          <w:i/>
          <w:sz w:val="24"/>
          <w:lang w:val="en-US"/>
        </w:rPr>
        <w:t>Frequency regulation</w:t>
      </w:r>
      <w:r w:rsidR="00E1189D" w:rsidRPr="009D3608">
        <w:rPr>
          <w:rFonts w:ascii="Times New Roman" w:hAnsi="Times New Roman" w:cs="Times New Roman"/>
          <w:sz w:val="24"/>
          <w:lang w:val="en-US"/>
        </w:rPr>
        <w:t xml:space="preserve"> where the </w:t>
      </w:r>
      <w:r w:rsidRPr="009D3608">
        <w:rPr>
          <w:rFonts w:ascii="Times New Roman" w:hAnsi="Times New Roman" w:cs="Times New Roman"/>
          <w:sz w:val="24"/>
          <w:lang w:val="en-US"/>
        </w:rPr>
        <w:t>BESS</w:t>
      </w:r>
      <w:r w:rsidR="00E1189D" w:rsidRPr="009D3608">
        <w:rPr>
          <w:rFonts w:ascii="Times New Roman" w:hAnsi="Times New Roman" w:cs="Times New Roman"/>
          <w:sz w:val="24"/>
          <w:lang w:val="en-US"/>
        </w:rPr>
        <w:t xml:space="preserve"> are used to alleviate deviations in the AC frequency</w:t>
      </w:r>
      <w:r w:rsidR="00B47DA1" w:rsidRPr="009D3608">
        <w:rPr>
          <w:rFonts w:ascii="Times New Roman" w:hAnsi="Times New Roman" w:cs="Times New Roman"/>
          <w:sz w:val="24"/>
          <w:lang w:val="en-US"/>
        </w:rPr>
        <w:t xml:space="preserve">. </w:t>
      </w:r>
      <w:r w:rsidRPr="009D3608">
        <w:rPr>
          <w:rFonts w:ascii="Times New Roman" w:hAnsi="Times New Roman" w:cs="Times New Roman"/>
          <w:sz w:val="24"/>
          <w:lang w:val="en-US"/>
        </w:rPr>
        <w:t>T</w:t>
      </w:r>
      <w:r w:rsidR="00E1189D" w:rsidRPr="009D3608">
        <w:rPr>
          <w:rFonts w:ascii="Times New Roman" w:hAnsi="Times New Roman" w:cs="Times New Roman"/>
          <w:sz w:val="24"/>
          <w:lang w:val="en-US"/>
        </w:rPr>
        <w:t xml:space="preserve">he BESS can </w:t>
      </w:r>
      <w:r w:rsidRPr="009D3608">
        <w:rPr>
          <w:rFonts w:ascii="Times New Roman" w:hAnsi="Times New Roman" w:cs="Times New Roman"/>
          <w:sz w:val="24"/>
          <w:lang w:val="en-US"/>
        </w:rPr>
        <w:t xml:space="preserve">also </w:t>
      </w:r>
      <w:r w:rsidR="00E1189D" w:rsidRPr="009D3608">
        <w:rPr>
          <w:rFonts w:ascii="Times New Roman" w:hAnsi="Times New Roman" w:cs="Times New Roman"/>
          <w:sz w:val="24"/>
          <w:lang w:val="en-US"/>
        </w:rPr>
        <w:t xml:space="preserve">be used to </w:t>
      </w:r>
      <w:r w:rsidR="009969B8" w:rsidRPr="009D3608">
        <w:rPr>
          <w:rFonts w:ascii="Times New Roman" w:hAnsi="Times New Roman" w:cs="Times New Roman"/>
          <w:sz w:val="24"/>
          <w:lang w:val="en-US"/>
        </w:rPr>
        <w:t xml:space="preserve">improve network </w:t>
      </w:r>
      <w:r w:rsidR="009969B8" w:rsidRPr="009D3608">
        <w:rPr>
          <w:rFonts w:ascii="Times New Roman" w:hAnsi="Times New Roman" w:cs="Times New Roman"/>
          <w:b/>
          <w:i/>
          <w:sz w:val="24"/>
          <w:lang w:val="en-US"/>
        </w:rPr>
        <w:t>reliability</w:t>
      </w:r>
      <w:r w:rsidR="009969B8" w:rsidRPr="009D3608">
        <w:rPr>
          <w:rFonts w:ascii="Times New Roman" w:hAnsi="Times New Roman" w:cs="Times New Roman"/>
          <w:i/>
          <w:sz w:val="24"/>
          <w:lang w:val="en-US"/>
        </w:rPr>
        <w:t xml:space="preserve"> </w:t>
      </w:r>
      <w:r w:rsidR="009969B8" w:rsidRPr="009D3608">
        <w:rPr>
          <w:rFonts w:ascii="Times New Roman" w:hAnsi="Times New Roman" w:cs="Times New Roman"/>
          <w:sz w:val="24"/>
          <w:lang w:val="en-US"/>
        </w:rPr>
        <w:t xml:space="preserve">by </w:t>
      </w:r>
      <w:r w:rsidR="00E1189D" w:rsidRPr="009D3608">
        <w:rPr>
          <w:rFonts w:ascii="Times New Roman" w:hAnsi="Times New Roman" w:cs="Times New Roman"/>
          <w:sz w:val="24"/>
          <w:lang w:val="en-US"/>
        </w:rPr>
        <w:t>react</w:t>
      </w:r>
      <w:r w:rsidR="009969B8" w:rsidRPr="009D3608">
        <w:rPr>
          <w:rFonts w:ascii="Times New Roman" w:hAnsi="Times New Roman" w:cs="Times New Roman"/>
          <w:sz w:val="24"/>
          <w:lang w:val="en-US"/>
        </w:rPr>
        <w:t>ing</w:t>
      </w:r>
      <w:r w:rsidR="00E1189D" w:rsidRPr="009D3608">
        <w:rPr>
          <w:rFonts w:ascii="Times New Roman" w:hAnsi="Times New Roman" w:cs="Times New Roman"/>
          <w:sz w:val="24"/>
          <w:lang w:val="en-US"/>
        </w:rPr>
        <w:t xml:space="preserve"> immediately after a contingency.</w:t>
      </w:r>
      <w:r w:rsidR="009969B8" w:rsidRPr="009D3608">
        <w:rPr>
          <w:rFonts w:ascii="Times New Roman" w:hAnsi="Times New Roman" w:cs="Times New Roman"/>
          <w:sz w:val="24"/>
          <w:lang w:val="en-US"/>
        </w:rPr>
        <w:t xml:space="preserve"> </w:t>
      </w:r>
      <w:r w:rsidR="00C83C7D" w:rsidRPr="009D3608">
        <w:rPr>
          <w:rFonts w:ascii="Times New Roman" w:hAnsi="Times New Roman" w:cs="Times New Roman"/>
          <w:sz w:val="24"/>
          <w:lang w:val="en-US"/>
        </w:rPr>
        <w:t>Here t</w:t>
      </w:r>
      <w:r w:rsidR="009969B8" w:rsidRPr="009D3608">
        <w:rPr>
          <w:rFonts w:ascii="Times New Roman" w:hAnsi="Times New Roman" w:cs="Times New Roman"/>
          <w:sz w:val="24"/>
          <w:lang w:val="en-US"/>
        </w:rPr>
        <w:t xml:space="preserve">he BESS can help maintaining stability in the power system until the operator has re-dispatched generation. Moreover, the BESS can effectively be used for </w:t>
      </w:r>
      <w:r w:rsidR="009969B8" w:rsidRPr="009D3608">
        <w:rPr>
          <w:rFonts w:ascii="Times New Roman" w:hAnsi="Times New Roman" w:cs="Times New Roman"/>
          <w:b/>
          <w:i/>
          <w:sz w:val="24"/>
          <w:lang w:val="en-US"/>
        </w:rPr>
        <w:t>black-starting</w:t>
      </w:r>
      <w:r w:rsidR="009969B8" w:rsidRPr="009D3608">
        <w:rPr>
          <w:rFonts w:ascii="Times New Roman" w:hAnsi="Times New Roman" w:cs="Times New Roman"/>
          <w:sz w:val="24"/>
          <w:lang w:val="en-US"/>
        </w:rPr>
        <w:t xml:space="preserve"> distribution grids</w:t>
      </w:r>
      <w:r w:rsidR="00C83C7D" w:rsidRPr="009D3608">
        <w:rPr>
          <w:rFonts w:ascii="Times New Roman" w:hAnsi="Times New Roman" w:cs="Times New Roman"/>
          <w:sz w:val="24"/>
          <w:lang w:val="en-US"/>
        </w:rPr>
        <w:t xml:space="preserve"> and</w:t>
      </w:r>
      <w:r w:rsidR="009969B8" w:rsidRPr="009D3608">
        <w:rPr>
          <w:rFonts w:ascii="Times New Roman" w:hAnsi="Times New Roman" w:cs="Times New Roman"/>
          <w:sz w:val="24"/>
          <w:lang w:val="en-US"/>
        </w:rPr>
        <w:t xml:space="preserve"> BESS systems are suitable for enhancing the </w:t>
      </w:r>
      <w:r w:rsidR="009969B8" w:rsidRPr="009D3608">
        <w:rPr>
          <w:rFonts w:ascii="Times New Roman" w:hAnsi="Times New Roman" w:cs="Times New Roman"/>
          <w:b/>
          <w:i/>
          <w:sz w:val="24"/>
          <w:lang w:val="en-US"/>
        </w:rPr>
        <w:t>power quality</w:t>
      </w:r>
      <w:r w:rsidR="009969B8" w:rsidRPr="009D3608">
        <w:rPr>
          <w:rFonts w:ascii="Times New Roman" w:hAnsi="Times New Roman" w:cs="Times New Roman"/>
          <w:sz w:val="24"/>
          <w:lang w:val="en-US"/>
        </w:rPr>
        <w:t xml:space="preserve"> and </w:t>
      </w:r>
      <w:r w:rsidR="00C83C7D" w:rsidRPr="009D3608">
        <w:rPr>
          <w:rFonts w:ascii="Times New Roman" w:hAnsi="Times New Roman" w:cs="Times New Roman"/>
          <w:sz w:val="24"/>
          <w:lang w:val="en-US"/>
        </w:rPr>
        <w:t>reducing</w:t>
      </w:r>
      <w:r w:rsidR="009969B8" w:rsidRPr="009D3608">
        <w:rPr>
          <w:rFonts w:ascii="Times New Roman" w:hAnsi="Times New Roman" w:cs="Times New Roman"/>
          <w:sz w:val="24"/>
          <w:lang w:val="en-US"/>
        </w:rPr>
        <w:t xml:space="preserve"> </w:t>
      </w:r>
      <w:r w:rsidR="009969B8" w:rsidRPr="009D3608">
        <w:rPr>
          <w:rFonts w:ascii="Times New Roman" w:hAnsi="Times New Roman" w:cs="Times New Roman"/>
          <w:b/>
          <w:i/>
          <w:sz w:val="24"/>
          <w:lang w:val="en-US"/>
        </w:rPr>
        <w:t>voltage deviation</w:t>
      </w:r>
      <w:r w:rsidR="009969B8" w:rsidRPr="009D3608">
        <w:rPr>
          <w:rFonts w:ascii="Times New Roman" w:hAnsi="Times New Roman" w:cs="Times New Roman"/>
          <w:b/>
          <w:sz w:val="24"/>
          <w:lang w:val="en-US"/>
        </w:rPr>
        <w:t>s</w:t>
      </w:r>
      <w:r w:rsidR="009969B8" w:rsidRPr="009D3608">
        <w:rPr>
          <w:rFonts w:ascii="Times New Roman" w:hAnsi="Times New Roman" w:cs="Times New Roman"/>
          <w:sz w:val="24"/>
          <w:lang w:val="en-US"/>
        </w:rPr>
        <w:t xml:space="preserve"> </w:t>
      </w:r>
      <w:r w:rsidR="00F061DF" w:rsidRPr="009D3608">
        <w:rPr>
          <w:rFonts w:ascii="Times New Roman" w:hAnsi="Times New Roman" w:cs="Times New Roman"/>
          <w:sz w:val="24"/>
          <w:lang w:val="en-US"/>
        </w:rPr>
        <w:t xml:space="preserve">in distribution networks. The BESS can </w:t>
      </w:r>
      <w:r w:rsidR="00C83C7D" w:rsidRPr="009D3608">
        <w:rPr>
          <w:rFonts w:ascii="Times New Roman" w:hAnsi="Times New Roman" w:cs="Times New Roman"/>
          <w:sz w:val="24"/>
          <w:lang w:val="en-US"/>
        </w:rPr>
        <w:t xml:space="preserve">further </w:t>
      </w:r>
      <w:r w:rsidR="00F061DF" w:rsidRPr="009D3608">
        <w:rPr>
          <w:rFonts w:ascii="Times New Roman" w:hAnsi="Times New Roman" w:cs="Times New Roman"/>
          <w:sz w:val="24"/>
          <w:lang w:val="en-US"/>
        </w:rPr>
        <w:t xml:space="preserve">be used to </w:t>
      </w:r>
      <w:r w:rsidR="00C83C7D" w:rsidRPr="009D3608">
        <w:rPr>
          <w:rFonts w:ascii="Times New Roman" w:hAnsi="Times New Roman" w:cs="Times New Roman"/>
          <w:sz w:val="24"/>
          <w:lang w:val="en-US"/>
        </w:rPr>
        <w:t xml:space="preserve">provide </w:t>
      </w:r>
      <w:r w:rsidR="00C83C7D" w:rsidRPr="009D3608">
        <w:rPr>
          <w:rFonts w:ascii="Times New Roman" w:hAnsi="Times New Roman" w:cs="Times New Roman"/>
          <w:b/>
          <w:i/>
          <w:sz w:val="24"/>
          <w:lang w:val="en-US"/>
        </w:rPr>
        <w:t>spinning reserves</w:t>
      </w:r>
      <w:r w:rsidR="00C83C7D" w:rsidRPr="009D3608">
        <w:rPr>
          <w:rFonts w:ascii="Times New Roman" w:hAnsi="Times New Roman" w:cs="Times New Roman"/>
          <w:i/>
          <w:sz w:val="24"/>
          <w:lang w:val="en-US"/>
        </w:rPr>
        <w:t xml:space="preserve"> </w:t>
      </w:r>
      <w:r w:rsidR="00C83C7D" w:rsidRPr="009D3608">
        <w:rPr>
          <w:rFonts w:ascii="Times New Roman" w:hAnsi="Times New Roman" w:cs="Times New Roman"/>
          <w:sz w:val="24"/>
          <w:lang w:val="en-US"/>
        </w:rPr>
        <w:t>and</w:t>
      </w:r>
      <w:r w:rsidR="00C83C7D" w:rsidRPr="009D3608">
        <w:rPr>
          <w:rFonts w:ascii="Times New Roman" w:hAnsi="Times New Roman" w:cs="Times New Roman"/>
          <w:i/>
          <w:sz w:val="24"/>
          <w:lang w:val="en-US"/>
        </w:rPr>
        <w:t xml:space="preserve"> </w:t>
      </w:r>
      <w:r w:rsidR="00F061DF" w:rsidRPr="009D3608">
        <w:rPr>
          <w:rFonts w:ascii="Times New Roman" w:hAnsi="Times New Roman" w:cs="Times New Roman"/>
          <w:sz w:val="24"/>
          <w:lang w:val="en-US"/>
        </w:rPr>
        <w:t xml:space="preserve">regulate </w:t>
      </w:r>
      <w:r w:rsidR="00F061DF" w:rsidRPr="009D3608">
        <w:rPr>
          <w:rFonts w:ascii="Times New Roman" w:hAnsi="Times New Roman" w:cs="Times New Roman"/>
          <w:b/>
          <w:i/>
          <w:sz w:val="24"/>
          <w:lang w:val="en-US"/>
        </w:rPr>
        <w:t>active and reactive power</w:t>
      </w:r>
      <w:r w:rsidR="00F061DF" w:rsidRPr="009D3608">
        <w:rPr>
          <w:rFonts w:ascii="Times New Roman" w:hAnsi="Times New Roman" w:cs="Times New Roman"/>
          <w:sz w:val="24"/>
          <w:lang w:val="en-US"/>
        </w:rPr>
        <w:t xml:space="preserve"> thereby improving the network voltage profile. </w:t>
      </w:r>
      <w:r w:rsidR="00C83C7D" w:rsidRPr="009D3608">
        <w:rPr>
          <w:rFonts w:ascii="Times New Roman" w:hAnsi="Times New Roman" w:cs="Times New Roman"/>
          <w:sz w:val="24"/>
          <w:lang w:val="en-US"/>
        </w:rPr>
        <w:t xml:space="preserve">This can improve the integration of renewable energy because it reduces the events triggering the protections of the inverters. </w:t>
      </w:r>
    </w:p>
    <w:p w14:paraId="40CB5400" w14:textId="40337201" w:rsidR="004A49E2" w:rsidRPr="009A64AC" w:rsidRDefault="004A49E2" w:rsidP="00DF3B7D">
      <w:pPr>
        <w:pStyle w:val="Heading1"/>
        <w:rPr>
          <w:rFonts w:cs="Times New Roman"/>
          <w:lang w:val="en-US"/>
        </w:rPr>
      </w:pPr>
      <w:bookmarkStart w:id="54" w:name="_Toc528918107"/>
      <w:bookmarkStart w:id="55" w:name="_Toc529169833"/>
      <w:bookmarkStart w:id="56" w:name="_Toc529178832"/>
      <w:bookmarkStart w:id="57" w:name="_Toc529178947"/>
      <w:r w:rsidRPr="009A64AC">
        <w:rPr>
          <w:rFonts w:cs="Times New Roman"/>
          <w:lang w:val="en-US"/>
        </w:rPr>
        <w:t>Typical characteristics and capacities</w:t>
      </w:r>
      <w:bookmarkEnd w:id="54"/>
      <w:bookmarkEnd w:id="55"/>
      <w:bookmarkEnd w:id="56"/>
      <w:bookmarkEnd w:id="57"/>
    </w:p>
    <w:p w14:paraId="42860EA0" w14:textId="1635B377" w:rsidR="00294FA1" w:rsidRDefault="00294FA1" w:rsidP="00294FA1">
      <w:pPr>
        <w:rPr>
          <w:rFonts w:ascii="Times New Roman" w:hAnsi="Times New Roman" w:cs="Times New Roman"/>
          <w:sz w:val="24"/>
          <w:lang w:val="en-US"/>
        </w:rPr>
      </w:pPr>
      <w:r>
        <w:rPr>
          <w:rFonts w:ascii="Times New Roman" w:hAnsi="Times New Roman" w:cs="Times New Roman"/>
          <w:sz w:val="24"/>
          <w:lang w:val="en-US"/>
        </w:rPr>
        <w:t>T</w:t>
      </w:r>
      <w:r w:rsidRPr="00F85A70">
        <w:rPr>
          <w:rFonts w:ascii="Times New Roman" w:hAnsi="Times New Roman" w:cs="Times New Roman"/>
          <w:sz w:val="24"/>
          <w:lang w:val="en-US"/>
        </w:rPr>
        <w:t>he frame or shelf that holds the batteries</w:t>
      </w:r>
      <w:r>
        <w:rPr>
          <w:rFonts w:ascii="Times New Roman" w:hAnsi="Times New Roman" w:cs="Times New Roman"/>
          <w:sz w:val="24"/>
          <w:lang w:val="en-US"/>
        </w:rPr>
        <w:t xml:space="preserve"> is called a rack, i.e. it is the battery pack </w:t>
      </w:r>
      <w:r w:rsidRPr="00F85A70">
        <w:rPr>
          <w:rFonts w:ascii="Times New Roman" w:hAnsi="Times New Roman" w:cs="Times New Roman"/>
          <w:sz w:val="24"/>
          <w:lang w:val="en-US"/>
        </w:rPr>
        <w:t>(</w:t>
      </w:r>
      <w:r w:rsidRPr="00F85A70">
        <w:rPr>
          <w:rFonts w:ascii="Times New Roman" w:hAnsi="Times New Roman" w:cs="Times New Roman"/>
          <w:sz w:val="24"/>
          <w:lang w:val="en-US"/>
        </w:rPr>
        <w:fldChar w:fldCharType="begin"/>
      </w:r>
      <w:r w:rsidRPr="00F85A70">
        <w:rPr>
          <w:rFonts w:ascii="Times New Roman" w:hAnsi="Times New Roman" w:cs="Times New Roman"/>
          <w:sz w:val="24"/>
          <w:lang w:val="en-US"/>
        </w:rPr>
        <w:instrText xml:space="preserve"> REF _Ref527838174 \h  \* MERGEFORMAT </w:instrText>
      </w:r>
      <w:r w:rsidRPr="00F85A70">
        <w:rPr>
          <w:rFonts w:ascii="Times New Roman" w:hAnsi="Times New Roman" w:cs="Times New Roman"/>
          <w:sz w:val="24"/>
          <w:lang w:val="en-US"/>
        </w:rPr>
      </w:r>
      <w:r w:rsidRPr="00F85A70">
        <w:rPr>
          <w:rFonts w:ascii="Times New Roman" w:hAnsi="Times New Roman" w:cs="Times New Roman"/>
          <w:sz w:val="24"/>
          <w:lang w:val="en-US"/>
        </w:rPr>
        <w:fldChar w:fldCharType="separate"/>
      </w:r>
      <w:r w:rsidR="00E60026" w:rsidRPr="00E60026">
        <w:rPr>
          <w:rFonts w:ascii="Times New Roman" w:hAnsi="Times New Roman" w:cs="Times New Roman"/>
          <w:lang w:val="en-US"/>
        </w:rPr>
        <w:t xml:space="preserve">Figure </w:t>
      </w:r>
      <w:r w:rsidR="00E60026" w:rsidRPr="00E60026">
        <w:rPr>
          <w:rFonts w:ascii="Times New Roman" w:hAnsi="Times New Roman" w:cs="Times New Roman"/>
          <w:noProof/>
          <w:lang w:val="en-US"/>
        </w:rPr>
        <w:t>5</w:t>
      </w:r>
      <w:r w:rsidRPr="00F85A70">
        <w:rPr>
          <w:rFonts w:ascii="Times New Roman" w:hAnsi="Times New Roman" w:cs="Times New Roman"/>
          <w:sz w:val="24"/>
          <w:lang w:val="en-US"/>
        </w:rPr>
        <w:fldChar w:fldCharType="end"/>
      </w:r>
      <w:r w:rsidRPr="00F85A70">
        <w:rPr>
          <w:rFonts w:ascii="Times New Roman" w:hAnsi="Times New Roman" w:cs="Times New Roman"/>
          <w:sz w:val="24"/>
          <w:lang w:val="en-US"/>
        </w:rPr>
        <w:t>)</w:t>
      </w:r>
      <w:r>
        <w:rPr>
          <w:rFonts w:ascii="Times New Roman" w:hAnsi="Times New Roman" w:cs="Times New Roman"/>
          <w:sz w:val="24"/>
          <w:lang w:val="en-US"/>
        </w:rPr>
        <w:t xml:space="preserve"> without the BMS. </w:t>
      </w:r>
      <w:r w:rsidRPr="004646E5">
        <w:rPr>
          <w:rFonts w:ascii="Times New Roman" w:hAnsi="Times New Roman" w:cs="Times New Roman"/>
          <w:sz w:val="24"/>
          <w:lang w:val="en-US"/>
        </w:rPr>
        <w:t xml:space="preserve">The energy per </w:t>
      </w:r>
      <w:r>
        <w:rPr>
          <w:rFonts w:ascii="Times New Roman" w:hAnsi="Times New Roman" w:cs="Times New Roman"/>
          <w:sz w:val="24"/>
          <w:lang w:val="en-US"/>
        </w:rPr>
        <w:t xml:space="preserve">rack is typically </w:t>
      </w:r>
      <w:r w:rsidRPr="004646E5">
        <w:rPr>
          <w:rFonts w:ascii="Times New Roman" w:hAnsi="Times New Roman" w:cs="Times New Roman"/>
          <w:sz w:val="24"/>
          <w:lang w:val="en-US"/>
        </w:rPr>
        <w:t>60</w:t>
      </w:r>
      <w:r>
        <w:rPr>
          <w:rFonts w:ascii="Times New Roman" w:hAnsi="Times New Roman" w:cs="Times New Roman"/>
          <w:sz w:val="24"/>
          <w:lang w:val="en-US"/>
        </w:rPr>
        <w:t>-</w:t>
      </w:r>
      <w:r w:rsidRPr="004646E5">
        <w:rPr>
          <w:rFonts w:ascii="Times New Roman" w:hAnsi="Times New Roman" w:cs="Times New Roman"/>
          <w:sz w:val="24"/>
          <w:lang w:val="en-US"/>
        </w:rPr>
        <w:t xml:space="preserve">166 kWh </w:t>
      </w:r>
      <w:r w:rsidRPr="004646E5">
        <w:rPr>
          <w:rFonts w:ascii="Times New Roman" w:hAnsi="Times New Roman" w:cs="Times New Roman"/>
          <w:sz w:val="24"/>
          <w:lang w:val="en-US"/>
        </w:rPr>
        <w:fldChar w:fldCharType="begin" w:fldLock="1"/>
      </w:r>
      <w:r w:rsidR="007D441B">
        <w:rPr>
          <w:rFonts w:ascii="Times New Roman" w:hAnsi="Times New Roman" w:cs="Times New Roman"/>
          <w:sz w:val="24"/>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Solutions","type":"webpage"},"uris":["http://www.mendeley.com/documents/?uuid=8daf1546-d22a-4e17-b6ef-d1d6ad53c301"]},{"id":"ITEM-2","itemData":{"DOI":"10.1038/ncomms9494","ISBN":"8613823769","author":[{"dropping-particle":"","family":"LG Chem","given":"","non-dropping-particle":"","parse-names":false,"suffix":""}],"id":"ITEM-2","issue":"July","issued":{"date-parts":[["2016"]]},"page":"7","title":"Change your enery. Change your life.","type":"webpage"},"uris":["http://www.mendeley.com/documents/?uuid=d939fabc-a503-4170-89ae-7d16fdb08e97","http://www.mendeley.com/documents/?uuid=cff469b1-6b65-4f75-837d-e3730c801831"]}],"mendeley":{"formattedCitation":"[2,24]","plainTextFormattedCitation":"[2,24]","previouslyFormattedCitation":"[2,24]"},"properties":{"noteIndex":0},"schema":"https://github.com/citation-style-language/schema/raw/master/csl-citation.json"}</w:instrText>
      </w:r>
      <w:r w:rsidRPr="004646E5">
        <w:rPr>
          <w:rFonts w:ascii="Times New Roman" w:hAnsi="Times New Roman" w:cs="Times New Roman"/>
          <w:sz w:val="24"/>
          <w:lang w:val="en-US"/>
        </w:rPr>
        <w:fldChar w:fldCharType="separate"/>
      </w:r>
      <w:r w:rsidR="00986F3F" w:rsidRPr="00986F3F">
        <w:rPr>
          <w:rFonts w:ascii="Times New Roman" w:hAnsi="Times New Roman" w:cs="Times New Roman"/>
          <w:noProof/>
          <w:sz w:val="24"/>
          <w:lang w:val="en-US"/>
        </w:rPr>
        <w:t>[2,24]</w:t>
      </w:r>
      <w:r w:rsidRPr="004646E5">
        <w:rPr>
          <w:rFonts w:ascii="Times New Roman" w:hAnsi="Times New Roman" w:cs="Times New Roman"/>
          <w:sz w:val="24"/>
          <w:lang w:val="en-US"/>
        </w:rPr>
        <w:fldChar w:fldCharType="end"/>
      </w:r>
      <w:r>
        <w:rPr>
          <w:rFonts w:ascii="Times New Roman" w:hAnsi="Times New Roman" w:cs="Times New Roman"/>
          <w:sz w:val="24"/>
          <w:lang w:val="en-US"/>
        </w:rPr>
        <w:t xml:space="preserve"> and the </w:t>
      </w:r>
      <w:r w:rsidRPr="004646E5">
        <w:rPr>
          <w:rFonts w:ascii="Times New Roman" w:hAnsi="Times New Roman" w:cs="Times New Roman"/>
          <w:sz w:val="24"/>
          <w:lang w:val="en-US"/>
        </w:rPr>
        <w:t>size</w:t>
      </w:r>
      <w:r>
        <w:rPr>
          <w:rFonts w:ascii="Times New Roman" w:hAnsi="Times New Roman" w:cs="Times New Roman"/>
          <w:sz w:val="24"/>
          <w:lang w:val="en-US"/>
        </w:rPr>
        <w:t xml:space="preserve"> is</w:t>
      </w:r>
      <w:r w:rsidRPr="004646E5">
        <w:rPr>
          <w:rFonts w:ascii="Times New Roman" w:hAnsi="Times New Roman" w:cs="Times New Roman"/>
          <w:sz w:val="24"/>
          <w:lang w:val="en-US"/>
        </w:rPr>
        <w:t xml:space="preserve"> e.g. 415mm x 1067 mm x 2124 mm (W x D x H) for a 111kWh rack from Samsung SDI </w:t>
      </w:r>
      <w:r w:rsidRPr="004646E5">
        <w:rPr>
          <w:rFonts w:ascii="Times New Roman" w:hAnsi="Times New Roman" w:cs="Times New Roman"/>
          <w:sz w:val="24"/>
          <w:lang w:val="en-US"/>
        </w:rPr>
        <w:fldChar w:fldCharType="begin" w:fldLock="1"/>
      </w:r>
      <w:r w:rsidRPr="004646E5">
        <w:rPr>
          <w:rFonts w:ascii="Times New Roman" w:hAnsi="Times New Roman" w:cs="Times New Roman"/>
          <w:sz w:val="24"/>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mendeley":{"formattedCitation":"[2]","plainTextFormattedCitation":"[2]","previouslyFormattedCitation":"[2]"},"properties":{"noteIndex":0},"schema":"https://github.com/citation-style-language/schema/raw/master/csl-citation.json"}</w:instrText>
      </w:r>
      <w:r w:rsidRPr="004646E5">
        <w:rPr>
          <w:rFonts w:ascii="Times New Roman" w:hAnsi="Times New Roman" w:cs="Times New Roman"/>
          <w:sz w:val="24"/>
          <w:lang w:val="en-US"/>
        </w:rPr>
        <w:fldChar w:fldCharType="separate"/>
      </w:r>
      <w:r w:rsidRPr="004646E5">
        <w:rPr>
          <w:rFonts w:ascii="Times New Roman" w:hAnsi="Times New Roman" w:cs="Times New Roman"/>
          <w:noProof/>
          <w:sz w:val="24"/>
          <w:lang w:val="en-US"/>
        </w:rPr>
        <w:t>[2]</w:t>
      </w:r>
      <w:r w:rsidRPr="004646E5">
        <w:rPr>
          <w:rFonts w:ascii="Times New Roman" w:hAnsi="Times New Roman" w:cs="Times New Roman"/>
          <w:sz w:val="24"/>
          <w:lang w:val="en-US"/>
        </w:rPr>
        <w:fldChar w:fldCharType="end"/>
      </w:r>
      <w:r w:rsidRPr="004646E5">
        <w:rPr>
          <w:rFonts w:ascii="Times New Roman" w:hAnsi="Times New Roman" w:cs="Times New Roman"/>
          <w:sz w:val="24"/>
          <w:lang w:val="en-US"/>
        </w:rPr>
        <w:t xml:space="preserve"> and 520 mm x 930 mm x 2200 mm (W x D x H) for a 166.4 kWh rack from LG </w:t>
      </w:r>
      <w:proofErr w:type="spellStart"/>
      <w:r w:rsidRPr="004646E5">
        <w:rPr>
          <w:rFonts w:ascii="Times New Roman" w:hAnsi="Times New Roman" w:cs="Times New Roman"/>
          <w:sz w:val="24"/>
          <w:lang w:val="en-US"/>
        </w:rPr>
        <w:t>Chem</w:t>
      </w:r>
      <w:proofErr w:type="spellEnd"/>
      <w:r w:rsidRPr="004646E5">
        <w:rPr>
          <w:rFonts w:ascii="Times New Roman" w:hAnsi="Times New Roman" w:cs="Times New Roman"/>
          <w:sz w:val="24"/>
          <w:lang w:val="en-US"/>
        </w:rPr>
        <w:t xml:space="preserve"> </w:t>
      </w:r>
      <w:r w:rsidRPr="004646E5">
        <w:rPr>
          <w:rFonts w:ascii="Times New Roman" w:hAnsi="Times New Roman" w:cs="Times New Roman"/>
          <w:sz w:val="24"/>
          <w:lang w:val="en-US"/>
        </w:rPr>
        <w:fldChar w:fldCharType="begin" w:fldLock="1"/>
      </w:r>
      <w:r w:rsidR="007D441B">
        <w:rPr>
          <w:rFonts w:ascii="Times New Roman" w:hAnsi="Times New Roman" w:cs="Times New Roman"/>
          <w:sz w:val="24"/>
          <w:lang w:val="en-US"/>
        </w:rPr>
        <w:instrText>ADDIN CSL_CITATION {"citationItems":[{"id":"ITEM-1","itemData":{"DOI":"10.1038/ncomms9494","ISBN":"8613823769","author":[{"dropping-particle":"","family":"LG Chem","given":"","non-dropping-particle":"","parse-names":false,"suffix":""}],"id":"ITEM-1","issue":"July","issued":{"date-parts":[["2016"]]},"page":"7","title":"Change your enery. Change your life.","type":"webpage"},"uris":["http://www.mendeley.com/documents/?uuid=d939fabc-a503-4170-89ae-7d16fdb08e97","http://www.mendeley.com/documents/?uuid=cff469b1-6b65-4f75-837d-e3730c801831"]}],"mendeley":{"formattedCitation":"[24]","plainTextFormattedCitation":"[24]","previouslyFormattedCitation":"[24]"},"properties":{"noteIndex":0},"schema":"https://github.com/citation-style-language/schema/raw/master/csl-citation.json"}</w:instrText>
      </w:r>
      <w:r w:rsidRPr="004646E5">
        <w:rPr>
          <w:rFonts w:ascii="Times New Roman" w:hAnsi="Times New Roman" w:cs="Times New Roman"/>
          <w:sz w:val="24"/>
          <w:lang w:val="en-US"/>
        </w:rPr>
        <w:fldChar w:fldCharType="separate"/>
      </w:r>
      <w:r w:rsidR="00986F3F" w:rsidRPr="00986F3F">
        <w:rPr>
          <w:rFonts w:ascii="Times New Roman" w:hAnsi="Times New Roman" w:cs="Times New Roman"/>
          <w:noProof/>
          <w:sz w:val="24"/>
          <w:lang w:val="en-US"/>
        </w:rPr>
        <w:t>[24]</w:t>
      </w:r>
      <w:r w:rsidRPr="004646E5">
        <w:rPr>
          <w:rFonts w:ascii="Times New Roman" w:hAnsi="Times New Roman" w:cs="Times New Roman"/>
          <w:sz w:val="24"/>
          <w:lang w:val="en-US"/>
        </w:rPr>
        <w:fldChar w:fldCharType="end"/>
      </w:r>
      <w:r w:rsidRPr="004646E5">
        <w:rPr>
          <w:rFonts w:ascii="Times New Roman" w:hAnsi="Times New Roman" w:cs="Times New Roman"/>
          <w:sz w:val="24"/>
          <w:lang w:val="en-US"/>
        </w:rPr>
        <w:t>.</w:t>
      </w:r>
      <w:r>
        <w:rPr>
          <w:rFonts w:ascii="Times New Roman" w:hAnsi="Times New Roman" w:cs="Times New Roman"/>
          <w:sz w:val="24"/>
          <w:lang w:val="en-US"/>
        </w:rPr>
        <w:t xml:space="preserve"> The weight of the Samsung SDI rack is 1170 kg and the C-rate is 0.5 during charge and up to 6 during discharge </w:t>
      </w:r>
      <w:r w:rsidRPr="004646E5">
        <w:rPr>
          <w:rFonts w:ascii="Times New Roman" w:hAnsi="Times New Roman" w:cs="Times New Roman"/>
          <w:sz w:val="24"/>
          <w:lang w:val="en-US"/>
        </w:rPr>
        <w:fldChar w:fldCharType="begin" w:fldLock="1"/>
      </w:r>
      <w:r w:rsidRPr="004646E5">
        <w:rPr>
          <w:rFonts w:ascii="Times New Roman" w:hAnsi="Times New Roman" w:cs="Times New Roman"/>
          <w:sz w:val="24"/>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mendeley":{"formattedCitation":"[2]","plainTextFormattedCitation":"[2]","previouslyFormattedCitation":"[2]"},"properties":{"noteIndex":0},"schema":"https://github.com/citation-style-language/schema/raw/master/csl-citation.json"}</w:instrText>
      </w:r>
      <w:r w:rsidRPr="004646E5">
        <w:rPr>
          <w:rFonts w:ascii="Times New Roman" w:hAnsi="Times New Roman" w:cs="Times New Roman"/>
          <w:sz w:val="24"/>
          <w:lang w:val="en-US"/>
        </w:rPr>
        <w:fldChar w:fldCharType="separate"/>
      </w:r>
      <w:r w:rsidRPr="004646E5">
        <w:rPr>
          <w:rFonts w:ascii="Times New Roman" w:hAnsi="Times New Roman" w:cs="Times New Roman"/>
          <w:noProof/>
          <w:sz w:val="24"/>
          <w:lang w:val="en-US"/>
        </w:rPr>
        <w:t>[2]</w:t>
      </w:r>
      <w:r w:rsidRPr="004646E5">
        <w:rPr>
          <w:rFonts w:ascii="Times New Roman" w:hAnsi="Times New Roman" w:cs="Times New Roman"/>
          <w:sz w:val="24"/>
          <w:lang w:val="en-US"/>
        </w:rPr>
        <w:fldChar w:fldCharType="end"/>
      </w:r>
      <w:r>
        <w:rPr>
          <w:rFonts w:ascii="Times New Roman" w:hAnsi="Times New Roman" w:cs="Times New Roman"/>
          <w:sz w:val="24"/>
          <w:lang w:val="en-US"/>
        </w:rPr>
        <w:t xml:space="preserve">. </w:t>
      </w:r>
      <w:r w:rsidR="002E68EB">
        <w:rPr>
          <w:rFonts w:ascii="Times New Roman" w:hAnsi="Times New Roman" w:cs="Times New Roman"/>
          <w:sz w:val="24"/>
          <w:lang w:val="en-US"/>
        </w:rPr>
        <w:t xml:space="preserve">For the LG </w:t>
      </w:r>
      <w:proofErr w:type="spellStart"/>
      <w:r w:rsidR="002E68EB">
        <w:rPr>
          <w:rFonts w:ascii="Times New Roman" w:hAnsi="Times New Roman" w:cs="Times New Roman"/>
          <w:sz w:val="24"/>
          <w:lang w:val="en-US"/>
        </w:rPr>
        <w:t>Chem</w:t>
      </w:r>
      <w:proofErr w:type="spellEnd"/>
      <w:r w:rsidR="002E68EB">
        <w:rPr>
          <w:rFonts w:ascii="Times New Roman" w:hAnsi="Times New Roman" w:cs="Times New Roman"/>
          <w:sz w:val="24"/>
          <w:lang w:val="en-US"/>
        </w:rPr>
        <w:t xml:space="preserve"> system the weight is 1314 kg. </w:t>
      </w:r>
      <w:r>
        <w:rPr>
          <w:rFonts w:ascii="Times New Roman" w:hAnsi="Times New Roman" w:cs="Times New Roman"/>
          <w:sz w:val="24"/>
          <w:lang w:val="en-US"/>
        </w:rPr>
        <w:t xml:space="preserve">This gives an energy density of </w:t>
      </w:r>
      <w:proofErr w:type="gramStart"/>
      <w:r>
        <w:rPr>
          <w:rFonts w:ascii="Times New Roman" w:hAnsi="Times New Roman" w:cs="Times New Roman"/>
          <w:sz w:val="24"/>
          <w:lang w:val="en-US"/>
        </w:rPr>
        <w:t>118 kWh/m</w:t>
      </w:r>
      <w:r w:rsidRPr="00294FA1">
        <w:rPr>
          <w:rFonts w:ascii="Times New Roman" w:hAnsi="Times New Roman" w:cs="Times New Roman"/>
          <w:sz w:val="24"/>
          <w:vertAlign w:val="superscript"/>
          <w:lang w:val="en-US"/>
        </w:rPr>
        <w:t>3</w:t>
      </w:r>
      <w:proofErr w:type="gramEnd"/>
      <w:r>
        <w:rPr>
          <w:rFonts w:ascii="Times New Roman" w:hAnsi="Times New Roman" w:cs="Times New Roman"/>
          <w:sz w:val="24"/>
          <w:lang w:val="en-US"/>
        </w:rPr>
        <w:t xml:space="preserve"> and 0.095 kWh/kg</w:t>
      </w:r>
      <w:r w:rsidR="002E68EB">
        <w:rPr>
          <w:rFonts w:ascii="Times New Roman" w:hAnsi="Times New Roman" w:cs="Times New Roman"/>
          <w:sz w:val="24"/>
          <w:lang w:val="en-US"/>
        </w:rPr>
        <w:t xml:space="preserve"> for the Samsung SDI system and 156 kWh/m</w:t>
      </w:r>
      <w:r w:rsidR="002E68EB" w:rsidRPr="00294FA1">
        <w:rPr>
          <w:rFonts w:ascii="Times New Roman" w:hAnsi="Times New Roman" w:cs="Times New Roman"/>
          <w:sz w:val="24"/>
          <w:vertAlign w:val="superscript"/>
          <w:lang w:val="en-US"/>
        </w:rPr>
        <w:t>3</w:t>
      </w:r>
      <w:r w:rsidR="002E68EB">
        <w:rPr>
          <w:rFonts w:ascii="Times New Roman" w:hAnsi="Times New Roman" w:cs="Times New Roman"/>
          <w:sz w:val="24"/>
          <w:lang w:val="en-US"/>
        </w:rPr>
        <w:t xml:space="preserve"> and 0.127 kWh/kg for the LG </w:t>
      </w:r>
      <w:proofErr w:type="spellStart"/>
      <w:r w:rsidR="002E68EB">
        <w:rPr>
          <w:rFonts w:ascii="Times New Roman" w:hAnsi="Times New Roman" w:cs="Times New Roman"/>
          <w:sz w:val="24"/>
          <w:lang w:val="en-US"/>
        </w:rPr>
        <w:t>chem</w:t>
      </w:r>
      <w:proofErr w:type="spellEnd"/>
      <w:r w:rsidR="002E68EB">
        <w:rPr>
          <w:rFonts w:ascii="Times New Roman" w:hAnsi="Times New Roman" w:cs="Times New Roman"/>
          <w:sz w:val="24"/>
          <w:lang w:val="en-US"/>
        </w:rPr>
        <w:t xml:space="preserve"> system</w:t>
      </w:r>
      <w:r>
        <w:rPr>
          <w:rFonts w:ascii="Times New Roman" w:hAnsi="Times New Roman" w:cs="Times New Roman"/>
          <w:sz w:val="24"/>
          <w:lang w:val="en-US"/>
        </w:rPr>
        <w:t xml:space="preserve"> </w:t>
      </w:r>
      <w:r w:rsidR="002E68EB">
        <w:rPr>
          <w:rFonts w:ascii="Times New Roman" w:hAnsi="Times New Roman" w:cs="Times New Roman"/>
          <w:sz w:val="24"/>
          <w:lang w:val="en-US"/>
        </w:rPr>
        <w:t xml:space="preserve">The C-rate for the LG </w:t>
      </w:r>
      <w:proofErr w:type="spellStart"/>
      <w:r w:rsidR="002E68EB">
        <w:rPr>
          <w:rFonts w:ascii="Times New Roman" w:hAnsi="Times New Roman" w:cs="Times New Roman"/>
          <w:sz w:val="24"/>
          <w:lang w:val="en-US"/>
        </w:rPr>
        <w:t>Chem</w:t>
      </w:r>
      <w:proofErr w:type="spellEnd"/>
      <w:r w:rsidR="002E68EB">
        <w:rPr>
          <w:rFonts w:ascii="Times New Roman" w:hAnsi="Times New Roman" w:cs="Times New Roman"/>
          <w:sz w:val="24"/>
          <w:lang w:val="en-US"/>
        </w:rPr>
        <w:t xml:space="preserve"> system</w:t>
      </w:r>
      <w:r w:rsidR="008F4830">
        <w:rPr>
          <w:rFonts w:ascii="Times New Roman" w:hAnsi="Times New Roman" w:cs="Times New Roman"/>
          <w:sz w:val="24"/>
          <w:lang w:val="en-US"/>
        </w:rPr>
        <w:t>s ranges from around 0.3 to +1 but is not specified in detail. For this reason t</w:t>
      </w:r>
      <w:r w:rsidR="008F4830" w:rsidRPr="008F4830">
        <w:rPr>
          <w:rFonts w:ascii="Times New Roman" w:hAnsi="Times New Roman" w:cs="Times New Roman"/>
          <w:sz w:val="24"/>
          <w:lang w:val="en-US"/>
        </w:rPr>
        <w:t xml:space="preserve">he Samsung SDI </w:t>
      </w:r>
      <w:r w:rsidR="008F4830">
        <w:rPr>
          <w:rFonts w:ascii="Times New Roman" w:hAnsi="Times New Roman" w:cs="Times New Roman"/>
          <w:sz w:val="24"/>
          <w:lang w:val="en-US"/>
        </w:rPr>
        <w:t>system is used to specify energy and power density in the data sheet (Table 3). For the Samsung SDI system t</w:t>
      </w:r>
      <w:r>
        <w:rPr>
          <w:rFonts w:ascii="Times New Roman" w:hAnsi="Times New Roman" w:cs="Times New Roman"/>
          <w:sz w:val="24"/>
          <w:lang w:val="en-US"/>
        </w:rPr>
        <w:t xml:space="preserve">he power density in charge-mode is </w:t>
      </w:r>
      <w:proofErr w:type="gramStart"/>
      <w:r>
        <w:rPr>
          <w:rFonts w:ascii="Times New Roman" w:hAnsi="Times New Roman" w:cs="Times New Roman"/>
          <w:sz w:val="24"/>
          <w:lang w:val="en-US"/>
        </w:rPr>
        <w:t>50 kW/m</w:t>
      </w:r>
      <w:r w:rsidRPr="00294FA1">
        <w:rPr>
          <w:rFonts w:ascii="Times New Roman" w:hAnsi="Times New Roman" w:cs="Times New Roman"/>
          <w:sz w:val="24"/>
          <w:vertAlign w:val="superscript"/>
          <w:lang w:val="en-US"/>
        </w:rPr>
        <w:t>3</w:t>
      </w:r>
      <w:proofErr w:type="gramEnd"/>
      <w:r>
        <w:rPr>
          <w:rFonts w:ascii="Times New Roman" w:hAnsi="Times New Roman" w:cs="Times New Roman"/>
          <w:sz w:val="24"/>
          <w:lang w:val="en-US"/>
        </w:rPr>
        <w:t xml:space="preserve"> and 0.047 kW/kg. In discharge-mode it is </w:t>
      </w:r>
      <w:proofErr w:type="gramStart"/>
      <w:r>
        <w:rPr>
          <w:rFonts w:ascii="Times New Roman" w:hAnsi="Times New Roman" w:cs="Times New Roman"/>
          <w:sz w:val="24"/>
          <w:lang w:val="en-US"/>
        </w:rPr>
        <w:t>708 kW/m</w:t>
      </w:r>
      <w:r w:rsidRPr="00294FA1">
        <w:rPr>
          <w:rFonts w:ascii="Times New Roman" w:hAnsi="Times New Roman" w:cs="Times New Roman"/>
          <w:sz w:val="24"/>
          <w:vertAlign w:val="superscript"/>
          <w:lang w:val="en-US"/>
        </w:rPr>
        <w:t>3</w:t>
      </w:r>
      <w:proofErr w:type="gramEnd"/>
      <w:r>
        <w:rPr>
          <w:rFonts w:ascii="Times New Roman" w:hAnsi="Times New Roman" w:cs="Times New Roman"/>
          <w:sz w:val="24"/>
          <w:lang w:val="en-US"/>
        </w:rPr>
        <w:t xml:space="preserve"> and 0.569 kW/kg. </w:t>
      </w:r>
    </w:p>
    <w:p w14:paraId="07BB731A" w14:textId="741E85C3" w:rsidR="004A49E2" w:rsidRPr="009A64AC" w:rsidRDefault="004A49E2" w:rsidP="00DF3B7D">
      <w:pPr>
        <w:pStyle w:val="Heading1"/>
        <w:rPr>
          <w:rFonts w:cs="Times New Roman"/>
          <w:lang w:val="en-US"/>
        </w:rPr>
      </w:pPr>
      <w:bookmarkStart w:id="58" w:name="_Toc528918108"/>
      <w:bookmarkStart w:id="59" w:name="_Toc529169834"/>
      <w:bookmarkStart w:id="60" w:name="_Toc529178833"/>
      <w:bookmarkStart w:id="61" w:name="_Toc529178948"/>
      <w:r w:rsidRPr="009A64AC">
        <w:rPr>
          <w:rFonts w:cs="Times New Roman"/>
          <w:lang w:val="en-US"/>
        </w:rPr>
        <w:t>Typical storage period</w:t>
      </w:r>
      <w:bookmarkEnd w:id="58"/>
      <w:bookmarkEnd w:id="59"/>
      <w:bookmarkEnd w:id="60"/>
      <w:bookmarkEnd w:id="61"/>
    </w:p>
    <w:p w14:paraId="5F55A1B8" w14:textId="21B87C89" w:rsidR="00127DDE" w:rsidRDefault="00CA0110" w:rsidP="00CA0110">
      <w:pPr>
        <w:rPr>
          <w:rFonts w:ascii="Times New Roman" w:hAnsi="Times New Roman" w:cs="Times New Roman"/>
          <w:sz w:val="24"/>
          <w:szCs w:val="24"/>
          <w:lang w:val="en-US"/>
        </w:rPr>
      </w:pPr>
      <w:r w:rsidRPr="00CA0110">
        <w:rPr>
          <w:rFonts w:ascii="Times New Roman" w:hAnsi="Times New Roman" w:cs="Times New Roman"/>
          <w:sz w:val="24"/>
          <w:szCs w:val="24"/>
          <w:lang w:val="en-US"/>
        </w:rPr>
        <w:t xml:space="preserve">Several aspects of the LIB technology put an upper limit to the feasible storage period. </w:t>
      </w:r>
      <w:r w:rsidR="00D147B7" w:rsidRPr="00CA0110">
        <w:rPr>
          <w:rFonts w:ascii="Times New Roman" w:hAnsi="Times New Roman" w:cs="Times New Roman"/>
          <w:sz w:val="24"/>
          <w:szCs w:val="24"/>
          <w:lang w:val="en-US"/>
        </w:rPr>
        <w:t xml:space="preserve">The self-discharge rate </w:t>
      </w:r>
      <w:r w:rsidR="00C45F4B" w:rsidRPr="00CA0110">
        <w:rPr>
          <w:rFonts w:ascii="Times New Roman" w:hAnsi="Times New Roman" w:cs="Times New Roman"/>
          <w:sz w:val="24"/>
          <w:szCs w:val="24"/>
          <w:lang w:val="en-US"/>
        </w:rPr>
        <w:t xml:space="preserve">makes storage periods of </w:t>
      </w:r>
      <w:r w:rsidR="00D147B7" w:rsidRPr="00CA0110">
        <w:rPr>
          <w:rFonts w:ascii="Times New Roman" w:hAnsi="Times New Roman" w:cs="Times New Roman"/>
          <w:sz w:val="24"/>
          <w:szCs w:val="24"/>
          <w:lang w:val="en-US"/>
        </w:rPr>
        <w:t>several months</w:t>
      </w:r>
      <w:r w:rsidR="00C45F4B" w:rsidRPr="00CA0110">
        <w:rPr>
          <w:rFonts w:ascii="Times New Roman" w:hAnsi="Times New Roman" w:cs="Times New Roman"/>
          <w:sz w:val="24"/>
          <w:szCs w:val="24"/>
          <w:lang w:val="en-US"/>
        </w:rPr>
        <w:t xml:space="preserve"> unfeasible</w:t>
      </w:r>
      <w:r w:rsidR="008D35F0">
        <w:rPr>
          <w:rFonts w:ascii="Times New Roman" w:hAnsi="Times New Roman" w:cs="Times New Roman"/>
          <w:sz w:val="24"/>
          <w:szCs w:val="24"/>
          <w:lang w:val="en-US"/>
        </w:rPr>
        <w:t xml:space="preserve">. The </w:t>
      </w:r>
      <w:r w:rsidR="004646E5">
        <w:rPr>
          <w:rFonts w:ascii="Times New Roman" w:hAnsi="Times New Roman" w:cs="Times New Roman"/>
          <w:sz w:val="24"/>
          <w:szCs w:val="24"/>
          <w:lang w:val="en-US"/>
        </w:rPr>
        <w:t xml:space="preserve">BOP power </w:t>
      </w:r>
      <w:r w:rsidR="00D8291F">
        <w:rPr>
          <w:rFonts w:ascii="Times New Roman" w:hAnsi="Times New Roman" w:cs="Times New Roman"/>
          <w:sz w:val="24"/>
          <w:szCs w:val="24"/>
          <w:lang w:val="en-US"/>
        </w:rPr>
        <w:t xml:space="preserve">for </w:t>
      </w:r>
      <w:r w:rsidR="008D35F0">
        <w:rPr>
          <w:rFonts w:ascii="Times New Roman" w:hAnsi="Times New Roman" w:cs="Times New Roman"/>
          <w:sz w:val="24"/>
          <w:szCs w:val="24"/>
          <w:lang w:val="en-US"/>
        </w:rPr>
        <w:t xml:space="preserve">standby </w:t>
      </w:r>
      <w:r w:rsidR="00D8291F">
        <w:rPr>
          <w:rFonts w:ascii="Times New Roman" w:hAnsi="Times New Roman" w:cs="Times New Roman"/>
          <w:sz w:val="24"/>
          <w:szCs w:val="24"/>
          <w:lang w:val="en-US"/>
        </w:rPr>
        <w:t xml:space="preserve">operation </w:t>
      </w:r>
      <w:r w:rsidR="005E1059">
        <w:rPr>
          <w:rFonts w:ascii="Times New Roman" w:hAnsi="Times New Roman" w:cs="Times New Roman"/>
          <w:sz w:val="24"/>
          <w:szCs w:val="24"/>
          <w:lang w:val="en-US"/>
        </w:rPr>
        <w:t xml:space="preserve">adds parasitic losses to the system which </w:t>
      </w:r>
      <w:r w:rsidR="00D8291F">
        <w:rPr>
          <w:rFonts w:ascii="Times New Roman" w:hAnsi="Times New Roman" w:cs="Times New Roman"/>
          <w:sz w:val="24"/>
          <w:szCs w:val="24"/>
          <w:lang w:val="en-US"/>
        </w:rPr>
        <w:t xml:space="preserve">further </w:t>
      </w:r>
      <w:r w:rsidR="008D35F0">
        <w:rPr>
          <w:rFonts w:ascii="Times New Roman" w:hAnsi="Times New Roman" w:cs="Times New Roman"/>
          <w:sz w:val="24"/>
          <w:szCs w:val="24"/>
          <w:lang w:val="en-US"/>
        </w:rPr>
        <w:t>limits the feasible standby time</w:t>
      </w:r>
      <w:r w:rsidR="00D147B7" w:rsidRPr="00CA0110">
        <w:rPr>
          <w:rFonts w:ascii="Times New Roman" w:hAnsi="Times New Roman" w:cs="Times New Roman"/>
          <w:sz w:val="24"/>
          <w:szCs w:val="24"/>
          <w:lang w:val="en-US"/>
        </w:rPr>
        <w:t>.</w:t>
      </w:r>
      <w:r w:rsidR="00C45F4B" w:rsidRPr="00CA0110">
        <w:rPr>
          <w:rFonts w:ascii="Times New Roman" w:hAnsi="Times New Roman" w:cs="Times New Roman"/>
          <w:sz w:val="24"/>
          <w:szCs w:val="24"/>
          <w:lang w:val="en-US"/>
        </w:rPr>
        <w:t xml:space="preserve"> </w:t>
      </w:r>
      <w:r w:rsidR="008D35F0">
        <w:rPr>
          <w:rFonts w:ascii="Times New Roman" w:hAnsi="Times New Roman" w:cs="Times New Roman"/>
          <w:sz w:val="24"/>
          <w:szCs w:val="24"/>
          <w:lang w:val="en-US"/>
        </w:rPr>
        <w:t>U</w:t>
      </w:r>
      <w:r w:rsidRPr="00CA0110">
        <w:rPr>
          <w:rFonts w:ascii="Times New Roman" w:hAnsi="Times New Roman" w:cs="Times New Roman"/>
          <w:sz w:val="24"/>
          <w:szCs w:val="24"/>
          <w:lang w:val="en-US"/>
        </w:rPr>
        <w:t>nwanted chemical reactions in the LIB gradually degrade the battery an</w:t>
      </w:r>
      <w:r>
        <w:rPr>
          <w:rFonts w:ascii="Times New Roman" w:hAnsi="Times New Roman" w:cs="Times New Roman"/>
          <w:sz w:val="24"/>
          <w:szCs w:val="24"/>
          <w:lang w:val="en-US"/>
        </w:rPr>
        <w:t>d limit</w:t>
      </w:r>
      <w:r w:rsidRPr="00CA0110">
        <w:rPr>
          <w:rFonts w:ascii="Times New Roman" w:hAnsi="Times New Roman" w:cs="Times New Roman"/>
          <w:sz w:val="24"/>
          <w:szCs w:val="24"/>
          <w:lang w:val="en-US"/>
        </w:rPr>
        <w:t xml:space="preserve"> the calendar lifetime</w:t>
      </w:r>
      <w:r>
        <w:rPr>
          <w:rFonts w:ascii="Times New Roman" w:hAnsi="Times New Roman" w:cs="Times New Roman"/>
          <w:sz w:val="24"/>
          <w:szCs w:val="24"/>
          <w:lang w:val="en-US"/>
        </w:rPr>
        <w:t xml:space="preserve">. This </w:t>
      </w:r>
      <w:r w:rsidRPr="00CA0110">
        <w:rPr>
          <w:rFonts w:ascii="Times New Roman" w:hAnsi="Times New Roman" w:cs="Times New Roman"/>
          <w:sz w:val="24"/>
          <w:szCs w:val="24"/>
          <w:lang w:val="en-US"/>
        </w:rPr>
        <w:t xml:space="preserve">calls for shorter storage periods </w:t>
      </w:r>
      <w:r>
        <w:rPr>
          <w:rFonts w:ascii="Times New Roman" w:hAnsi="Times New Roman" w:cs="Times New Roman"/>
          <w:sz w:val="24"/>
          <w:szCs w:val="24"/>
          <w:lang w:val="en-US"/>
        </w:rPr>
        <w:t xml:space="preserve">in order </w:t>
      </w:r>
      <w:r w:rsidRPr="00CA0110">
        <w:rPr>
          <w:rFonts w:ascii="Times New Roman" w:hAnsi="Times New Roman" w:cs="Times New Roman"/>
          <w:sz w:val="24"/>
          <w:szCs w:val="24"/>
          <w:lang w:val="en-US"/>
        </w:rPr>
        <w:t xml:space="preserve">to </w:t>
      </w:r>
      <w:r w:rsidR="004646E5">
        <w:rPr>
          <w:rFonts w:ascii="Times New Roman" w:hAnsi="Times New Roman" w:cs="Times New Roman"/>
          <w:sz w:val="24"/>
          <w:szCs w:val="24"/>
          <w:lang w:val="en-US"/>
        </w:rPr>
        <w:t xml:space="preserve">obtain </w:t>
      </w:r>
      <w:r>
        <w:rPr>
          <w:rFonts w:ascii="Times New Roman" w:hAnsi="Times New Roman" w:cs="Times New Roman"/>
          <w:sz w:val="24"/>
          <w:szCs w:val="24"/>
          <w:lang w:val="en-US"/>
        </w:rPr>
        <w:t xml:space="preserve">enough cycles to </w:t>
      </w:r>
      <w:r w:rsidR="004646E5">
        <w:rPr>
          <w:rFonts w:ascii="Times New Roman" w:hAnsi="Times New Roman" w:cs="Times New Roman"/>
          <w:sz w:val="24"/>
          <w:szCs w:val="24"/>
          <w:lang w:val="en-US"/>
        </w:rPr>
        <w:t xml:space="preserve">reach </w:t>
      </w:r>
      <w:r w:rsidRPr="00CA0110">
        <w:rPr>
          <w:rFonts w:ascii="Times New Roman" w:hAnsi="Times New Roman" w:cs="Times New Roman"/>
          <w:sz w:val="24"/>
          <w:szCs w:val="24"/>
          <w:lang w:val="en-US"/>
        </w:rPr>
        <w:t xml:space="preserve">positive revenue. </w:t>
      </w:r>
    </w:p>
    <w:p w14:paraId="0BADB43D" w14:textId="0567513A" w:rsidR="00997442" w:rsidRDefault="00997442" w:rsidP="00CA0110">
      <w:pPr>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For LIBs </w:t>
      </w:r>
      <w:r w:rsidR="004646E5">
        <w:rPr>
          <w:rFonts w:ascii="Times New Roman" w:hAnsi="Times New Roman" w:cs="Times New Roman"/>
          <w:sz w:val="24"/>
          <w:szCs w:val="24"/>
          <w:lang w:val="en-US"/>
        </w:rPr>
        <w:t>t</w:t>
      </w:r>
      <w:r w:rsidR="00127DDE">
        <w:rPr>
          <w:rFonts w:ascii="Times New Roman" w:hAnsi="Times New Roman" w:cs="Times New Roman"/>
          <w:sz w:val="24"/>
          <w:szCs w:val="24"/>
          <w:lang w:val="en-US"/>
        </w:rPr>
        <w:t xml:space="preserve">he total </w:t>
      </w:r>
      <w:r>
        <w:rPr>
          <w:rFonts w:ascii="Times New Roman" w:hAnsi="Times New Roman" w:cs="Times New Roman"/>
          <w:sz w:val="24"/>
          <w:szCs w:val="24"/>
          <w:lang w:val="en-US"/>
        </w:rPr>
        <w:t>number</w:t>
      </w:r>
      <w:r w:rsidR="00127DDE">
        <w:rPr>
          <w:rFonts w:ascii="Times New Roman" w:hAnsi="Times New Roman" w:cs="Times New Roman"/>
          <w:sz w:val="24"/>
          <w:szCs w:val="24"/>
          <w:lang w:val="en-US"/>
        </w:rPr>
        <w:t xml:space="preserve"> of </w:t>
      </w:r>
      <w:r w:rsidR="004646E5">
        <w:rPr>
          <w:rFonts w:ascii="Times New Roman" w:hAnsi="Times New Roman" w:cs="Times New Roman"/>
          <w:sz w:val="24"/>
          <w:szCs w:val="24"/>
          <w:lang w:val="en-US"/>
        </w:rPr>
        <w:t xml:space="preserve">full </w:t>
      </w:r>
      <w:r w:rsidR="00127DDE">
        <w:rPr>
          <w:rFonts w:ascii="Times New Roman" w:hAnsi="Times New Roman" w:cs="Times New Roman"/>
          <w:sz w:val="24"/>
          <w:szCs w:val="24"/>
          <w:lang w:val="en-US"/>
        </w:rPr>
        <w:t>charge-discharge cycles</w:t>
      </w:r>
      <w:r>
        <w:rPr>
          <w:rFonts w:ascii="Times New Roman" w:hAnsi="Times New Roman" w:cs="Times New Roman"/>
          <w:sz w:val="24"/>
          <w:szCs w:val="24"/>
          <w:lang w:val="en-US"/>
        </w:rPr>
        <w:t xml:space="preserve"> within the battery lifetime</w:t>
      </w:r>
      <w:r w:rsidR="004646E5">
        <w:rPr>
          <w:rFonts w:ascii="Times New Roman" w:hAnsi="Times New Roman" w:cs="Times New Roman"/>
          <w:sz w:val="24"/>
          <w:szCs w:val="24"/>
          <w:lang w:val="en-US"/>
        </w:rPr>
        <w:t xml:space="preserve"> is limited between a few thousands up to some ten-thousands</w:t>
      </w:r>
      <w:r w:rsidR="00127DDE">
        <w:rPr>
          <w:rFonts w:ascii="Times New Roman" w:hAnsi="Times New Roman" w:cs="Times New Roman"/>
          <w:sz w:val="24"/>
          <w:szCs w:val="24"/>
          <w:lang w:val="en-US"/>
        </w:rPr>
        <w:t>.</w:t>
      </w:r>
      <w:r>
        <w:rPr>
          <w:rFonts w:ascii="Times New Roman" w:hAnsi="Times New Roman" w:cs="Times New Roman"/>
          <w:sz w:val="24"/>
          <w:szCs w:val="24"/>
          <w:lang w:val="en-US"/>
        </w:rPr>
        <w:t xml:space="preserve"> The exact number depends on the chemistry, manufacturing</w:t>
      </w:r>
      <w:r w:rsidR="00127DD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method, design and operating conditions such as temperature, C-rate and calendar time. </w:t>
      </w:r>
      <w:r w:rsidR="00127DDE">
        <w:rPr>
          <w:rFonts w:ascii="Times New Roman" w:hAnsi="Times New Roman" w:cs="Times New Roman"/>
          <w:sz w:val="24"/>
          <w:szCs w:val="24"/>
          <w:lang w:val="en-US"/>
        </w:rPr>
        <w:t xml:space="preserve">This </w:t>
      </w:r>
      <w:r w:rsidR="004646E5">
        <w:rPr>
          <w:rFonts w:ascii="Times New Roman" w:hAnsi="Times New Roman" w:cs="Times New Roman"/>
          <w:sz w:val="24"/>
          <w:szCs w:val="24"/>
          <w:lang w:val="en-US"/>
        </w:rPr>
        <w:t>impacts the type of suitable applications</w:t>
      </w:r>
      <w:r w:rsidR="00127DDE">
        <w:rPr>
          <w:rFonts w:ascii="Times New Roman" w:hAnsi="Times New Roman" w:cs="Times New Roman"/>
          <w:sz w:val="24"/>
          <w:szCs w:val="24"/>
          <w:lang w:val="en-US"/>
        </w:rPr>
        <w:t xml:space="preserve">. </w:t>
      </w:r>
      <w:r>
        <w:rPr>
          <w:rFonts w:ascii="Times New Roman" w:hAnsi="Times New Roman" w:cs="Times New Roman"/>
          <w:sz w:val="24"/>
          <w:szCs w:val="24"/>
          <w:lang w:val="en-US"/>
        </w:rPr>
        <w:t>For instance due to the different degree of usage</w:t>
      </w:r>
      <w:r w:rsidR="00FF134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00A347CF">
        <w:rPr>
          <w:rFonts w:ascii="Times New Roman" w:hAnsi="Times New Roman" w:cs="Times New Roman"/>
          <w:sz w:val="24"/>
          <w:szCs w:val="24"/>
          <w:lang w:val="en-US"/>
        </w:rPr>
        <w:t xml:space="preserve">the LTO chemistry </w:t>
      </w:r>
      <w:r w:rsidR="00AE691D">
        <w:rPr>
          <w:rFonts w:ascii="Times New Roman" w:hAnsi="Times New Roman" w:cs="Times New Roman"/>
          <w:sz w:val="24"/>
          <w:szCs w:val="24"/>
          <w:lang w:val="en-US"/>
        </w:rPr>
        <w:t>may</w:t>
      </w:r>
      <w:r w:rsidR="00990927">
        <w:rPr>
          <w:rFonts w:ascii="Times New Roman" w:hAnsi="Times New Roman" w:cs="Times New Roman"/>
          <w:sz w:val="24"/>
          <w:szCs w:val="24"/>
          <w:lang w:val="en-US"/>
        </w:rPr>
        <w:t xml:space="preserve"> </w:t>
      </w:r>
      <w:r w:rsidR="00CE415F">
        <w:rPr>
          <w:rFonts w:ascii="Times New Roman" w:hAnsi="Times New Roman" w:cs="Times New Roman"/>
          <w:sz w:val="24"/>
          <w:szCs w:val="24"/>
          <w:lang w:val="en-US"/>
        </w:rPr>
        <w:t xml:space="preserve">find </w:t>
      </w:r>
      <w:r w:rsidR="001944BB">
        <w:rPr>
          <w:rFonts w:ascii="Times New Roman" w:hAnsi="Times New Roman" w:cs="Times New Roman"/>
          <w:sz w:val="24"/>
          <w:szCs w:val="24"/>
          <w:lang w:val="en-US"/>
        </w:rPr>
        <w:t xml:space="preserve">more use </w:t>
      </w:r>
      <w:r w:rsidR="00A347CF">
        <w:rPr>
          <w:rFonts w:ascii="Times New Roman" w:hAnsi="Times New Roman" w:cs="Times New Roman"/>
          <w:sz w:val="24"/>
          <w:szCs w:val="24"/>
          <w:lang w:val="en-US"/>
        </w:rPr>
        <w:t>on the FCR-N</w:t>
      </w:r>
      <w:r w:rsidR="00A347CF">
        <w:rPr>
          <w:rStyle w:val="FootnoteReference"/>
          <w:rFonts w:ascii="Times New Roman" w:hAnsi="Times New Roman" w:cs="Times New Roman"/>
          <w:sz w:val="24"/>
          <w:szCs w:val="24"/>
          <w:lang w:val="en-US"/>
        </w:rPr>
        <w:footnoteReference w:id="1"/>
      </w:r>
      <w:r w:rsidR="00A347CF">
        <w:rPr>
          <w:rFonts w:ascii="Times New Roman" w:hAnsi="Times New Roman" w:cs="Times New Roman"/>
          <w:sz w:val="24"/>
          <w:szCs w:val="24"/>
          <w:lang w:val="en-US"/>
        </w:rPr>
        <w:t xml:space="preserve"> market while others like NMC may be preferred for the FCR-D market</w:t>
      </w:r>
      <w:r w:rsidR="00FF1340">
        <w:rPr>
          <w:rFonts w:ascii="Times New Roman" w:hAnsi="Times New Roman" w:cs="Times New Roman"/>
          <w:sz w:val="24"/>
          <w:szCs w:val="24"/>
          <w:lang w:val="en-US"/>
        </w:rPr>
        <w:t xml:space="preserve">. </w:t>
      </w:r>
    </w:p>
    <w:p w14:paraId="2E65A1AF" w14:textId="2532904F" w:rsidR="00CA0110" w:rsidRDefault="00A347CF" w:rsidP="00CA0110">
      <w:pPr>
        <w:rPr>
          <w:rFonts w:ascii="Times New Roman" w:hAnsi="Times New Roman" w:cs="Times New Roman"/>
          <w:sz w:val="24"/>
          <w:szCs w:val="24"/>
          <w:lang w:val="en-US"/>
        </w:rPr>
      </w:pPr>
      <w:r>
        <w:rPr>
          <w:rFonts w:ascii="Times New Roman" w:hAnsi="Times New Roman" w:cs="Times New Roman"/>
          <w:sz w:val="24"/>
          <w:szCs w:val="24"/>
          <w:lang w:val="en-US"/>
        </w:rPr>
        <w:t>Until now t</w:t>
      </w:r>
      <w:r w:rsidR="00FF1340">
        <w:rPr>
          <w:rFonts w:ascii="Times New Roman" w:hAnsi="Times New Roman" w:cs="Times New Roman"/>
          <w:sz w:val="24"/>
          <w:szCs w:val="24"/>
          <w:lang w:val="en-US"/>
        </w:rPr>
        <w:t xml:space="preserve">he majority of the current LIB systems have been </w:t>
      </w:r>
      <w:r w:rsidR="004646E5" w:rsidRPr="004646E5">
        <w:rPr>
          <w:rFonts w:ascii="Times New Roman" w:hAnsi="Times New Roman" w:cs="Times New Roman"/>
          <w:sz w:val="24"/>
          <w:szCs w:val="24"/>
          <w:lang w:val="en-US"/>
        </w:rPr>
        <w:t>deployed to perform fast reactive renewables smoothing and firming</w:t>
      </w:r>
      <w:r w:rsidR="004646E5">
        <w:rPr>
          <w:rFonts w:ascii="Times New Roman" w:hAnsi="Times New Roman" w:cs="Times New Roman"/>
          <w:sz w:val="24"/>
          <w:szCs w:val="24"/>
          <w:lang w:val="en-US"/>
        </w:rPr>
        <w:t xml:space="preserve"> with storage periods ranging from seconds to minutes </w:t>
      </w:r>
      <w:r w:rsidR="004646E5">
        <w:rPr>
          <w:rFonts w:ascii="Times New Roman" w:hAnsi="Times New Roman" w:cs="Times New Roman"/>
          <w:sz w:val="24"/>
          <w:szCs w:val="24"/>
          <w:lang w:val="en-US"/>
        </w:rPr>
        <w:fldChar w:fldCharType="begin" w:fldLock="1"/>
      </w:r>
      <w:r w:rsidR="007D441B">
        <w:rPr>
          <w:rFonts w:ascii="Times New Roman" w:hAnsi="Times New Roman" w:cs="Times New Roman"/>
          <w:sz w:val="24"/>
          <w:szCs w:val="24"/>
          <w:lang w:val="en-US"/>
        </w:rPr>
        <w:instrText>ADDIN CSL_CITATION {"citationItems":[{"id":"ITEM-1","itemData":{"URL":"https://researchinterfaces.com/lithium-ion-batteries-grid-energy-storage/","accessed":{"date-parts":[["2018","10","25"]]},"id":"ITEM-1","issued":{"date-parts":[["0"]]},"title":"Lithium-ion batteries for large-scale grid energy storage","type":"webpage"},"uris":["http://www.mendeley.com/documents/?uuid=d45a0c70-e1d8-363b-bc18-f2b9a2353557","http://www.mendeley.com/documents/?uuid=3a2b4057-aca3-4d38-b2f3-62f4e8eaaf45"]}],"mendeley":{"formattedCitation":"[25]","plainTextFormattedCitation":"[25]","previouslyFormattedCitation":"[25]"},"properties":{"noteIndex":0},"schema":"https://github.com/citation-style-language/schema/raw/master/csl-citation.json"}</w:instrText>
      </w:r>
      <w:r w:rsidR="004646E5">
        <w:rPr>
          <w:rFonts w:ascii="Times New Roman" w:hAnsi="Times New Roman" w:cs="Times New Roman"/>
          <w:sz w:val="24"/>
          <w:szCs w:val="24"/>
          <w:lang w:val="en-US"/>
        </w:rPr>
        <w:fldChar w:fldCharType="separate"/>
      </w:r>
      <w:r w:rsidR="00986F3F" w:rsidRPr="00986F3F">
        <w:rPr>
          <w:rFonts w:ascii="Times New Roman" w:hAnsi="Times New Roman" w:cs="Times New Roman"/>
          <w:noProof/>
          <w:sz w:val="24"/>
          <w:szCs w:val="24"/>
          <w:lang w:val="en-US"/>
        </w:rPr>
        <w:t>[25]</w:t>
      </w:r>
      <w:r w:rsidR="004646E5">
        <w:rPr>
          <w:rFonts w:ascii="Times New Roman" w:hAnsi="Times New Roman" w:cs="Times New Roman"/>
          <w:sz w:val="24"/>
          <w:szCs w:val="24"/>
          <w:lang w:val="en-US"/>
        </w:rPr>
        <w:fldChar w:fldCharType="end"/>
      </w:r>
      <w:r w:rsidR="004646E5" w:rsidRPr="004646E5">
        <w:rPr>
          <w:rFonts w:ascii="Times New Roman" w:hAnsi="Times New Roman" w:cs="Times New Roman"/>
          <w:sz w:val="24"/>
          <w:szCs w:val="24"/>
          <w:lang w:val="en-US"/>
        </w:rPr>
        <w:t xml:space="preserve">. </w:t>
      </w:r>
      <w:r w:rsidR="00FF1340">
        <w:rPr>
          <w:rFonts w:ascii="Times New Roman" w:hAnsi="Times New Roman" w:cs="Times New Roman"/>
          <w:sz w:val="24"/>
          <w:szCs w:val="24"/>
          <w:lang w:val="en-US"/>
        </w:rPr>
        <w:t>But m</w:t>
      </w:r>
      <w:r w:rsidR="004646E5">
        <w:rPr>
          <w:rFonts w:ascii="Times New Roman" w:hAnsi="Times New Roman" w:cs="Times New Roman"/>
          <w:sz w:val="24"/>
          <w:szCs w:val="24"/>
          <w:lang w:val="en-US"/>
        </w:rPr>
        <w:t>ore recently</w:t>
      </w:r>
      <w:r w:rsidR="004646E5" w:rsidRPr="004646E5">
        <w:rPr>
          <w:rFonts w:ascii="Times New Roman" w:hAnsi="Times New Roman" w:cs="Times New Roman"/>
          <w:sz w:val="24"/>
          <w:szCs w:val="24"/>
          <w:lang w:val="en-US"/>
        </w:rPr>
        <w:t xml:space="preserve">, </w:t>
      </w:r>
      <w:r w:rsidR="004646E5">
        <w:rPr>
          <w:rFonts w:ascii="Times New Roman" w:hAnsi="Times New Roman" w:cs="Times New Roman"/>
          <w:sz w:val="24"/>
          <w:szCs w:val="24"/>
          <w:lang w:val="en-US"/>
        </w:rPr>
        <w:t xml:space="preserve">the systems </w:t>
      </w:r>
      <w:r w:rsidR="004646E5" w:rsidRPr="004646E5">
        <w:rPr>
          <w:rFonts w:ascii="Times New Roman" w:hAnsi="Times New Roman" w:cs="Times New Roman"/>
          <w:sz w:val="24"/>
          <w:szCs w:val="24"/>
          <w:lang w:val="en-US"/>
        </w:rPr>
        <w:t>are increasingly used for renewables time shifting</w:t>
      </w:r>
      <w:r w:rsidR="004646E5">
        <w:rPr>
          <w:rFonts w:ascii="Times New Roman" w:hAnsi="Times New Roman" w:cs="Times New Roman"/>
          <w:sz w:val="24"/>
          <w:szCs w:val="24"/>
          <w:lang w:val="en-US"/>
        </w:rPr>
        <w:t xml:space="preserve"> with typical storage periods of a few hours </w:t>
      </w:r>
      <w:r w:rsidR="004646E5">
        <w:rPr>
          <w:rFonts w:ascii="Times New Roman" w:hAnsi="Times New Roman" w:cs="Times New Roman"/>
          <w:sz w:val="24"/>
          <w:szCs w:val="24"/>
          <w:lang w:val="en-US"/>
        </w:rPr>
        <w:fldChar w:fldCharType="begin" w:fldLock="1"/>
      </w:r>
      <w:r w:rsidR="007D441B">
        <w:rPr>
          <w:rFonts w:ascii="Times New Roman" w:hAnsi="Times New Roman" w:cs="Times New Roman"/>
          <w:sz w:val="24"/>
          <w:szCs w:val="24"/>
          <w:lang w:val="en-US"/>
        </w:rPr>
        <w:instrText>ADDIN CSL_CITATION {"citationItems":[{"id":"ITEM-1","itemData":{"DOI":"10.1016/J.APENERGY.2017.10.129","ISSN":"0306-2619","abstract":"Energy efficiency is a key performance indicator for battery storage systems. A detailed electro-thermal model of a stationary lithium-ion battery system is developed and an evaluation of its energy efficiency is conducted. The model offers a holistic approach to calculating conversion losses and auxiliary power consumption. Sub-models for battery rack, power electronics, thermal management as well as the control and monitoring components are developed and coupled to a comprehensive model. The simulation is parametrized based on a prototype 192 kWh system using lithium iron phosphate batteries connected to the low voltage grid. The key loss mechanisms are identified, thoroughly analyzed and modeled. Generic profiles featuring various system operation modes are evaluated to show the characteristics of stationary battery systems. Typically the losses in the power electronics outweigh the losses in the battery at low power operating points. The auxiliary power consumption dominates for low system utilization rates. For estimation of real-world performance, the grid applications Primary Control Reserve, Secondary Control Reserve and the storage of surplus photovoltaic power are evaluated. Conversion round-trip efficiency is in the range of 70–80%. Overall system efficiency, which also considers system power consumption, is 8–13 percentage points lower for Primary Control Reserve and the photovoltaic-battery application. However, for Secondary Control Reserve, the total round-trip efficiency is found to be extremely low at 23% due to the low energy throughput of this application type.","author":[{"dropping-particle":"","family":"Schimpe","given":"Michael","non-dropping-particle":"","parse-names":false,"suffix":""},{"dropping-particle":"","family":"Naumann","given":"Maik","non-dropping-particle":"","parse-names":false,"suffix":""},{"dropping-particle":"","family":"Truong","given":"Nam","non-dropping-particle":"","parse-names":false,"suffix":""},{"dropping-particle":"","family":"Hesse","given":"Holger C.","non-dropping-particle":"","parse-names":false,"suffix":""},{"dropping-particle":"","family":"Santhanagopalan","given":"Shriram","non-dropping-particle":"","parse-names":false,"suffix":""},{"dropping-particle":"","family":"Saxon","given":"Aron","non-dropping-particle":"","parse-names":false,"suffix":""},{"dropping-particle":"","family":"Jossen","given":"Andreas","non-dropping-particle":"","parse-names":false,"suffix":""}],"container-title":"Applied Energy","id":"ITEM-1","issued":{"date-parts":[["2018","1","15"]]},"page":"211-229","publisher":"Elsevier","title":"Energy efficiency evaluation of a stationary lithium-ion battery container storage system via electro-thermal modeling and detailed component analysis","type":"article-journal","volume":"210"},"uris":["http://www.mendeley.com/documents/?uuid=7c57f4fc-c413-3b7b-bf77-81cd78ebf4c7","http://www.mendeley.com/documents/?uuid=85dcb948-34ff-47ef-b743-9adee3c197fd"]},{"id":"ITEM-2","itemData":{"URL":"https://researchinterfaces.com/lithium-ion-batteries-grid-energy-storage/","accessed":{"date-parts":[["2018","10","25"]]},"id":"ITEM-2","issued":{"date-parts":[["0"]]},"title":"Lithium-ion batteries for large-scale grid energy storage","type":"webpage"},"uris":["http://www.mendeley.com/documents/?uuid=3a2b4057-aca3-4d38-b2f3-62f4e8eaaf45","http://www.mendeley.com/documents/?uuid=d45a0c70-e1d8-363b-bc18-f2b9a2353557"]}],"mendeley":{"formattedCitation":"[17,25]","plainTextFormattedCitation":"[17,25]","previouslyFormattedCitation":"[17,25]"},"properties":{"noteIndex":0},"schema":"https://github.com/citation-style-language/schema/raw/master/csl-citation.json"}</w:instrText>
      </w:r>
      <w:r w:rsidR="004646E5">
        <w:rPr>
          <w:rFonts w:ascii="Times New Roman" w:hAnsi="Times New Roman" w:cs="Times New Roman"/>
          <w:sz w:val="24"/>
          <w:szCs w:val="24"/>
          <w:lang w:val="en-US"/>
        </w:rPr>
        <w:fldChar w:fldCharType="separate"/>
      </w:r>
      <w:r w:rsidR="00986F3F" w:rsidRPr="00986F3F">
        <w:rPr>
          <w:rFonts w:ascii="Times New Roman" w:hAnsi="Times New Roman" w:cs="Times New Roman"/>
          <w:noProof/>
          <w:sz w:val="24"/>
          <w:szCs w:val="24"/>
          <w:lang w:val="en-US"/>
        </w:rPr>
        <w:t>[17,25]</w:t>
      </w:r>
      <w:r w:rsidR="004646E5">
        <w:rPr>
          <w:rFonts w:ascii="Times New Roman" w:hAnsi="Times New Roman" w:cs="Times New Roman"/>
          <w:sz w:val="24"/>
          <w:szCs w:val="24"/>
          <w:lang w:val="en-US"/>
        </w:rPr>
        <w:fldChar w:fldCharType="end"/>
      </w:r>
      <w:r w:rsidR="004646E5">
        <w:rPr>
          <w:rFonts w:ascii="Times New Roman" w:hAnsi="Times New Roman" w:cs="Times New Roman"/>
          <w:sz w:val="24"/>
          <w:szCs w:val="24"/>
          <w:lang w:val="en-US"/>
        </w:rPr>
        <w:t>.</w:t>
      </w:r>
      <w:r w:rsidR="00FF1340">
        <w:rPr>
          <w:rFonts w:ascii="Times New Roman" w:hAnsi="Times New Roman" w:cs="Times New Roman"/>
          <w:sz w:val="24"/>
          <w:szCs w:val="24"/>
          <w:lang w:val="en-US"/>
        </w:rPr>
        <w:t xml:space="preserve"> </w:t>
      </w:r>
    </w:p>
    <w:p w14:paraId="6F7A8B06" w14:textId="6A04CD2B" w:rsidR="004A49E2" w:rsidRDefault="004A49E2" w:rsidP="00DF3B7D">
      <w:pPr>
        <w:pStyle w:val="Heading1"/>
        <w:rPr>
          <w:rFonts w:cs="Times New Roman"/>
          <w:lang w:val="en-US"/>
        </w:rPr>
      </w:pPr>
      <w:bookmarkStart w:id="62" w:name="_Toc528918109"/>
      <w:bookmarkStart w:id="63" w:name="_Toc529169835"/>
      <w:bookmarkStart w:id="64" w:name="_Toc529178834"/>
      <w:bookmarkStart w:id="65" w:name="_Toc529178949"/>
      <w:r w:rsidRPr="009A64AC">
        <w:rPr>
          <w:rFonts w:cs="Times New Roman"/>
          <w:lang w:val="en-US"/>
        </w:rPr>
        <w:t>Space requirement</w:t>
      </w:r>
      <w:bookmarkEnd w:id="62"/>
      <w:bookmarkEnd w:id="63"/>
      <w:bookmarkEnd w:id="64"/>
      <w:bookmarkEnd w:id="65"/>
    </w:p>
    <w:p w14:paraId="33B5A9E3" w14:textId="1900F3C3" w:rsidR="00294FA1" w:rsidRDefault="00294FA1" w:rsidP="00294FA1">
      <w:pPr>
        <w:rPr>
          <w:rFonts w:ascii="Times New Roman" w:hAnsi="Times New Roman" w:cs="Times New Roman"/>
          <w:sz w:val="24"/>
          <w:lang w:val="en-US"/>
        </w:rPr>
      </w:pPr>
      <w:r>
        <w:rPr>
          <w:rFonts w:ascii="Times New Roman" w:hAnsi="Times New Roman" w:cs="Times New Roman"/>
          <w:sz w:val="24"/>
          <w:lang w:val="en-US"/>
        </w:rPr>
        <w:t xml:space="preserve">The racks and battery packs are assembled in containers and the </w:t>
      </w:r>
      <w:r w:rsidRPr="004646E5">
        <w:rPr>
          <w:rFonts w:ascii="Times New Roman" w:hAnsi="Times New Roman" w:cs="Times New Roman"/>
          <w:sz w:val="24"/>
          <w:lang w:val="en-US"/>
        </w:rPr>
        <w:t xml:space="preserve">energy per 40 feet container </w:t>
      </w:r>
      <w:r>
        <w:rPr>
          <w:rFonts w:ascii="Times New Roman" w:hAnsi="Times New Roman" w:cs="Times New Roman"/>
          <w:sz w:val="24"/>
          <w:lang w:val="en-US"/>
        </w:rPr>
        <w:t xml:space="preserve">is </w:t>
      </w:r>
      <w:r w:rsidRPr="004646E5">
        <w:rPr>
          <w:rFonts w:ascii="Times New Roman" w:hAnsi="Times New Roman" w:cs="Times New Roman"/>
          <w:sz w:val="24"/>
          <w:lang w:val="en-US"/>
        </w:rPr>
        <w:t xml:space="preserve">4-6MWh for NMC batteries </w:t>
      </w:r>
      <w:r w:rsidRPr="004646E5">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Solutions","type":"webpage"},"uris":["http://www.mendeley.com/documents/?uuid=8daf1546-d22a-4e17-b6ef-d1d6ad53c301"]},{"id":"ITEM-2","itemData":{"DOI":"10.1038/ncomms9494","ISBN":"8613823769","author":[{"dropping-particle":"","family":"LG Chem","given":"","non-dropping-particle":"","parse-names":false,"suffix":""}],"id":"ITEM-2","issue":"July","issued":{"date-parts":[["2016"]]},"page":"7","title":"Change your enery. Change your life.","type":"webpage"},"uris":["http://www.mendeley.com/documents/?uuid=d939fabc-a503-4170-89ae-7d16fdb08e97"]}],"mendeley":{"formattedCitation":"[2,24]","plainTextFormattedCitation":"[2,24]","previouslyFormattedCitation":"[2,24]"},"properties":{"noteIndex":0},"schema":"https://github.com/citation-style-language/schema/raw/master/csl-citation.json"}</w:instrText>
      </w:r>
      <w:r w:rsidRPr="004646E5">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[2,24]</w:t>
      </w:r>
      <w:r w:rsidRPr="004646E5">
        <w:rPr>
          <w:rFonts w:ascii="Times New Roman" w:hAnsi="Times New Roman" w:cs="Times New Roman"/>
          <w:sz w:val="24"/>
          <w:lang w:val="en-US"/>
        </w:rPr>
        <w:fldChar w:fldCharType="end"/>
      </w:r>
      <w:r w:rsidRPr="004646E5">
        <w:rPr>
          <w:rFonts w:ascii="Times New Roman" w:hAnsi="Times New Roman" w:cs="Times New Roman"/>
          <w:sz w:val="24"/>
          <w:lang w:val="en-US"/>
        </w:rPr>
        <w:t>.</w:t>
      </w:r>
      <w:r>
        <w:rPr>
          <w:rFonts w:ascii="Times New Roman" w:hAnsi="Times New Roman" w:cs="Times New Roman"/>
          <w:sz w:val="24"/>
          <w:lang w:val="en-US"/>
        </w:rPr>
        <w:t xml:space="preserve"> The foot-print of a 40-feet container is 29.7 m</w:t>
      </w:r>
      <w:r w:rsidRPr="00294FA1">
        <w:rPr>
          <w:rFonts w:ascii="Times New Roman" w:hAnsi="Times New Roman" w:cs="Times New Roman"/>
          <w:sz w:val="24"/>
          <w:vertAlign w:val="superscript"/>
          <w:lang w:val="en-US"/>
        </w:rPr>
        <w:t>2</w:t>
      </w:r>
      <w:r>
        <w:rPr>
          <w:rFonts w:ascii="Times New Roman" w:hAnsi="Times New Roman" w:cs="Times New Roman"/>
          <w:sz w:val="24"/>
          <w:lang w:val="en-US"/>
        </w:rPr>
        <w:t>. This gives a space requirement around 5-7.5 MWh/m</w:t>
      </w:r>
      <w:r w:rsidRPr="00294FA1">
        <w:rPr>
          <w:rFonts w:ascii="Times New Roman" w:hAnsi="Times New Roman" w:cs="Times New Roman"/>
          <w:sz w:val="24"/>
          <w:vertAlign w:val="superscript"/>
          <w:lang w:val="en-US"/>
        </w:rPr>
        <w:t>2</w:t>
      </w:r>
      <w:r>
        <w:rPr>
          <w:rFonts w:ascii="Times New Roman" w:hAnsi="Times New Roman" w:cs="Times New Roman"/>
          <w:sz w:val="24"/>
          <w:lang w:val="en-US"/>
        </w:rPr>
        <w:t>.</w:t>
      </w:r>
    </w:p>
    <w:p w14:paraId="5DF1A350" w14:textId="11DA180A" w:rsidR="004A49E2" w:rsidRDefault="004A49E2" w:rsidP="00DF3B7D">
      <w:pPr>
        <w:pStyle w:val="Heading1"/>
        <w:rPr>
          <w:rFonts w:cs="Times New Roman"/>
          <w:lang w:val="en-US"/>
        </w:rPr>
      </w:pPr>
      <w:bookmarkStart w:id="66" w:name="_Toc528918110"/>
      <w:bookmarkStart w:id="67" w:name="_Toc529169836"/>
      <w:bookmarkStart w:id="68" w:name="_Toc529178835"/>
      <w:bookmarkStart w:id="69" w:name="_Toc529178950"/>
      <w:r w:rsidRPr="009A64AC">
        <w:rPr>
          <w:rFonts w:cs="Times New Roman"/>
          <w:lang w:val="en-US"/>
        </w:rPr>
        <w:t>Advantages/disadvantages</w:t>
      </w:r>
      <w:bookmarkEnd w:id="66"/>
      <w:bookmarkEnd w:id="67"/>
      <w:bookmarkEnd w:id="68"/>
      <w:bookmarkEnd w:id="69"/>
    </w:p>
    <w:p w14:paraId="43F2C802" w14:textId="77777777" w:rsidR="00294FA1" w:rsidRDefault="001A1CD9" w:rsidP="00294FA1">
      <w:pPr>
        <w:rPr>
          <w:rFonts w:ascii="Times New Roman" w:hAnsi="Times New Roman" w:cs="Times New Roman"/>
          <w:sz w:val="24"/>
          <w:lang w:val="en-US"/>
        </w:rPr>
      </w:pPr>
      <w:r>
        <w:rPr>
          <w:rFonts w:ascii="Times New Roman" w:hAnsi="Times New Roman" w:cs="Times New Roman"/>
          <w:sz w:val="24"/>
          <w:lang w:val="en-US"/>
        </w:rPr>
        <w:t>Within the last decade the commercial interest for e</w:t>
      </w:r>
      <w:r w:rsidR="008774B0">
        <w:rPr>
          <w:rFonts w:ascii="Times New Roman" w:hAnsi="Times New Roman" w:cs="Times New Roman"/>
          <w:sz w:val="24"/>
          <w:lang w:val="en-US"/>
        </w:rPr>
        <w:t xml:space="preserve">lectricity storage using LIB systems </w:t>
      </w:r>
      <w:r>
        <w:rPr>
          <w:rFonts w:ascii="Times New Roman" w:hAnsi="Times New Roman" w:cs="Times New Roman"/>
          <w:sz w:val="24"/>
          <w:lang w:val="en-US"/>
        </w:rPr>
        <w:t xml:space="preserve">has increased dramatically. The production volume is still limited and there is </w:t>
      </w:r>
      <w:r w:rsidR="008774B0">
        <w:rPr>
          <w:rFonts w:ascii="Times New Roman" w:hAnsi="Times New Roman" w:cs="Times New Roman"/>
          <w:sz w:val="24"/>
          <w:lang w:val="en-US"/>
        </w:rPr>
        <w:t xml:space="preserve">a promising potential for cost reductions through upscaling. The technology is stand-alone and requires a minimum of service after the initial installation. </w:t>
      </w:r>
    </w:p>
    <w:p w14:paraId="6CA7C9D6" w14:textId="1D3CC7C1" w:rsidR="002C6CBC" w:rsidRPr="00F85A70" w:rsidRDefault="008F4830" w:rsidP="00294FA1">
      <w:pPr>
        <w:rPr>
          <w:rFonts w:ascii="Times New Roman" w:hAnsi="Times New Roman" w:cs="Times New Roman"/>
          <w:sz w:val="24"/>
          <w:lang w:val="en-US"/>
        </w:rPr>
      </w:pPr>
      <w:r>
        <w:rPr>
          <w:rFonts w:ascii="Times New Roman" w:hAnsi="Times New Roman" w:cs="Times New Roman"/>
          <w:sz w:val="24"/>
          <w:lang w:val="en-US"/>
        </w:rPr>
        <w:t>C</w:t>
      </w:r>
      <w:r w:rsidR="00294FA1" w:rsidRPr="004646E5">
        <w:rPr>
          <w:rFonts w:ascii="Times New Roman" w:hAnsi="Times New Roman" w:cs="Times New Roman"/>
          <w:sz w:val="24"/>
          <w:lang w:val="en-US"/>
        </w:rPr>
        <w:t>ontainers come in standard sizes</w:t>
      </w:r>
      <w:r>
        <w:rPr>
          <w:rFonts w:ascii="Times New Roman" w:hAnsi="Times New Roman" w:cs="Times New Roman"/>
          <w:sz w:val="24"/>
          <w:lang w:val="en-US"/>
        </w:rPr>
        <w:t xml:space="preserve">. For small systems this impacts the </w:t>
      </w:r>
      <w:r w:rsidR="00294FA1">
        <w:rPr>
          <w:rFonts w:ascii="Times New Roman" w:hAnsi="Times New Roman" w:cs="Times New Roman"/>
          <w:sz w:val="24"/>
          <w:lang w:val="en-US"/>
        </w:rPr>
        <w:t>LIB system CAPEX</w:t>
      </w:r>
      <w:r>
        <w:rPr>
          <w:rFonts w:ascii="Times New Roman" w:hAnsi="Times New Roman" w:cs="Times New Roman"/>
          <w:sz w:val="24"/>
          <w:lang w:val="en-US"/>
        </w:rPr>
        <w:t>, however w</w:t>
      </w:r>
      <w:r w:rsidRPr="008F4830">
        <w:rPr>
          <w:rFonts w:ascii="Times New Roman" w:hAnsi="Times New Roman" w:cs="Times New Roman"/>
          <w:sz w:val="24"/>
          <w:lang w:val="en-US"/>
        </w:rPr>
        <w:t xml:space="preserve">hen </w:t>
      </w:r>
      <w:r>
        <w:rPr>
          <w:rFonts w:ascii="Times New Roman" w:hAnsi="Times New Roman" w:cs="Times New Roman"/>
          <w:sz w:val="24"/>
          <w:lang w:val="en-US"/>
        </w:rPr>
        <w:t>the system size</w:t>
      </w:r>
      <w:r w:rsidRPr="008F4830">
        <w:rPr>
          <w:rFonts w:ascii="Times New Roman" w:hAnsi="Times New Roman" w:cs="Times New Roman"/>
          <w:sz w:val="24"/>
          <w:lang w:val="en-US"/>
        </w:rPr>
        <w:t xml:space="preserve"> exceed several container units, the price can be considered fairly linear. </w:t>
      </w:r>
      <w:r w:rsidR="00294FA1">
        <w:rPr>
          <w:rFonts w:ascii="Times New Roman" w:hAnsi="Times New Roman" w:cs="Times New Roman"/>
          <w:sz w:val="24"/>
          <w:lang w:val="en-US"/>
        </w:rPr>
        <w:t>C</w:t>
      </w:r>
      <w:r w:rsidR="00C85E51">
        <w:rPr>
          <w:rFonts w:ascii="Times New Roman" w:hAnsi="Times New Roman" w:cs="Times New Roman"/>
          <w:sz w:val="24"/>
          <w:lang w:val="en-US"/>
        </w:rPr>
        <w:t>ompared to e.g. fuel cell technology t</w:t>
      </w:r>
      <w:r w:rsidR="001A1CD9">
        <w:rPr>
          <w:rFonts w:ascii="Times New Roman" w:hAnsi="Times New Roman" w:cs="Times New Roman"/>
          <w:sz w:val="24"/>
          <w:lang w:val="en-US"/>
        </w:rPr>
        <w:t xml:space="preserve">he </w:t>
      </w:r>
      <w:r w:rsidR="00C85E51">
        <w:rPr>
          <w:rFonts w:ascii="Times New Roman" w:hAnsi="Times New Roman" w:cs="Times New Roman"/>
          <w:sz w:val="24"/>
          <w:lang w:val="en-US"/>
        </w:rPr>
        <w:t>CAPEX per storage capacity is relatively high</w:t>
      </w:r>
      <w:r w:rsidR="002C6CBC">
        <w:rPr>
          <w:rFonts w:ascii="Times New Roman" w:hAnsi="Times New Roman" w:cs="Times New Roman"/>
          <w:sz w:val="24"/>
          <w:lang w:val="en-US"/>
        </w:rPr>
        <w:t xml:space="preserve">. This is because the electricity is stored in the battery electrodes whereas for fuel cells the electricity is stored as a separate fuel. The </w:t>
      </w:r>
      <w:r w:rsidR="00217F44">
        <w:rPr>
          <w:rFonts w:ascii="Times New Roman" w:hAnsi="Times New Roman" w:cs="Times New Roman"/>
          <w:sz w:val="24"/>
          <w:lang w:val="en-US"/>
        </w:rPr>
        <w:t xml:space="preserve">relatively </w:t>
      </w:r>
      <w:r w:rsidR="002C6CBC">
        <w:rPr>
          <w:rFonts w:ascii="Times New Roman" w:hAnsi="Times New Roman" w:cs="Times New Roman"/>
          <w:sz w:val="24"/>
          <w:lang w:val="en-US"/>
        </w:rPr>
        <w:t xml:space="preserve">high </w:t>
      </w:r>
      <w:r w:rsidR="00217F44">
        <w:rPr>
          <w:rFonts w:ascii="Times New Roman" w:hAnsi="Times New Roman" w:cs="Times New Roman"/>
          <w:sz w:val="24"/>
          <w:lang w:val="en-US"/>
        </w:rPr>
        <w:t xml:space="preserve">energy specific </w:t>
      </w:r>
      <w:r w:rsidR="002C6CBC">
        <w:rPr>
          <w:rFonts w:ascii="Times New Roman" w:hAnsi="Times New Roman" w:cs="Times New Roman"/>
          <w:sz w:val="24"/>
          <w:lang w:val="en-US"/>
        </w:rPr>
        <w:t xml:space="preserve">CAPEX </w:t>
      </w:r>
      <w:r w:rsidR="00217F44">
        <w:rPr>
          <w:rFonts w:ascii="Times New Roman" w:hAnsi="Times New Roman" w:cs="Times New Roman"/>
          <w:sz w:val="24"/>
          <w:lang w:val="en-US"/>
        </w:rPr>
        <w:t>combined with</w:t>
      </w:r>
      <w:r w:rsidR="002C6CBC">
        <w:rPr>
          <w:rFonts w:ascii="Times New Roman" w:hAnsi="Times New Roman" w:cs="Times New Roman"/>
          <w:sz w:val="24"/>
          <w:lang w:val="en-US"/>
        </w:rPr>
        <w:t xml:space="preserve"> the gradual self-discharge and parasitic losses in the BOP make the technology less attractive for long-term storage beyond a few </w:t>
      </w:r>
      <w:r w:rsidR="00217F44">
        <w:rPr>
          <w:rFonts w:ascii="Times New Roman" w:hAnsi="Times New Roman" w:cs="Times New Roman"/>
          <w:sz w:val="24"/>
          <w:lang w:val="en-US"/>
        </w:rPr>
        <w:t>days</w:t>
      </w:r>
      <w:r w:rsidR="002C6CBC">
        <w:rPr>
          <w:rFonts w:ascii="Times New Roman" w:hAnsi="Times New Roman" w:cs="Times New Roman"/>
          <w:sz w:val="24"/>
          <w:lang w:val="en-US"/>
        </w:rPr>
        <w:t xml:space="preserve">. </w:t>
      </w:r>
    </w:p>
    <w:p w14:paraId="76D8ED34" w14:textId="76CCD9EE" w:rsidR="004A49E2" w:rsidRPr="009A64AC" w:rsidRDefault="004A49E2" w:rsidP="00DF3B7D">
      <w:pPr>
        <w:pStyle w:val="Heading1"/>
        <w:rPr>
          <w:rFonts w:cs="Times New Roman"/>
          <w:lang w:val="en-US"/>
        </w:rPr>
      </w:pPr>
      <w:bookmarkStart w:id="70" w:name="_Toc528918111"/>
      <w:bookmarkStart w:id="71" w:name="_Toc529169837"/>
      <w:bookmarkStart w:id="72" w:name="_Toc529178836"/>
      <w:bookmarkStart w:id="73" w:name="_Toc529178951"/>
      <w:r w:rsidRPr="009A64AC">
        <w:rPr>
          <w:rFonts w:cs="Times New Roman"/>
          <w:lang w:val="en-US"/>
        </w:rPr>
        <w:t>Environment</w:t>
      </w:r>
      <w:bookmarkEnd w:id="70"/>
      <w:bookmarkEnd w:id="71"/>
      <w:bookmarkEnd w:id="72"/>
      <w:bookmarkEnd w:id="73"/>
    </w:p>
    <w:p w14:paraId="74C50A2B" w14:textId="46E65E41" w:rsidR="001C5A68" w:rsidRPr="004646E5" w:rsidRDefault="004646E5" w:rsidP="004D3142">
      <w:pPr>
        <w:jc w:val="both"/>
        <w:rPr>
          <w:rFonts w:ascii="Times New Roman" w:hAnsi="Times New Roman" w:cs="Times New Roman"/>
          <w:noProof/>
          <w:sz w:val="24"/>
          <w:szCs w:val="24"/>
          <w:lang w:val="en-US"/>
        </w:rPr>
      </w:pPr>
      <w:r>
        <w:rPr>
          <w:rFonts w:ascii="Times New Roman" w:hAnsi="Times New Roman" w:cs="Times New Roman"/>
          <w:sz w:val="24"/>
          <w:szCs w:val="24"/>
          <w:lang w:val="en-US"/>
        </w:rPr>
        <w:t xml:space="preserve">A </w:t>
      </w:r>
      <w:r w:rsidRPr="004646E5">
        <w:rPr>
          <w:rFonts w:ascii="Times New Roman" w:hAnsi="Times New Roman" w:cs="Times New Roman"/>
          <w:sz w:val="24"/>
          <w:szCs w:val="24"/>
          <w:lang w:val="en-US"/>
        </w:rPr>
        <w:t xml:space="preserve">US-EPA report stated </w:t>
      </w:r>
      <w:r>
        <w:rPr>
          <w:rFonts w:ascii="Times New Roman" w:hAnsi="Times New Roman" w:cs="Times New Roman"/>
          <w:sz w:val="24"/>
          <w:szCs w:val="24"/>
          <w:lang w:val="en-US"/>
        </w:rPr>
        <w:t xml:space="preserve">in 2013 </w:t>
      </w:r>
      <w:r w:rsidRPr="004646E5">
        <w:rPr>
          <w:rFonts w:ascii="Times New Roman" w:hAnsi="Times New Roman" w:cs="Times New Roman"/>
          <w:sz w:val="24"/>
          <w:szCs w:val="24"/>
          <w:lang w:val="en-US"/>
        </w:rPr>
        <w:t xml:space="preserve">that across the battery chemistries, the global warming potential impact attributable to LIB production including mining is substantial </w:t>
      </w:r>
      <w:r w:rsidRPr="004646E5">
        <w:rPr>
          <w:rFonts w:ascii="Times New Roman" w:hAnsi="Times New Roman" w:cs="Times New Roman"/>
          <w:sz w:val="24"/>
          <w:szCs w:val="24"/>
        </w:rPr>
        <w:fldChar w:fldCharType="begin" w:fldLock="1"/>
      </w:r>
      <w:r w:rsidR="001A7298">
        <w:rPr>
          <w:rFonts w:ascii="Times New Roman" w:hAnsi="Times New Roman" w:cs="Times New Roman"/>
          <w:sz w:val="24"/>
          <w:szCs w:val="24"/>
          <w:lang w:val="en-US"/>
        </w:rPr>
        <w:instrText>ADDIN CSL_CITATION {"citationItems":[{"id":"ITEM-1","itemData":{"DOI":"10.1038/nchem.2085","ISBN":"1099-114X","ISSN":"1755-4349","PMID":"19566191","abstract":"Demand for electric vehicles is increasing, and lithium-ion (Li-ion) batteries with increased ranges will be critical to increasing electric vehicle marketability and reducing greenhouse gas emissions. While Li-ion batteries are expected to play a key role in the electric drive transportation industry, there are opportunities for improvements in the batteries‘ life-cycles that will reduce possible impacts to the environment and public health in a few specific areas, as their use increases. This study, carried out through a partnership led by EPA, with the U.S. Department of Energy (DOE), the Li-ion battery industry, and academics, was the first life-cycle assessment (LCA) to bring together and use life-cycle inventory data directly provided by Li-ion battery suppliers, manufacturers, and recyclers. Its purpose was to identify the materials or processes within a Li-ion battery‘s life cycle (from materials extraction and processing, manufacturing, use, and end-of-life) that most contribute to impacts on public health and the environment. It also sought to evaluate the potential impacts of a nanotechnology innovation (i.e., a carbon nanotube anode) that could improve battery performance. Battery manufacturers and suppliers can use this information to improve the environmental profile of their products, while the technology is still emerging. This study also provides a benchmark for future research and for identifying additional opportunities for reducing environmental and human health impacts throughout the life cycles of these Li-ion battery systems. The LCA study was conducted consistent with the International Standards Organization (ISO) 14040 series, which stipulates four phases of an LCA: goal and scope definition, life-cycle inventory (LCI), life-cycle impact assessment (LCIA), and interpretation. No comparative assertions, as defined in ISO 14040, were made about the superiority or equivalence of one type of battery system versus another in this study.","author":[{"dropping-particle":"","family":"U.S. EPA","given":"","non-dropping-particle":"","parse-names":false,"suffix":""}],"container-title":"United States Environmental Protection Agency","id":"ITEM-1","issued":{"date-parts":[["2013"]]},"page":"1 - 119","title":"Application of Life-Cycle Assessment to Nanoscale Technology: Lithium-ion Batteries for Electric Vehicles","type":"article-journal"},"uris":["http://www.mendeley.com/documents/?uuid=4a6955b5-8e00-41ae-a4aa-c62203019579","http://www.mendeley.com/documents/?uuid=5032f49c-055e-4302-9545-15d657a0551e","http://www.mendeley.com/documents/?uuid=657d7519-56f0-47bd-b4be-58c5726b32c9"]}],"mendeley":{"formattedCitation":"[26]","plainTextFormattedCitation":"[26]","previouslyFormattedCitation":"[26]"},"properties":{"noteIndex":0},"schema":"https://github.com/citation-style-language/schema/raw/master/csl-citation.json"}</w:instrText>
      </w:r>
      <w:r w:rsidRPr="004646E5">
        <w:rPr>
          <w:rFonts w:ascii="Times New Roman" w:hAnsi="Times New Roman" w:cs="Times New Roman"/>
          <w:sz w:val="24"/>
          <w:szCs w:val="24"/>
        </w:rPr>
        <w:fldChar w:fldCharType="separate"/>
      </w:r>
      <w:r w:rsidR="00B60186" w:rsidRPr="00B60186">
        <w:rPr>
          <w:rFonts w:ascii="Times New Roman" w:hAnsi="Times New Roman" w:cs="Times New Roman"/>
          <w:noProof/>
          <w:sz w:val="24"/>
          <w:szCs w:val="24"/>
          <w:lang w:val="en-US"/>
        </w:rPr>
        <w:t>[26]</w:t>
      </w:r>
      <w:r w:rsidRPr="004646E5">
        <w:rPr>
          <w:rFonts w:ascii="Times New Roman" w:hAnsi="Times New Roman" w:cs="Times New Roman"/>
          <w:sz w:val="24"/>
          <w:szCs w:val="24"/>
        </w:rPr>
        <w:fldChar w:fldCharType="end"/>
      </w:r>
      <w:r w:rsidRPr="004646E5">
        <w:rPr>
          <w:rFonts w:ascii="Times New Roman" w:hAnsi="Times New Roman" w:cs="Times New Roman"/>
          <w:sz w:val="24"/>
          <w:szCs w:val="24"/>
          <w:lang w:val="en-US"/>
        </w:rPr>
        <w:t>.</w:t>
      </w:r>
      <w:r>
        <w:rPr>
          <w:rFonts w:ascii="Times New Roman" w:hAnsi="Times New Roman" w:cs="Times New Roman"/>
          <w:sz w:val="24"/>
          <w:szCs w:val="24"/>
          <w:lang w:val="en-US"/>
        </w:rPr>
        <w:t xml:space="preserve"> More specifically a</w:t>
      </w:r>
      <w:r w:rsidR="001C5A68" w:rsidRPr="004646E5">
        <w:rPr>
          <w:rFonts w:ascii="Times New Roman" w:hAnsi="Times New Roman" w:cs="Times New Roman"/>
          <w:noProof/>
          <w:sz w:val="24"/>
          <w:szCs w:val="24"/>
          <w:lang w:val="en-US"/>
        </w:rPr>
        <w:t xml:space="preserve"> recent review on life-cycle analysis (LCA) of Li-Ion battery production </w:t>
      </w:r>
      <w:r w:rsidR="00DC7498" w:rsidRPr="004646E5">
        <w:rPr>
          <w:rFonts w:ascii="Times New Roman" w:hAnsi="Times New Roman" w:cs="Times New Roman"/>
          <w:noProof/>
          <w:sz w:val="24"/>
          <w:szCs w:val="24"/>
          <w:lang w:val="en-US"/>
        </w:rPr>
        <w:t>estimates</w:t>
      </w:r>
      <w:r w:rsidR="001C5A68" w:rsidRPr="004646E5">
        <w:rPr>
          <w:rFonts w:ascii="Times New Roman" w:hAnsi="Times New Roman" w:cs="Times New Roman"/>
          <w:noProof/>
          <w:sz w:val="24"/>
          <w:szCs w:val="24"/>
          <w:lang w:val="en-US"/>
        </w:rPr>
        <w:t xml:space="preserve"> that “on average, producing 1 Wh of storage capacity is associated with a cumulative energy demand of 328 Wh and causes greenhouse gas (GHG) emissions of 110 g CO</w:t>
      </w:r>
      <w:r w:rsidR="001C5A68" w:rsidRPr="004646E5">
        <w:rPr>
          <w:rFonts w:ascii="Times New Roman" w:hAnsi="Times New Roman" w:cs="Times New Roman"/>
          <w:noProof/>
          <w:sz w:val="24"/>
          <w:szCs w:val="24"/>
          <w:vertAlign w:val="subscript"/>
          <w:lang w:val="en-US"/>
        </w:rPr>
        <w:t>2 eq</w:t>
      </w:r>
      <w:r w:rsidR="001C5A68" w:rsidRPr="004646E5">
        <w:rPr>
          <w:rFonts w:ascii="Times New Roman" w:hAnsi="Times New Roman" w:cs="Times New Roman"/>
          <w:noProof/>
          <w:sz w:val="24"/>
          <w:szCs w:val="24"/>
          <w:lang w:val="en-US"/>
        </w:rPr>
        <w:t xml:space="preserve">“ </w:t>
      </w:r>
      <w:r w:rsidR="001C5A68" w:rsidRPr="004646E5">
        <w:rPr>
          <w:rFonts w:ascii="Times New Roman" w:hAnsi="Times New Roman" w:cs="Times New Roman"/>
          <w:noProof/>
          <w:sz w:val="24"/>
          <w:szCs w:val="24"/>
          <w:lang w:val="en-US"/>
        </w:rPr>
        <w:fldChar w:fldCharType="begin" w:fldLock="1"/>
      </w:r>
      <w:r w:rsidR="001A7298">
        <w:rPr>
          <w:rFonts w:ascii="Times New Roman" w:hAnsi="Times New Roman" w:cs="Times New Roman"/>
          <w:noProof/>
          <w:sz w:val="24"/>
          <w:szCs w:val="24"/>
          <w:lang w:val="en-US"/>
        </w:rPr>
        <w:instrText>ADDIN CSL_CITATION {"citationItems":[{"id":"ITEM-1","itemData":{"DOI":"10.1016/J.RSER.2016.08.039","ISSN":"1364-0321","abstract":"The increasing presence of Li-Ion batteries (LIB) in mobile and stationary energy storage applications has triggered a growing interest in the environmental impacts associated with their production. Numerous studies on the potential environmental impacts of LIB production and LIB-based electric mobility are available, but these are very heterogeneous and the results are therefore difficult to compare. Furthermore, the source of inventory data, which is key to the outcome of any study, is often difficult to trace back. This paper provides a review of LCA studies on Li-Ion batteries, with a focus on the battery production process. All available original studies that explicitly assess LIB production are summarized, the sources of inventory data are traced back and the main assumptions are extracted in order to provide a quick overview of the technical key parameters used in each study. These key parameters are then compared with actual battery data from industry and research institutions. Based on the results from the reviewed studies, average values for the environmental impacts of LIB production are calculated and the relevance of different assumptions for the outcomes of the different studies is pointed out. On average, producing 1Wh of storage capacity is associated with a cumulative energy demand of 328Wh and causes greenhouse gas (GHG) emissions of 110 gCO2eq. Although the majority of existing studies focus on GHG emissions or energy demand, it can be shown that impacts in other categories such as toxicity might be even more important. Taking into account the importance of key parameters for the environmental performance of Li-Ion batteries, research efforts should not only focus on energy density but also on maximizing cycle life and charge-discharge efficiency.","author":[{"dropping-particle":"","family":"Peters","given":"Jens F.","non-dropping-particle":"","parse-names":false,"suffix":""},{"dropping-particle":"","family":"Baumann","given":"Manuel","non-dropping-particle":"","parse-names":false,"suffix":""},{"dropping-particle":"","family":"Zimmermann","given":"Benedikt","non-dropping-particle":"","parse-names":false,"suffix":""},{"dropping-particle":"","family":"Braun","given":"Jessica","non-dropping-particle":"","parse-names":false,"suffix":""},{"dropping-particle":"","family":"Weil","given":"Marcel","non-dropping-particle":"","parse-names":false,"suffix":""}],"container-title":"Renewable and Sustainable Energy Reviews","id":"ITEM-1","issued":{"date-parts":[["2017","1","1"]]},"page":"491-506","publisher":"Pergamon","title":"The environmental impact of Li-Ion batteries and the role of key parameters – A review","type":"article-journal","volume":"67"},"uris":["http://www.mendeley.com/documents/?uuid=13d85d50-2e90-3f89-a982-4848dbf6d568","http://www.mendeley.com/documents/?uuid=d8ad50fd-9c4d-4fec-b0ec-de6fbc440279"]}],"mendeley":{"formattedCitation":"[27]","plainTextFormattedCitation":"[27]","previouslyFormattedCitation":"[27]"},"properties":{"noteIndex":0},"schema":"https://github.com/citation-style-language/schema/raw/master/csl-citation.json"}</w:instrText>
      </w:r>
      <w:r w:rsidR="001C5A68" w:rsidRPr="004646E5">
        <w:rPr>
          <w:rFonts w:ascii="Times New Roman" w:hAnsi="Times New Roman" w:cs="Times New Roman"/>
          <w:noProof/>
          <w:sz w:val="24"/>
          <w:szCs w:val="24"/>
          <w:lang w:val="en-US"/>
        </w:rPr>
        <w:fldChar w:fldCharType="separate"/>
      </w:r>
      <w:r w:rsidR="00B60186" w:rsidRPr="00B60186">
        <w:rPr>
          <w:rFonts w:ascii="Times New Roman" w:hAnsi="Times New Roman" w:cs="Times New Roman"/>
          <w:noProof/>
          <w:sz w:val="24"/>
          <w:szCs w:val="24"/>
          <w:lang w:val="en-US"/>
        </w:rPr>
        <w:t>[27]</w:t>
      </w:r>
      <w:r w:rsidR="001C5A68" w:rsidRPr="004646E5">
        <w:rPr>
          <w:rFonts w:ascii="Times New Roman" w:hAnsi="Times New Roman" w:cs="Times New Roman"/>
          <w:noProof/>
          <w:sz w:val="24"/>
          <w:szCs w:val="24"/>
          <w:lang w:val="en-US"/>
        </w:rPr>
        <w:fldChar w:fldCharType="end"/>
      </w:r>
      <w:r w:rsidR="001C5A68" w:rsidRPr="004646E5">
        <w:rPr>
          <w:rFonts w:ascii="Times New Roman" w:hAnsi="Times New Roman" w:cs="Times New Roman"/>
          <w:noProof/>
          <w:sz w:val="24"/>
          <w:szCs w:val="24"/>
          <w:lang w:val="en-US"/>
        </w:rPr>
        <w:t xml:space="preserve">. </w:t>
      </w:r>
    </w:p>
    <w:p w14:paraId="5939A18D" w14:textId="52406700" w:rsidR="00DC7498" w:rsidRPr="004646E5" w:rsidRDefault="00DC7498" w:rsidP="004D3142">
      <w:pPr>
        <w:jc w:val="both"/>
        <w:rPr>
          <w:rFonts w:ascii="Times New Roman" w:hAnsi="Times New Roman" w:cs="Times New Roman"/>
          <w:sz w:val="24"/>
          <w:szCs w:val="24"/>
          <w:lang w:val="en-US"/>
        </w:rPr>
      </w:pPr>
      <w:r w:rsidRPr="004646E5">
        <w:rPr>
          <w:rFonts w:ascii="Times New Roman" w:hAnsi="Times New Roman" w:cs="Times New Roman"/>
          <w:sz w:val="24"/>
          <w:szCs w:val="24"/>
          <w:lang w:val="en-US"/>
        </w:rPr>
        <w:t xml:space="preserve">The LIB cathode material NMC </w:t>
      </w:r>
      <w:r w:rsidR="001C5A68" w:rsidRPr="004646E5">
        <w:rPr>
          <w:rFonts w:ascii="Times New Roman" w:hAnsi="Times New Roman" w:cs="Times New Roman"/>
          <w:sz w:val="24"/>
          <w:szCs w:val="24"/>
          <w:lang w:val="en-US"/>
        </w:rPr>
        <w:t>contain</w:t>
      </w:r>
      <w:r w:rsidRPr="004646E5">
        <w:rPr>
          <w:rFonts w:ascii="Times New Roman" w:hAnsi="Times New Roman" w:cs="Times New Roman"/>
          <w:sz w:val="24"/>
          <w:szCs w:val="24"/>
          <w:lang w:val="en-US"/>
        </w:rPr>
        <w:t>s</w:t>
      </w:r>
      <w:r w:rsidR="001C5A68" w:rsidRPr="004646E5">
        <w:rPr>
          <w:rFonts w:ascii="Times New Roman" w:hAnsi="Times New Roman" w:cs="Times New Roman"/>
          <w:sz w:val="24"/>
          <w:szCs w:val="24"/>
          <w:lang w:val="en-US"/>
        </w:rPr>
        <w:t xml:space="preserve"> </w:t>
      </w:r>
      <w:r w:rsidRPr="004646E5">
        <w:rPr>
          <w:rFonts w:ascii="Times New Roman" w:hAnsi="Times New Roman" w:cs="Times New Roman"/>
          <w:sz w:val="24"/>
          <w:szCs w:val="24"/>
          <w:lang w:val="en-US"/>
        </w:rPr>
        <w:t xml:space="preserve">toxic cobalt and nickel oxides. About 60% of the global production of cobalt comes from Congo and the environmental health risks and work conditions in relation to the cobalt mining rises ethical concerns </w:t>
      </w:r>
      <w:r w:rsidRPr="004646E5">
        <w:rPr>
          <w:rFonts w:ascii="Times New Roman" w:hAnsi="Times New Roman" w:cs="Times New Roman"/>
          <w:sz w:val="24"/>
          <w:szCs w:val="24"/>
          <w:lang w:val="en-US"/>
        </w:rPr>
        <w:fldChar w:fldCharType="begin" w:fldLock="1"/>
      </w:r>
      <w:r w:rsidR="001A7298">
        <w:rPr>
          <w:rFonts w:ascii="Times New Roman" w:hAnsi="Times New Roman" w:cs="Times New Roman"/>
          <w:sz w:val="24"/>
          <w:szCs w:val="24"/>
          <w:lang w:val="en-US"/>
        </w:rPr>
        <w:instrText>ADDIN CSL_CITATION {"citationItems":[{"id":"ITEM-1","itemData":{"URL":"https://www.washingtonpost.com/news/in-sight/wp/2018/02/28/the-cost-of-cobalt/?utm_term=.eebc6c00f0de","accessed":{"date-parts":[["2018","10","25"]]},"id":"ITEM-1","issued":{"date-parts":[["0"]]},"title":"The environmental impact of cobalt mining - The Washington Post","type":"webpage"},"uris":["http://www.mendeley.com/documents/?uuid=b4ccee61-971a-3a98-947f-72ead1436528","http://www.mendeley.com/documents/?uuid=d5715d3f-3d93-4643-b8e8-78f01daf54fb"]}],"mendeley":{"formattedCitation":"[28]","plainTextFormattedCitation":"[28]","previouslyFormattedCitation":"[28]"},"properties":{"noteIndex":0},"schema":"https://github.com/citation-style-language/schema/raw/master/csl-citation.json"}</w:instrText>
      </w:r>
      <w:r w:rsidRPr="004646E5">
        <w:rPr>
          <w:rFonts w:ascii="Times New Roman" w:hAnsi="Times New Roman" w:cs="Times New Roman"/>
          <w:sz w:val="24"/>
          <w:szCs w:val="24"/>
          <w:lang w:val="en-US"/>
        </w:rPr>
        <w:fldChar w:fldCharType="separate"/>
      </w:r>
      <w:r w:rsidR="00B60186" w:rsidRPr="00B60186">
        <w:rPr>
          <w:rFonts w:ascii="Times New Roman" w:hAnsi="Times New Roman" w:cs="Times New Roman"/>
          <w:noProof/>
          <w:sz w:val="24"/>
          <w:szCs w:val="24"/>
          <w:lang w:val="en-US"/>
        </w:rPr>
        <w:t>[28]</w:t>
      </w:r>
      <w:r w:rsidRPr="004646E5">
        <w:rPr>
          <w:rFonts w:ascii="Times New Roman" w:hAnsi="Times New Roman" w:cs="Times New Roman"/>
          <w:sz w:val="24"/>
          <w:szCs w:val="24"/>
          <w:lang w:val="en-US"/>
        </w:rPr>
        <w:fldChar w:fldCharType="end"/>
      </w:r>
      <w:r w:rsidRPr="004646E5">
        <w:rPr>
          <w:rFonts w:ascii="Times New Roman" w:hAnsi="Times New Roman" w:cs="Times New Roman"/>
          <w:sz w:val="24"/>
          <w:szCs w:val="24"/>
          <w:lang w:val="en-US"/>
        </w:rPr>
        <w:t xml:space="preserve">. </w:t>
      </w:r>
      <w:r w:rsidR="00B51587">
        <w:rPr>
          <w:rFonts w:ascii="Times New Roman" w:hAnsi="Times New Roman" w:cs="Times New Roman"/>
          <w:sz w:val="24"/>
          <w:szCs w:val="24"/>
          <w:lang w:val="en-US"/>
        </w:rPr>
        <w:t xml:space="preserve">Visual capitalist believes the cobalt content in NMC could decrease to 10% already in 2020 </w:t>
      </w:r>
      <w:r w:rsidR="00B51587">
        <w:rPr>
          <w:rFonts w:ascii="Times New Roman" w:hAnsi="Times New Roman" w:cs="Times New Roman"/>
          <w:sz w:val="24"/>
          <w:szCs w:val="24"/>
          <w:lang w:val="en-US"/>
        </w:rPr>
        <w:fldChar w:fldCharType="begin" w:fldLock="1"/>
      </w:r>
      <w:r w:rsidR="001A7298">
        <w:rPr>
          <w:rFonts w:ascii="Times New Roman" w:hAnsi="Times New Roman" w:cs="Times New Roman"/>
          <w:sz w:val="24"/>
          <w:szCs w:val="24"/>
          <w:lang w:val="en-US"/>
        </w:rPr>
        <w:instrText>ADDIN CSL_CITATION {"citationItems":[{"id":"ITEM-1","itemData":{"URL":"http://www.visualcapitalist.com/nickel-secret-driver-battery-revolution/","accessed":{"date-parts":[["2018","10","26"]]},"id":"ITEM-1","issued":{"date-parts":[["2018"]]},"title":"Nickel: The Secret Driver of the Battery Revolution","type":"webpage"},"uris":["http://www.mendeley.com/documents/?uuid=83b4ec5e-acd0-3417-9cf9-d6058544e652"]}],"mendeley":{"formattedCitation":"[29]","plainTextFormattedCitation":"[29]","previouslyFormattedCitation":"[29]"},"properties":{"noteIndex":0},"schema":"https://github.com/citation-style-language/schema/raw/master/csl-citation.json"}</w:instrText>
      </w:r>
      <w:r w:rsidR="00B51587">
        <w:rPr>
          <w:rFonts w:ascii="Times New Roman" w:hAnsi="Times New Roman" w:cs="Times New Roman"/>
          <w:sz w:val="24"/>
          <w:szCs w:val="24"/>
          <w:lang w:val="en-US"/>
        </w:rPr>
        <w:fldChar w:fldCharType="separate"/>
      </w:r>
      <w:r w:rsidR="00B60186" w:rsidRPr="00B60186">
        <w:rPr>
          <w:rFonts w:ascii="Times New Roman" w:hAnsi="Times New Roman" w:cs="Times New Roman"/>
          <w:noProof/>
          <w:sz w:val="24"/>
          <w:szCs w:val="24"/>
          <w:lang w:val="en-US"/>
        </w:rPr>
        <w:t>[29]</w:t>
      </w:r>
      <w:r w:rsidR="00B51587">
        <w:rPr>
          <w:rFonts w:ascii="Times New Roman" w:hAnsi="Times New Roman" w:cs="Times New Roman"/>
          <w:sz w:val="24"/>
          <w:szCs w:val="24"/>
          <w:lang w:val="en-US"/>
        </w:rPr>
        <w:fldChar w:fldCharType="end"/>
      </w:r>
      <w:r w:rsidR="00B51587">
        <w:rPr>
          <w:rFonts w:ascii="Times New Roman" w:hAnsi="Times New Roman" w:cs="Times New Roman"/>
          <w:sz w:val="24"/>
          <w:szCs w:val="24"/>
          <w:lang w:val="en-US"/>
        </w:rPr>
        <w:t>.</w:t>
      </w:r>
    </w:p>
    <w:p w14:paraId="4F558CCB" w14:textId="54FBC20C" w:rsidR="004D3142" w:rsidRPr="004646E5" w:rsidRDefault="00DC7498" w:rsidP="004D3142">
      <w:pPr>
        <w:jc w:val="both"/>
        <w:rPr>
          <w:rFonts w:ascii="Times New Roman" w:hAnsi="Times New Roman" w:cs="Times New Roman"/>
          <w:sz w:val="24"/>
          <w:szCs w:val="24"/>
          <w:lang w:val="en-US"/>
        </w:rPr>
      </w:pPr>
      <w:r w:rsidRPr="004646E5">
        <w:rPr>
          <w:rFonts w:ascii="Times New Roman" w:hAnsi="Times New Roman" w:cs="Times New Roman"/>
          <w:noProof/>
          <w:sz w:val="24"/>
          <w:szCs w:val="24"/>
          <w:lang w:val="en-US"/>
        </w:rPr>
        <w:lastRenderedPageBreak/>
        <w:t xml:space="preserve">Starting about two years ago, fears of a lithium shortage almost tripled prices for the metal </w:t>
      </w:r>
      <w:r w:rsidRPr="004646E5">
        <w:rPr>
          <w:rFonts w:ascii="Times New Roman" w:hAnsi="Times New Roman" w:cs="Times New Roman"/>
          <w:noProof/>
          <w:sz w:val="24"/>
          <w:szCs w:val="24"/>
          <w:lang w:val="en-US"/>
        </w:rPr>
        <w:fldChar w:fldCharType="begin" w:fldLock="1"/>
      </w:r>
      <w:r w:rsidR="001A7298">
        <w:rPr>
          <w:rFonts w:ascii="Times New Roman" w:hAnsi="Times New Roman" w:cs="Times New Roman"/>
          <w:noProof/>
          <w:sz w:val="24"/>
          <w:szCs w:val="24"/>
          <w:lang w:val="en-US"/>
        </w:rPr>
        <w:instrText>ADDIN CSL_CITATION {"citationItems":[{"id":"ITEM-1","itemData":{"URL":"https://www.bloomberg.com/graphics/2017-lithium-battery-future/","accessed":{"date-parts":[["2018","10","25"]]},"id":"ITEM-1","issued":{"date-parts":[["0"]]},"title":"We're Going to Need More Lithium","type":"webpage"},"uris":["http://www.mendeley.com/documents/?uuid=ea2bfa4c-6b4c-3230-8246-56f50ab3c885","http://www.mendeley.com/documents/?uuid=c13ae61b-48ee-422e-893e-c16507ff9e8a"]}],"mendeley":{"formattedCitation":"[30]","plainTextFormattedCitation":"[30]","previouslyFormattedCitation":"[30]"},"properties":{"noteIndex":0},"schema":"https://github.com/citation-style-language/schema/raw/master/csl-citation.json"}</w:instrText>
      </w:r>
      <w:r w:rsidRPr="004646E5">
        <w:rPr>
          <w:rFonts w:ascii="Times New Roman" w:hAnsi="Times New Roman" w:cs="Times New Roman"/>
          <w:noProof/>
          <w:sz w:val="24"/>
          <w:szCs w:val="24"/>
          <w:lang w:val="en-US"/>
        </w:rPr>
        <w:fldChar w:fldCharType="separate"/>
      </w:r>
      <w:r w:rsidR="00B60186" w:rsidRPr="00B60186">
        <w:rPr>
          <w:rFonts w:ascii="Times New Roman" w:hAnsi="Times New Roman" w:cs="Times New Roman"/>
          <w:noProof/>
          <w:sz w:val="24"/>
          <w:szCs w:val="24"/>
          <w:lang w:val="en-US"/>
        </w:rPr>
        <w:t>[30]</w:t>
      </w:r>
      <w:r w:rsidRPr="004646E5">
        <w:rPr>
          <w:rFonts w:ascii="Times New Roman" w:hAnsi="Times New Roman" w:cs="Times New Roman"/>
          <w:noProof/>
          <w:sz w:val="24"/>
          <w:szCs w:val="24"/>
          <w:lang w:val="en-US"/>
        </w:rPr>
        <w:fldChar w:fldCharType="end"/>
      </w:r>
      <w:r w:rsidRPr="004646E5">
        <w:rPr>
          <w:rFonts w:ascii="Times New Roman" w:hAnsi="Times New Roman" w:cs="Times New Roman"/>
          <w:noProof/>
          <w:sz w:val="24"/>
          <w:szCs w:val="24"/>
          <w:lang w:val="en-US"/>
        </w:rPr>
        <w:t xml:space="preserve">. Demand for </w:t>
      </w:r>
      <w:r w:rsidR="001944BB">
        <w:rPr>
          <w:rFonts w:ascii="Times New Roman" w:hAnsi="Times New Roman" w:cs="Times New Roman"/>
          <w:noProof/>
          <w:sz w:val="24"/>
          <w:szCs w:val="24"/>
          <w:lang w:val="en-US"/>
        </w:rPr>
        <w:t>lithium</w:t>
      </w:r>
      <w:r w:rsidRPr="004646E5">
        <w:rPr>
          <w:rFonts w:ascii="Times New Roman" w:hAnsi="Times New Roman" w:cs="Times New Roman"/>
          <w:noProof/>
          <w:sz w:val="24"/>
          <w:szCs w:val="24"/>
          <w:lang w:val="en-US"/>
        </w:rPr>
        <w:t xml:space="preserve"> won’t slacken anytime soon - </w:t>
      </w:r>
      <w:r w:rsidR="004646E5" w:rsidRPr="004646E5">
        <w:rPr>
          <w:rFonts w:ascii="Times New Roman" w:hAnsi="Times New Roman" w:cs="Times New Roman"/>
          <w:noProof/>
          <w:sz w:val="24"/>
          <w:szCs w:val="24"/>
          <w:lang w:val="en-US"/>
        </w:rPr>
        <w:t xml:space="preserve">according to Bloomberg New Energy Finance </w:t>
      </w:r>
      <w:r w:rsidR="004646E5">
        <w:rPr>
          <w:rFonts w:ascii="Times New Roman" w:hAnsi="Times New Roman" w:cs="Times New Roman"/>
          <w:noProof/>
          <w:sz w:val="24"/>
          <w:szCs w:val="24"/>
          <w:lang w:val="en-US"/>
        </w:rPr>
        <w:t>the</w:t>
      </w:r>
      <w:r w:rsidRPr="004646E5">
        <w:rPr>
          <w:rFonts w:ascii="Times New Roman" w:hAnsi="Times New Roman" w:cs="Times New Roman"/>
          <w:noProof/>
          <w:sz w:val="24"/>
          <w:szCs w:val="24"/>
          <w:lang w:val="en-US"/>
        </w:rPr>
        <w:t xml:space="preserve"> electric car production alone is expected to increase more than thirtyfold by 2030. </w:t>
      </w:r>
      <w:r w:rsidRPr="004646E5">
        <w:rPr>
          <w:rFonts w:ascii="Times New Roman" w:hAnsi="Times New Roman" w:cs="Times New Roman"/>
          <w:sz w:val="24"/>
          <w:szCs w:val="24"/>
          <w:lang w:val="en-US"/>
        </w:rPr>
        <w:t>However, the next dozen years will drain less than 1 percent of the reserves in the ground, BNEF says. But battery makers are going to rapidly increase mining capacity to meet the demand.</w:t>
      </w:r>
      <w:r w:rsidR="004D3142" w:rsidRPr="004646E5">
        <w:rPr>
          <w:rFonts w:ascii="Times New Roman" w:hAnsi="Times New Roman" w:cs="Times New Roman"/>
          <w:sz w:val="24"/>
          <w:szCs w:val="24"/>
          <w:lang w:val="en-US"/>
        </w:rPr>
        <w:t xml:space="preserve"> </w:t>
      </w:r>
    </w:p>
    <w:p w14:paraId="15E28FFF" w14:textId="5D404CB3" w:rsidR="004A49E2" w:rsidRPr="009A64AC" w:rsidRDefault="004A49E2" w:rsidP="00DF3B7D">
      <w:pPr>
        <w:pStyle w:val="Heading1"/>
        <w:rPr>
          <w:rFonts w:cs="Times New Roman"/>
          <w:lang w:val="en-US"/>
        </w:rPr>
      </w:pPr>
      <w:bookmarkStart w:id="74" w:name="_Toc528918112"/>
      <w:bookmarkStart w:id="75" w:name="_Toc529169838"/>
      <w:bookmarkStart w:id="76" w:name="_Toc529178837"/>
      <w:bookmarkStart w:id="77" w:name="_Toc529178952"/>
      <w:r w:rsidRPr="009A64AC">
        <w:rPr>
          <w:rFonts w:cs="Times New Roman"/>
          <w:lang w:val="en-US"/>
        </w:rPr>
        <w:t>Research and development</w:t>
      </w:r>
      <w:r w:rsidR="00DF3B7D" w:rsidRPr="009A64AC">
        <w:rPr>
          <w:rFonts w:cs="Times New Roman"/>
          <w:lang w:val="en-US"/>
        </w:rPr>
        <w:t xml:space="preserve"> perspectives</w:t>
      </w:r>
      <w:bookmarkEnd w:id="74"/>
      <w:bookmarkEnd w:id="75"/>
      <w:bookmarkEnd w:id="76"/>
      <w:bookmarkEnd w:id="77"/>
    </w:p>
    <w:p w14:paraId="5720A74D" w14:textId="0C952BEA" w:rsidR="00A320CB" w:rsidRDefault="004646E5" w:rsidP="00A320CB">
      <w:pPr>
        <w:jc w:val="both"/>
        <w:rPr>
          <w:rFonts w:ascii="Times New Roman" w:hAnsi="Times New Roman" w:cs="Times New Roman"/>
          <w:sz w:val="24"/>
          <w:lang w:val="en-US"/>
        </w:rPr>
      </w:pPr>
      <w:r w:rsidRPr="004646E5">
        <w:rPr>
          <w:rFonts w:ascii="Times New Roman" w:hAnsi="Times New Roman" w:cs="Times New Roman"/>
          <w:sz w:val="24"/>
          <w:lang w:val="en-US"/>
        </w:rPr>
        <w:t xml:space="preserve">Currently a </w:t>
      </w:r>
      <w:r w:rsidRPr="004646E5">
        <w:rPr>
          <w:rFonts w:ascii="Times New Roman" w:hAnsi="Times New Roman" w:cs="Times New Roman"/>
          <w:noProof/>
          <w:sz w:val="24"/>
          <w:lang w:val="en-US"/>
        </w:rPr>
        <w:t>wide</w:t>
      </w:r>
      <w:r w:rsidRPr="004646E5">
        <w:rPr>
          <w:rFonts w:ascii="Times New Roman" w:hAnsi="Times New Roman" w:cs="Times New Roman"/>
          <w:sz w:val="24"/>
          <w:lang w:val="en-US"/>
        </w:rPr>
        <w:t xml:space="preserve"> range of government and industry-sponsored </w:t>
      </w:r>
      <w:r w:rsidR="00747EBB">
        <w:rPr>
          <w:rFonts w:ascii="Times New Roman" w:hAnsi="Times New Roman" w:cs="Times New Roman"/>
          <w:sz w:val="24"/>
          <w:lang w:val="en-US"/>
        </w:rPr>
        <w:t xml:space="preserve">LIB </w:t>
      </w:r>
      <w:r w:rsidRPr="004646E5">
        <w:rPr>
          <w:rFonts w:ascii="Times New Roman" w:hAnsi="Times New Roman" w:cs="Times New Roman"/>
          <w:noProof/>
          <w:sz w:val="24"/>
          <w:lang w:val="en-US"/>
        </w:rPr>
        <w:t>material</w:t>
      </w:r>
      <w:r w:rsidR="00747EBB">
        <w:rPr>
          <w:rFonts w:ascii="Times New Roman" w:hAnsi="Times New Roman" w:cs="Times New Roman"/>
          <w:noProof/>
          <w:sz w:val="24"/>
          <w:lang w:val="en-US"/>
        </w:rPr>
        <w:t>, cell</w:t>
      </w:r>
      <w:r w:rsidRPr="004646E5">
        <w:rPr>
          <w:rFonts w:ascii="Times New Roman" w:hAnsi="Times New Roman" w:cs="Times New Roman"/>
          <w:sz w:val="24"/>
          <w:lang w:val="en-US"/>
        </w:rPr>
        <w:t xml:space="preserve"> and system level research is taking place.</w:t>
      </w:r>
      <w:r w:rsidR="00BF7599">
        <w:rPr>
          <w:rFonts w:ascii="Times New Roman" w:hAnsi="Times New Roman" w:cs="Times New Roman"/>
          <w:sz w:val="24"/>
          <w:lang w:val="en-US"/>
        </w:rPr>
        <w:t xml:space="preserve"> </w:t>
      </w:r>
      <w:r w:rsidR="00747EBB">
        <w:rPr>
          <w:rFonts w:ascii="Times New Roman" w:hAnsi="Times New Roman" w:cs="Times New Roman"/>
          <w:sz w:val="24"/>
          <w:lang w:val="en-US"/>
        </w:rPr>
        <w:t>S</w:t>
      </w:r>
      <w:r w:rsidR="00747EBB" w:rsidRPr="00747EBB">
        <w:rPr>
          <w:rFonts w:ascii="Times New Roman" w:hAnsi="Times New Roman" w:cs="Times New Roman"/>
          <w:sz w:val="24"/>
          <w:lang w:val="en-US"/>
        </w:rPr>
        <w:t>ome of the</w:t>
      </w:r>
      <w:r w:rsidR="00747EBB">
        <w:rPr>
          <w:rFonts w:ascii="Times New Roman" w:hAnsi="Times New Roman" w:cs="Times New Roman"/>
          <w:sz w:val="24"/>
          <w:lang w:val="en-US"/>
        </w:rPr>
        <w:t xml:space="preserve"> </w:t>
      </w:r>
      <w:r w:rsidR="00747EBB" w:rsidRPr="00747EBB">
        <w:rPr>
          <w:rFonts w:ascii="Times New Roman" w:hAnsi="Times New Roman" w:cs="Times New Roman"/>
          <w:sz w:val="24"/>
          <w:lang w:val="en-US"/>
        </w:rPr>
        <w:t xml:space="preserve">ongoing </w:t>
      </w:r>
      <w:r w:rsidR="00747EBB">
        <w:rPr>
          <w:rFonts w:ascii="Times New Roman" w:hAnsi="Times New Roman" w:cs="Times New Roman"/>
          <w:sz w:val="24"/>
          <w:lang w:val="en-US"/>
        </w:rPr>
        <w:t xml:space="preserve">material </w:t>
      </w:r>
      <w:r w:rsidR="00747EBB" w:rsidRPr="00747EBB">
        <w:rPr>
          <w:rFonts w:ascii="Times New Roman" w:hAnsi="Times New Roman" w:cs="Times New Roman"/>
          <w:sz w:val="24"/>
          <w:lang w:val="en-US"/>
        </w:rPr>
        <w:t>research to further increase the energy density of</w:t>
      </w:r>
      <w:r w:rsidR="00747EBB">
        <w:rPr>
          <w:rFonts w:ascii="Times New Roman" w:hAnsi="Times New Roman" w:cs="Times New Roman"/>
          <w:sz w:val="24"/>
          <w:lang w:val="en-US"/>
        </w:rPr>
        <w:t xml:space="preserve"> LIB cells includes </w:t>
      </w:r>
      <w:r w:rsidR="00BF7599">
        <w:rPr>
          <w:rFonts w:ascii="Times New Roman" w:hAnsi="Times New Roman" w:cs="Times New Roman"/>
          <w:sz w:val="24"/>
          <w:lang w:val="en-US"/>
        </w:rPr>
        <w:t>h</w:t>
      </w:r>
      <w:r w:rsidR="00BF7599" w:rsidRPr="00BF7599">
        <w:rPr>
          <w:rFonts w:ascii="Times New Roman" w:hAnsi="Times New Roman" w:cs="Times New Roman"/>
          <w:sz w:val="24"/>
          <w:lang w:val="en-US"/>
        </w:rPr>
        <w:t>igh-voltage electrolytes</w:t>
      </w:r>
      <w:r w:rsidR="00BF7599">
        <w:rPr>
          <w:rFonts w:ascii="Times New Roman" w:hAnsi="Times New Roman" w:cs="Times New Roman"/>
          <w:sz w:val="24"/>
          <w:lang w:val="en-US"/>
        </w:rPr>
        <w:t xml:space="preserve"> </w:t>
      </w:r>
      <w:r w:rsidR="00BF7599" w:rsidRPr="00BF7599">
        <w:rPr>
          <w:rFonts w:ascii="Times New Roman" w:hAnsi="Times New Roman" w:cs="Times New Roman"/>
          <w:sz w:val="24"/>
          <w:lang w:val="en-US"/>
        </w:rPr>
        <w:t>allowing charging voltages of up</w:t>
      </w:r>
      <w:r w:rsidR="00BF7599">
        <w:rPr>
          <w:rFonts w:ascii="Times New Roman" w:hAnsi="Times New Roman" w:cs="Times New Roman"/>
          <w:sz w:val="24"/>
          <w:lang w:val="en-US"/>
        </w:rPr>
        <w:t xml:space="preserve"> </w:t>
      </w:r>
      <w:r w:rsidR="00BF7599" w:rsidRPr="00BF7599">
        <w:rPr>
          <w:rFonts w:ascii="Times New Roman" w:hAnsi="Times New Roman" w:cs="Times New Roman"/>
          <w:sz w:val="24"/>
          <w:lang w:val="en-US"/>
        </w:rPr>
        <w:t>to 5 volts</w:t>
      </w:r>
      <w:r w:rsidR="00BF7599">
        <w:rPr>
          <w:rFonts w:ascii="Times New Roman" w:hAnsi="Times New Roman" w:cs="Times New Roman"/>
          <w:sz w:val="24"/>
          <w:lang w:val="en-US"/>
        </w:rPr>
        <w:t xml:space="preserve"> </w:t>
      </w:r>
      <w:r w:rsidR="00BF7599">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DOI":"10.1149/2.0321613jes","ISSN":"0013-4651","author":[{"dropping-particle":"","family":"Petibon","given":"Remi","non-dropping-particle":"","parse-names":false,"suffix":""},{"dropping-particle":"","family":"Xia","given":"Jian","non-dropping-particle":"","parse-names":false,"suffix":""},{"dropping-particle":"","family":"Ma","given":"Lin","non-dropping-particle":"","parse-names":false,"suffix":""},{"dropping-particle":"","family":"Bauer","given":"Michael K. G.","non-dropping-particle":"","parse-names":false,"suffix":""},{"dropping-particle":"","family":"Nelson","given":"Kathlyne J.","non-dropping-particle":"","parse-names":false,"suffix":""},{"dropping-particle":"","family":"Dahn","given":"J. R.","non-dropping-particle":"","parse-names":false,"suffix":""}],"container-title":"Journal of The Electrochemical Society","id":"ITEM-1","issue":"13","issued":{"date-parts":[["2016","9","17"]]},"page":"A2571-A2578","publisher":"The Electrochemical Society","title":"Electrolyte System for High Voltage Li-Ion Cells","type":"article-journal","volume":"163"},"uris":["http://www.mendeley.com/documents/?uuid=b596c2f3-db63-3380-a0e2-a9ceb62d0b28","http://www.mendeley.com/documents/?uuid=35104ec1-2395-44d2-b390-19297396a03c"]}],"mendeley":{"formattedCitation":"[31]","plainTextFormattedCitation":"[31]","previouslyFormattedCitation":"[31]"},"properties":{"noteIndex":0},"schema":"https://github.com/citation-style-language/schema/raw/master/csl-citation.json"}</w:instrText>
      </w:r>
      <w:r w:rsidR="00BF7599">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[31]</w:t>
      </w:r>
      <w:r w:rsidR="00BF7599">
        <w:rPr>
          <w:rFonts w:ascii="Times New Roman" w:hAnsi="Times New Roman" w:cs="Times New Roman"/>
          <w:sz w:val="24"/>
          <w:lang w:val="en-US"/>
        </w:rPr>
        <w:fldChar w:fldCharType="end"/>
      </w:r>
      <w:r w:rsidR="00A320CB">
        <w:rPr>
          <w:rFonts w:ascii="Times New Roman" w:hAnsi="Times New Roman" w:cs="Times New Roman"/>
          <w:sz w:val="24"/>
          <w:lang w:val="en-US"/>
        </w:rPr>
        <w:t xml:space="preserve"> and</w:t>
      </w:r>
      <w:r w:rsidR="00BF7599">
        <w:rPr>
          <w:rFonts w:ascii="Times New Roman" w:hAnsi="Times New Roman" w:cs="Times New Roman"/>
          <w:sz w:val="24"/>
          <w:lang w:val="en-US"/>
        </w:rPr>
        <w:t xml:space="preserve"> </w:t>
      </w:r>
      <w:r w:rsidR="00747EBB" w:rsidRPr="00747EBB">
        <w:rPr>
          <w:rFonts w:ascii="Times New Roman" w:hAnsi="Times New Roman" w:cs="Times New Roman"/>
          <w:sz w:val="24"/>
          <w:lang w:val="en-US"/>
        </w:rPr>
        <w:t xml:space="preserve">silicon nanoparticle </w:t>
      </w:r>
      <w:r w:rsidR="00747EBB">
        <w:rPr>
          <w:rFonts w:ascii="Times New Roman" w:hAnsi="Times New Roman" w:cs="Times New Roman"/>
          <w:sz w:val="24"/>
          <w:lang w:val="en-US"/>
        </w:rPr>
        <w:t xml:space="preserve">based anodes to boost the charge capacity </w:t>
      </w:r>
      <w:r w:rsidR="00747EBB">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{"citationItems":[{"id":"ITEM-1","itemData":{"DOI":"10.1016/J.NANOEN.2016.07.023","ISSN":"2211-2855","abstract":"Lithium-ion batteries are widely used throughout the world for portable electronic devices and mobile phones and show great potential for more demanding applications like electric vehicles. Unfortunately, lithium-ion batteries still lack the required level of energy storage to completely meet the demands of such applications as electric vehicles. Among advanced materials being studied, silicon nanoparticles have demonstrated great potential as an anode material to replace the commonly used graphite. Silicon has been shown to have a high theoretical gravimetric capacity, approximately 4200mAh/g, compared to only 372mAh/g for graphite. Though silicon nanoparticles have remarkably high capacity, they suffer from rapid degradation with each cycle due to electrode volume expansion of approximately 400% during lithiation, placing a large strain on the material. With each cycle that strain creates cracks in the electrode particles and causes them to break down into smaller particles, which create void spaces between the particles and lead to poor contact as reflected in poor conductivity. In this review, we discuss exciting new research on silicon-based anodes conducted during the past couple of years. Besides stressing the importance of well-designed nanostructures of Si, we focus on optimization of the Si electrode and resulting performance enhancement by properly selecting binders and synergistically integrating them with various carbon materials during electrode design and fabrication. Importantly, although each improvement strategy has its own advantage, appropriate combination of them will yield much higher anode performance. We summarize the core issues in developing the silicon anode and effective strategies in yielding more promising results.","author":[{"dropping-particle":"","family":"Casimir","given":"Anix","non-dropping-particle":"","parse-names":false,"suffix":""},{"dropping-particle":"","family":"Zhang","given":"Hanguang","non-dropping-particle":"","parse-names":false,"suffix":""},{"dropping-particle":"","family":"Ogoke","given":"Ogechi","non-dropping-particle":"","parse-names":false,"suffix":""},{"dropping-particle":"","family":"Amine","given":"Joseph C.","non-dropping-particle":"","parse-names":false,"suffix":""},{"dropping-particle":"","family":"Lu","given":"Jun","non-dropping-particle":"","parse-names":false,"suffix":""},{"dropping-particle":"","family":"Wu","given":"Gang","non-dropping-particle":"","parse-names":false,"suffix":""}],"container-title":"Nano Energy","id":"ITEM-1","issued":{"date-parts":[["2016","9","1"]]},"page":"359-376","publisher":"Elsevier","title":"Silicon-based anodes for lithium-ion batteries: Effectiveness of materials synthesis and electrode preparation","type":"article-journal","volume":"27"},"uris":["http://www.mendeley.com/documents/?uuid=55c7787f-3fcd-370d-9e71-7631913c0d48","http://www.mendeley.com/documents/?uuid=bd5df09b-538e-4d4e-bcd4-d28536fe6c17"]}],"mendeley":{"formattedCitation":"[32]","plainTextFormattedCitation":"[32]","previouslyFormattedCitation":"[32]"},"properties":{"noteIndex":0},"schema":"https://github.com/citation-style-language/schema/raw/master/csl-citation.json"}</w:instrText>
      </w:r>
      <w:r w:rsidR="00747EBB">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[32]</w:t>
      </w:r>
      <w:r w:rsidR="00747EBB">
        <w:rPr>
          <w:rFonts w:ascii="Times New Roman" w:hAnsi="Times New Roman" w:cs="Times New Roman"/>
          <w:sz w:val="24"/>
          <w:lang w:val="en-US"/>
        </w:rPr>
        <w:fldChar w:fldCharType="end"/>
      </w:r>
      <w:r w:rsidR="00A320CB">
        <w:rPr>
          <w:rFonts w:ascii="Times New Roman" w:hAnsi="Times New Roman" w:cs="Times New Roman"/>
          <w:sz w:val="24"/>
          <w:lang w:val="en-US"/>
        </w:rPr>
        <w:t xml:space="preserve">. </w:t>
      </w:r>
      <w:r w:rsidR="00747EBB">
        <w:rPr>
          <w:rFonts w:ascii="Times New Roman" w:hAnsi="Times New Roman" w:cs="Times New Roman"/>
          <w:sz w:val="24"/>
          <w:lang w:val="en-US"/>
        </w:rPr>
        <w:t xml:space="preserve"> </w:t>
      </w:r>
      <w:r w:rsidR="00A320CB" w:rsidRPr="00A320CB">
        <w:rPr>
          <w:rFonts w:ascii="Times New Roman" w:hAnsi="Times New Roman" w:cs="Times New Roman"/>
          <w:sz w:val="24"/>
          <w:lang w:val="en-US"/>
        </w:rPr>
        <w:t>Several research and development activities</w:t>
      </w:r>
      <w:r w:rsidR="00A320CB">
        <w:rPr>
          <w:rFonts w:ascii="Times New Roman" w:hAnsi="Times New Roman" w:cs="Times New Roman"/>
          <w:sz w:val="24"/>
          <w:lang w:val="en-US"/>
        </w:rPr>
        <w:t xml:space="preserve"> </w:t>
      </w:r>
      <w:r w:rsidR="00A320CB" w:rsidRPr="00A320CB">
        <w:rPr>
          <w:rFonts w:ascii="Times New Roman" w:hAnsi="Times New Roman" w:cs="Times New Roman"/>
          <w:sz w:val="24"/>
          <w:lang w:val="en-US"/>
        </w:rPr>
        <w:t xml:space="preserve">focus on improving the cycle lifetime of LMO cells </w:t>
      </w:r>
      <w:r w:rsidR="00A320CB">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{"citationItems":[{"id":"ITEM-1","itemData":{"DOI":"10.1016/J.SSI.2016.06.007","ISSN":"0167-2738","abstract":"Understanding the key factors that affects overall performances of a battery is crucial to the lithium-ion battery industry. To this end characterisation methods must be specific, reproducible and representative. As such, an interference free and reproducible analytical method with a low detection limit (50ppb) to evaluate manganese dissolution from lithium-ion battery positive electrodes is presented. Two different electrolytes (1.0M LiClO4 and 1.0M LiPF6 in EC:DMC (1:1)), LiFePO4, two nominally similar LiFe0.3Mn0.7PO4 samples and spinel LiMn2O4 are used for proof of concept. Mn and Fe quantification is performed on material ageing in solely in electrolyte, as well as, in a battery system with and without forced oxidation. It is demonstrated that water and free acid content in the electrolyte, as well as, imposing an oxidative electrochemical potential has a profound effect on manganese based material dissolution and battery performance.","author":[{"dropping-particle":"","family":"Saulnier","given":"M.","non-dropping-particle":"","parse-names":false,"suffix":""},{"dropping-particle":"","family":"Auclair","given":"A.","non-dropping-particle":"","parse-names":false,"suffix":""},{"dropping-particle":"","family":"Liang","given":"G.","non-dropping-particle":"","parse-names":false,"suffix":""},{"dropping-particle":"","family":"Schougaard","given":"S.B.","non-dropping-particle":"","parse-names":false,"suffix":""}],"container-title":"Solid State Ionics","id":"ITEM-1","issued":{"date-parts":[["2016","10","15"]]},"page":"1-5","publisher":"Elsevier","title":"Manganese dissolution in lithium-ion positive electrode materials","type":"article-journal","volume":"294"},"uris":["http://www.mendeley.com/documents/?uuid=883d2df0-aafa-3193-af66-fc030cc436ec","http://www.mendeley.com/documents/?uuid=94a92f4e-2fbc-4e68-aa29-eaedb786a0c0"]},{"id":"ITEM-2","itemData":{"DOI":"10.1016/J.CAP.2015.01.029","ISSN":"1567-1739","abstract":"In this study, the effects of the polyvinylidene fluoride (PVdF) binder on the Mn dissolution behavior and electrochemical performances of LiMn2O4 (LMO) electrodes are investigated. It is found that increasing the PVdF content (3, 5, 7, and 10 wt.%) leads to reduced Mn dissolution, and thus superior cycle performance at elevated temperature (60 °C). This can be ascribed to increased binder coverage on the LMO surface, as evidenced by X-ray photoelectron spectroscopy measurements, which acts a role as a passivation layer for Mn dissolution. The rate capability of the LMO electrode is hardly deteriorated as the PVdF content increases, despite the increasing surface coverage. Electrochemical impedance measurements reveal that the LMO electrode with higher binder loading exhibits lower electrode impedance, which is suggested to be due to enhanced electronic passage through the composite LMO electrode.","author":[{"dropping-particle":"","family":"Kim","given":"Eun-Young","non-dropping-particle":"","parse-names":false,"suffix":""},{"dropping-particle":"","family":"Lee","given":"Bo-Ram","non-dropping-particle":"","parse-names":false,"suffix":""},{"dropping-particle":"","family":"Yun","given":"Giyeong","non-dropping-particle":"","parse-names":false,"suffix":""},{"dropping-particle":"","family":"Oh","given":"Eun-Suok","non-dropping-particle":"","parse-names":false,"suffix":""},{"dropping-particle":"","family":"Lee","given":"Hochun","non-dropping-particle":"","parse-names":false,"suffix":""}],"container-title":"Current Applied Physics","id":"ITEM-2","issue":"4","issued":{"date-parts":[["2015","4","1"]]},"page":"429-434","publisher":"North-Holland","title":"Effects of binder content on manganese dissolution and electrochemical performances of spinel lithium manganese oxide cathodes for lithium ion batteries","type":"article-journal","volume":"15"},"uris":["http://www.mendeley.com/documents/?uuid=a69b09f7-a685-366a-aefc-6619d8e9cd41","http://www.mendeley.com/documents/?uuid=54acd83f-446f-46ee-8c98-da9eeb5d8152"]},{"id":"ITEM-3","itemData":{"DOI":"10.1016/J.JPOWSOUR.2014.06.167","ISSN":"0378-7753","abstract":"Effects of polymeric binders on both the dissolution of manganese (Mn) and electrochemical properties of spinel LiMn2O4 (LMO) electrodes are investigated in detail. Three promising polymers, polyvinyl alcohol (PVA), polyacrylic acid (PAA), and polyacrylonitrile (PAN) are chosen as binders for the LMO electrodes and compared to currently popular polyvinylidene fluoride (PVdF). For LMO electrodes fabricated with the selected binders, physicochemical properties including surface coverage, adhesion strength, and electrolyte uptake are examined. Also, electrochemical performance factors such as Mn dissolution behavior, rate capability, cycle performance, and thermal stability are investigated. PAN is revealed to be an outstanding binder for LMO electrodes based on its excellent rate capability, superior cycle performance, and high thermal stability when compared to the other three binders. This can be ascribed to an appropriate amount of electrolyte uptake and low impedance of the PAN despite the relatively large surface coverage of the LMO that leads to lower Mn dissolution.","author":[{"dropping-particle":"","family":"Lee","given":"Sangmin","non-dropping-particle":"","parse-names":false,"suffix":""},{"dropping-particle":"","family":"Kim","given":"Eun-Young","non-dropping-particle":"","parse-names":false,"suffix":""},{"dropping-particle":"","family":"Lee","given":"Hochun","non-dropping-particle":"","parse-names":false,"suffix":""},{"dropping-particle":"","family":"Oh","given":"Eun-Suok","non-dropping-particle":"","parse-names":false,"suffix":""}],"container-title":"Journal of Power Sources","id":"ITEM-3","issued":{"date-parts":[["2014","12","10"]]},"page":"418-423","publisher":"Elsevier","title":"Effects of polymeric binders on electrochemical performances of spinel lithium manganese oxide cathodes in lithium ion batteries","type":"article-journal","volume":"269"},"uris":["http://www.mendeley.com/documents/?uuid=f83dead0-3ed7-3fc0-9e09-d7aedf0b9a65","http://www.mendeley.com/documents/?uuid=b098f734-33eb-4641-b19a-3e6b96af7a67"]}],"mendeley":{"formattedCitation":"[33–35]","plainTextFormattedCitation":"[33–35]","previouslyFormattedCitation":"[33–35]"},"properties":{"noteIndex":0},"schema":"https://github.com/citation-style-language/schema/raw/master/csl-citation.json"}</w:instrText>
      </w:r>
      <w:r w:rsidR="00A320CB">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[33–35]</w:t>
      </w:r>
      <w:r w:rsidR="00A320CB">
        <w:rPr>
          <w:rFonts w:ascii="Times New Roman" w:hAnsi="Times New Roman" w:cs="Times New Roman"/>
          <w:sz w:val="24"/>
          <w:lang w:val="en-US"/>
        </w:rPr>
        <w:fldChar w:fldCharType="end"/>
      </w:r>
      <w:r w:rsidR="00A320CB">
        <w:rPr>
          <w:rFonts w:ascii="Times New Roman" w:hAnsi="Times New Roman" w:cs="Times New Roman"/>
          <w:sz w:val="24"/>
          <w:lang w:val="en-US"/>
        </w:rPr>
        <w:t xml:space="preserve">. </w:t>
      </w:r>
    </w:p>
    <w:p w14:paraId="4CB74DED" w14:textId="4132ACE0" w:rsidR="006A6251" w:rsidRPr="006A6251" w:rsidRDefault="00A5710F" w:rsidP="00A320CB">
      <w:pPr>
        <w:jc w:val="both"/>
        <w:rPr>
          <w:rFonts w:ascii="Times New Roman" w:hAnsi="Times New Roman" w:cs="Times New Roman"/>
          <w:sz w:val="24"/>
          <w:lang w:val="en-US"/>
        </w:rPr>
      </w:pPr>
      <w:r w:rsidRPr="006A6251">
        <w:rPr>
          <w:rFonts w:ascii="Times New Roman" w:hAnsi="Times New Roman" w:cs="Times New Roman"/>
          <w:sz w:val="24"/>
          <w:lang w:val="en-US"/>
        </w:rPr>
        <w:t xml:space="preserve">Some of the most promising </w:t>
      </w:r>
      <w:r>
        <w:rPr>
          <w:rFonts w:ascii="Times New Roman" w:hAnsi="Times New Roman" w:cs="Times New Roman"/>
          <w:sz w:val="24"/>
          <w:lang w:val="en-US"/>
        </w:rPr>
        <w:t>p</w:t>
      </w:r>
      <w:r w:rsidR="006A6251" w:rsidRPr="006A6251">
        <w:rPr>
          <w:rFonts w:ascii="Times New Roman" w:hAnsi="Times New Roman" w:cs="Times New Roman"/>
          <w:sz w:val="24"/>
          <w:lang w:val="en-US"/>
        </w:rPr>
        <w:t>ost</w:t>
      </w:r>
      <w:r w:rsidR="004D7228">
        <w:rPr>
          <w:rFonts w:ascii="Times New Roman" w:hAnsi="Times New Roman" w:cs="Times New Roman"/>
          <w:sz w:val="24"/>
          <w:lang w:val="en-US"/>
        </w:rPr>
        <w:t xml:space="preserve"> </w:t>
      </w:r>
      <w:r w:rsidR="006A6251" w:rsidRPr="006A6251">
        <w:rPr>
          <w:rFonts w:ascii="Times New Roman" w:hAnsi="Times New Roman" w:cs="Times New Roman"/>
          <w:sz w:val="24"/>
          <w:lang w:val="en-US"/>
        </w:rPr>
        <w:t>Li-ion technologies include</w:t>
      </w:r>
      <w:r w:rsidR="000038D3">
        <w:rPr>
          <w:rFonts w:ascii="Times New Roman" w:hAnsi="Times New Roman" w:cs="Times New Roman"/>
          <w:sz w:val="24"/>
          <w:lang w:val="en-US"/>
        </w:rPr>
        <w:t xml:space="preserve"> </w:t>
      </w:r>
      <w:r w:rsidR="006A6251" w:rsidRPr="006A6251">
        <w:rPr>
          <w:rFonts w:ascii="Times New Roman" w:hAnsi="Times New Roman" w:cs="Times New Roman"/>
          <w:sz w:val="24"/>
          <w:lang w:val="en-US"/>
        </w:rPr>
        <w:t xml:space="preserve">Lithium </w:t>
      </w:r>
      <w:r>
        <w:rPr>
          <w:rFonts w:ascii="Times New Roman" w:hAnsi="Times New Roman" w:cs="Times New Roman"/>
          <w:sz w:val="24"/>
          <w:lang w:val="en-US"/>
        </w:rPr>
        <w:t>S</w:t>
      </w:r>
      <w:r w:rsidR="006A6251" w:rsidRPr="006A6251">
        <w:rPr>
          <w:rFonts w:ascii="Times New Roman" w:hAnsi="Times New Roman" w:cs="Times New Roman"/>
          <w:sz w:val="24"/>
          <w:lang w:val="en-US"/>
        </w:rPr>
        <w:t>ulphur batteries</w:t>
      </w:r>
      <w:r>
        <w:rPr>
          <w:rFonts w:ascii="Times New Roman" w:hAnsi="Times New Roman" w:cs="Times New Roman"/>
          <w:sz w:val="24"/>
          <w:lang w:val="en-US"/>
        </w:rPr>
        <w:t xml:space="preserve"> that </w:t>
      </w:r>
      <w:r w:rsidR="006A6251" w:rsidRPr="006A6251">
        <w:rPr>
          <w:rFonts w:ascii="Times New Roman" w:hAnsi="Times New Roman" w:cs="Times New Roman"/>
          <w:sz w:val="24"/>
          <w:lang w:val="en-US"/>
        </w:rPr>
        <w:t xml:space="preserve">use </w:t>
      </w:r>
      <w:r w:rsidR="006A6251">
        <w:rPr>
          <w:rFonts w:ascii="Times New Roman" w:hAnsi="Times New Roman" w:cs="Times New Roman"/>
          <w:sz w:val="24"/>
          <w:lang w:val="en-US"/>
        </w:rPr>
        <w:t xml:space="preserve">Sulphur </w:t>
      </w:r>
      <w:r w:rsidR="006A6251" w:rsidRPr="006A6251">
        <w:rPr>
          <w:rFonts w:ascii="Times New Roman" w:hAnsi="Times New Roman" w:cs="Times New Roman"/>
          <w:sz w:val="24"/>
          <w:lang w:val="en-US"/>
        </w:rPr>
        <w:t>as an active material</w:t>
      </w:r>
      <w:r>
        <w:rPr>
          <w:rFonts w:ascii="Times New Roman" w:hAnsi="Times New Roman" w:cs="Times New Roman"/>
          <w:sz w:val="24"/>
          <w:lang w:val="en-US"/>
        </w:rPr>
        <w:t xml:space="preserve">. Sulphur </w:t>
      </w:r>
      <w:r w:rsidR="006A6251" w:rsidRPr="006A6251">
        <w:rPr>
          <w:rFonts w:ascii="Times New Roman" w:hAnsi="Times New Roman" w:cs="Times New Roman"/>
          <w:sz w:val="24"/>
          <w:lang w:val="en-US"/>
        </w:rPr>
        <w:t>is abundantly available at</w:t>
      </w:r>
      <w:r w:rsidR="006A6251">
        <w:rPr>
          <w:rFonts w:ascii="Times New Roman" w:hAnsi="Times New Roman" w:cs="Times New Roman"/>
          <w:sz w:val="24"/>
          <w:lang w:val="en-US"/>
        </w:rPr>
        <w:t xml:space="preserve"> </w:t>
      </w:r>
      <w:r w:rsidR="006A6251" w:rsidRPr="006A6251">
        <w:rPr>
          <w:rFonts w:ascii="Times New Roman" w:hAnsi="Times New Roman" w:cs="Times New Roman"/>
          <w:sz w:val="24"/>
          <w:lang w:val="en-US"/>
        </w:rPr>
        <w:t>reasonable price and allows for very high energy densities</w:t>
      </w:r>
      <w:r w:rsidR="006A6251" w:rsidRPr="006A6251">
        <w:rPr>
          <w:lang w:val="en-US"/>
        </w:rPr>
        <w:t xml:space="preserve"> </w:t>
      </w:r>
      <w:r w:rsidR="006A6251" w:rsidRPr="006A6251">
        <w:rPr>
          <w:rFonts w:ascii="Times New Roman" w:hAnsi="Times New Roman" w:cs="Times New Roman"/>
          <w:sz w:val="24"/>
          <w:lang w:val="en-US"/>
        </w:rPr>
        <w:t xml:space="preserve">of up to 400 </w:t>
      </w:r>
      <w:proofErr w:type="spellStart"/>
      <w:r w:rsidR="006A6251" w:rsidRPr="006A6251">
        <w:rPr>
          <w:rFonts w:ascii="Times New Roman" w:hAnsi="Times New Roman" w:cs="Times New Roman"/>
          <w:sz w:val="24"/>
          <w:lang w:val="en-US"/>
        </w:rPr>
        <w:t>Wh</w:t>
      </w:r>
      <w:proofErr w:type="spellEnd"/>
      <w:r w:rsidR="006A6251" w:rsidRPr="006A6251">
        <w:rPr>
          <w:rFonts w:ascii="Times New Roman" w:hAnsi="Times New Roman" w:cs="Times New Roman"/>
          <w:sz w:val="24"/>
          <w:lang w:val="en-US"/>
        </w:rPr>
        <w:t>/kg</w:t>
      </w:r>
      <w:r w:rsidR="000038D3">
        <w:rPr>
          <w:rFonts w:ascii="Times New Roman" w:hAnsi="Times New Roman" w:cs="Times New Roman"/>
          <w:sz w:val="24"/>
          <w:lang w:val="en-US"/>
        </w:rPr>
        <w:t xml:space="preserve">. Also </w:t>
      </w:r>
      <w:r w:rsidR="006A6251" w:rsidRPr="006A6251">
        <w:rPr>
          <w:rFonts w:ascii="Times New Roman" w:hAnsi="Times New Roman" w:cs="Times New Roman"/>
          <w:sz w:val="24"/>
          <w:lang w:val="en-US"/>
        </w:rPr>
        <w:t>Lithium air</w:t>
      </w:r>
      <w:r w:rsidR="000038D3">
        <w:rPr>
          <w:rFonts w:ascii="Times New Roman" w:hAnsi="Times New Roman" w:cs="Times New Roman"/>
          <w:sz w:val="24"/>
          <w:lang w:val="en-US"/>
        </w:rPr>
        <w:t xml:space="preserve"> batteries have received considerable attention. </w:t>
      </w:r>
      <w:r w:rsidR="006A6251" w:rsidRPr="006A6251">
        <w:rPr>
          <w:rFonts w:ascii="Times New Roman" w:hAnsi="Times New Roman" w:cs="Times New Roman"/>
          <w:sz w:val="24"/>
          <w:lang w:val="en-US"/>
        </w:rPr>
        <w:t>Since one of the active materials, oxygen, can be drawn from the ambient air, the lithium-air battery features the highest potential energy and power density of all battery storage systems. Due to the existing challenges</w:t>
      </w:r>
      <w:r w:rsidR="000038D3">
        <w:rPr>
          <w:rFonts w:ascii="Times New Roman" w:hAnsi="Times New Roman" w:cs="Times New Roman"/>
          <w:sz w:val="24"/>
          <w:lang w:val="en-US"/>
        </w:rPr>
        <w:t xml:space="preserve"> with electrode passivation and low tolerance to humidity</w:t>
      </w:r>
      <w:r w:rsidR="006A6251" w:rsidRPr="006A6251">
        <w:rPr>
          <w:rFonts w:ascii="Times New Roman" w:hAnsi="Times New Roman" w:cs="Times New Roman"/>
          <w:sz w:val="24"/>
          <w:lang w:val="en-US"/>
        </w:rPr>
        <w:t>, large-scale commercialization of the lithium-air battery is not expected within the next years.</w:t>
      </w:r>
    </w:p>
    <w:p w14:paraId="72FDBE25" w14:textId="673DA782" w:rsidR="00A5710F" w:rsidRDefault="00987231" w:rsidP="00747EBB">
      <w:pPr>
        <w:jc w:val="both"/>
        <w:rPr>
          <w:rFonts w:ascii="Times New Roman" w:hAnsi="Times New Roman" w:cs="Times New Roman"/>
          <w:sz w:val="24"/>
          <w:lang w:val="en-US"/>
        </w:rPr>
      </w:pPr>
      <w:r>
        <w:rPr>
          <w:rFonts w:ascii="Times New Roman" w:hAnsi="Times New Roman" w:cs="Times New Roman"/>
          <w:sz w:val="24"/>
          <w:lang w:val="en-US"/>
        </w:rPr>
        <w:t xml:space="preserve">Several non-lithium-based battery chemistries are being investigated. </w:t>
      </w:r>
      <w:r w:rsidR="00A5710F">
        <w:rPr>
          <w:rFonts w:ascii="Times New Roman" w:hAnsi="Times New Roman" w:cs="Times New Roman"/>
          <w:sz w:val="24"/>
          <w:lang w:val="en-US"/>
        </w:rPr>
        <w:t xml:space="preserve">Aluminum Sulphur </w:t>
      </w:r>
      <w:r w:rsidR="000038D3">
        <w:rPr>
          <w:rFonts w:ascii="Times New Roman" w:hAnsi="Times New Roman" w:cs="Times New Roman"/>
          <w:sz w:val="24"/>
          <w:lang w:val="en-US"/>
        </w:rPr>
        <w:t>batter</w:t>
      </w:r>
      <w:r>
        <w:rPr>
          <w:rFonts w:ascii="Times New Roman" w:hAnsi="Times New Roman" w:cs="Times New Roman"/>
          <w:sz w:val="24"/>
          <w:lang w:val="en-US"/>
        </w:rPr>
        <w:t xml:space="preserve">ies may </w:t>
      </w:r>
      <w:r w:rsidR="00A5710F">
        <w:rPr>
          <w:rFonts w:ascii="Times New Roman" w:hAnsi="Times New Roman" w:cs="Times New Roman"/>
          <w:sz w:val="24"/>
          <w:lang w:val="en-US"/>
        </w:rPr>
        <w:t xml:space="preserve">reach </w:t>
      </w:r>
      <w:r w:rsidR="000038D3">
        <w:rPr>
          <w:rFonts w:ascii="Times New Roman" w:hAnsi="Times New Roman" w:cs="Times New Roman"/>
          <w:sz w:val="24"/>
          <w:lang w:val="en-US"/>
        </w:rPr>
        <w:t xml:space="preserve">up to </w:t>
      </w:r>
      <w:r w:rsidR="00A5710F">
        <w:rPr>
          <w:rFonts w:ascii="Times New Roman" w:hAnsi="Times New Roman" w:cs="Times New Roman"/>
          <w:sz w:val="24"/>
          <w:lang w:val="en-US"/>
        </w:rPr>
        <w:t xml:space="preserve">1000 </w:t>
      </w:r>
      <w:proofErr w:type="spellStart"/>
      <w:r w:rsidR="00A5710F">
        <w:rPr>
          <w:rFonts w:ascii="Times New Roman" w:hAnsi="Times New Roman" w:cs="Times New Roman"/>
          <w:sz w:val="24"/>
          <w:lang w:val="en-US"/>
        </w:rPr>
        <w:t>Wh</w:t>
      </w:r>
      <w:proofErr w:type="spellEnd"/>
      <w:r w:rsidR="00A5710F">
        <w:rPr>
          <w:rFonts w:ascii="Times New Roman" w:hAnsi="Times New Roman" w:cs="Times New Roman"/>
          <w:sz w:val="24"/>
          <w:lang w:val="en-US"/>
        </w:rPr>
        <w:t>/kg</w:t>
      </w:r>
      <w:r w:rsidR="000038D3">
        <w:rPr>
          <w:rFonts w:ascii="Times New Roman" w:hAnsi="Times New Roman" w:cs="Times New Roman"/>
          <w:sz w:val="24"/>
          <w:lang w:val="en-US"/>
        </w:rPr>
        <w:t xml:space="preserve"> with relatively abundant electrode materials</w:t>
      </w:r>
      <w:r w:rsidR="00A5710F">
        <w:rPr>
          <w:rFonts w:ascii="Times New Roman" w:hAnsi="Times New Roman" w:cs="Times New Roman"/>
          <w:sz w:val="24"/>
          <w:lang w:val="en-US"/>
        </w:rPr>
        <w:t xml:space="preserve">, but are still in </w:t>
      </w:r>
      <w:r w:rsidR="000038D3">
        <w:rPr>
          <w:rFonts w:ascii="Times New Roman" w:hAnsi="Times New Roman" w:cs="Times New Roman"/>
          <w:sz w:val="24"/>
          <w:lang w:val="en-US"/>
        </w:rPr>
        <w:t xml:space="preserve">the </w:t>
      </w:r>
      <w:r w:rsidR="00A5710F">
        <w:rPr>
          <w:rFonts w:ascii="Times New Roman" w:hAnsi="Times New Roman" w:cs="Times New Roman"/>
          <w:sz w:val="24"/>
          <w:lang w:val="en-US"/>
        </w:rPr>
        <w:t xml:space="preserve">very early </w:t>
      </w:r>
      <w:r w:rsidR="000038D3">
        <w:rPr>
          <w:rFonts w:ascii="Times New Roman" w:hAnsi="Times New Roman" w:cs="Times New Roman"/>
          <w:sz w:val="24"/>
          <w:lang w:val="en-US"/>
        </w:rPr>
        <w:t>development phase</w:t>
      </w:r>
      <w:r w:rsidR="00A5710F">
        <w:rPr>
          <w:rFonts w:ascii="Times New Roman" w:hAnsi="Times New Roman" w:cs="Times New Roman"/>
          <w:sz w:val="24"/>
          <w:lang w:val="en-US"/>
        </w:rPr>
        <w:t xml:space="preserve"> </w:t>
      </w:r>
      <w:r w:rsidR="00A5710F">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{"citationItems":[{"id":"ITEM-1","itemData":{"URL":"http://www.eenewspower.com/news/revolutionary-solid-state-rechargeable-aluminium-sulfur-battery-project-starts","accessed":{"date-parts":[["2018","10","29"]]},"id":"ITEM-1","issued":{"date-parts":[["0"]]},"title":"Revolutionary solid state rechargeable aluminium-sulfur battery project starts | eeNews Power","type":"webpage"},"uris":["http://www.mendeley.com/documents/?uuid=95b9e9e3-1957-3563-b8b4-a651c62d6b2b","http://www.mendeley.com/documents/?uuid=66ac8613-cb9c-4372-be10-0e18b22fe33d"]}],"mendeley":{"formattedCitation":"[36]","plainTextFormattedCitation":"[36]","previouslyFormattedCitation":"[36]"},"properties":{"noteIndex":0},"schema":"https://github.com/citation-style-language/schema/raw/master/csl-citation.json"}</w:instrText>
      </w:r>
      <w:r w:rsidR="00A5710F">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[36]</w:t>
      </w:r>
      <w:r w:rsidR="00A5710F">
        <w:rPr>
          <w:rFonts w:ascii="Times New Roman" w:hAnsi="Times New Roman" w:cs="Times New Roman"/>
          <w:sz w:val="24"/>
          <w:lang w:val="en-US"/>
        </w:rPr>
        <w:fldChar w:fldCharType="end"/>
      </w:r>
      <w:r w:rsidR="000038D3">
        <w:rPr>
          <w:rFonts w:ascii="Times New Roman" w:hAnsi="Times New Roman" w:cs="Times New Roman"/>
          <w:sz w:val="24"/>
          <w:lang w:val="en-US"/>
        </w:rPr>
        <w:t>.</w:t>
      </w:r>
      <w:r w:rsidR="00A5710F">
        <w:rPr>
          <w:rFonts w:ascii="Times New Roman" w:hAnsi="Times New Roman" w:cs="Times New Roman"/>
          <w:sz w:val="24"/>
          <w:lang w:val="en-US"/>
        </w:rPr>
        <w:t xml:space="preserve"> </w:t>
      </w:r>
    </w:p>
    <w:p w14:paraId="371444E0" w14:textId="7F868D04" w:rsidR="006A6251" w:rsidRPr="00747EBB" w:rsidRDefault="006A6251" w:rsidP="00747EBB">
      <w:pPr>
        <w:jc w:val="both"/>
        <w:rPr>
          <w:rFonts w:ascii="Times New Roman" w:hAnsi="Times New Roman" w:cs="Times New Roman"/>
          <w:sz w:val="24"/>
          <w:lang w:val="en-US"/>
        </w:rPr>
      </w:pPr>
      <w:r>
        <w:rPr>
          <w:rFonts w:ascii="Times New Roman" w:hAnsi="Times New Roman" w:cs="Times New Roman"/>
          <w:sz w:val="24"/>
          <w:lang w:val="en-US"/>
        </w:rPr>
        <w:t>Besides the materials research,</w:t>
      </w:r>
      <w:r w:rsidR="00A5710F">
        <w:rPr>
          <w:rFonts w:ascii="Times New Roman" w:hAnsi="Times New Roman" w:cs="Times New Roman"/>
          <w:sz w:val="24"/>
          <w:lang w:val="en-US"/>
        </w:rPr>
        <w:t xml:space="preserve"> </w:t>
      </w:r>
      <w:r w:rsidR="00987231">
        <w:rPr>
          <w:rFonts w:ascii="Times New Roman" w:hAnsi="Times New Roman" w:cs="Times New Roman"/>
          <w:sz w:val="24"/>
          <w:lang w:val="en-US"/>
        </w:rPr>
        <w:t xml:space="preserve">improved </w:t>
      </w:r>
      <w:r w:rsidR="00ED04FE">
        <w:rPr>
          <w:rFonts w:ascii="Times New Roman" w:hAnsi="Times New Roman" w:cs="Times New Roman"/>
          <w:sz w:val="24"/>
          <w:lang w:val="en-US"/>
        </w:rPr>
        <w:t>cell design, BMS, TMS and EMS technology and operation strategy</w:t>
      </w:r>
      <w:r w:rsidR="00A5710F">
        <w:rPr>
          <w:rFonts w:ascii="Times New Roman" w:hAnsi="Times New Roman" w:cs="Times New Roman"/>
          <w:sz w:val="24"/>
          <w:lang w:val="en-US"/>
        </w:rPr>
        <w:t xml:space="preserve"> can improve storage efficiency </w:t>
      </w:r>
      <w:r w:rsidR="000038D3">
        <w:rPr>
          <w:rFonts w:ascii="Times New Roman" w:hAnsi="Times New Roman" w:cs="Times New Roman"/>
          <w:sz w:val="24"/>
          <w:lang w:val="en-US"/>
        </w:rPr>
        <w:t xml:space="preserve">considerably </w:t>
      </w:r>
      <w:r w:rsidR="000038D3" w:rsidRPr="00520C0A">
        <w:rPr>
          <w:rFonts w:ascii="Times New Roman" w:hAnsi="Times New Roman" w:cs="Times New Roman"/>
          <w:sz w:val="24"/>
          <w:lang w:val="en-US"/>
        </w:rPr>
        <w:fldChar w:fldCharType="begin" w:fldLock="1"/>
      </w:r>
      <w:r w:rsidR="002E3D04">
        <w:rPr>
          <w:rFonts w:ascii="Times New Roman" w:hAnsi="Times New Roman" w:cs="Times New Roman"/>
          <w:sz w:val="24"/>
          <w:lang w:val="en-US"/>
        </w:rPr>
        <w:instrText>ADDIN CSL_CITATION {"citationItems":[{"id":"ITEM-1","itemData":{"DOI":"10.1016/J.APENERGY.2017.10.129","ISSN":"0306-2619","abstract":"Energy efficiency is a key performance indicator for battery storage systems. A detailed electro-thermal model of a stationary lithium-ion battery system is developed and an evaluation of its energy efficiency is conducted. The model offers a holistic approach to calculating conversion losses and auxiliary power consumption. Sub-models for battery rack, power electronics, thermal management as well as the control and monitoring components are developed and coupled to a comprehensive model. The simulation is parametrized based on a prototype 192 kWh system using lithium iron phosphate batteries connected to the low voltage grid. The key loss mechanisms are identified, thoroughly analyzed and modeled. Generic profiles featuring various system operation modes are evaluated to show the characteristics of stationary battery systems. Typically the losses in the power electronics outweigh the losses in the battery at low power operating points. The auxiliary power consumption dominates for low system utilization rates. For estimation of real-world performance, the grid applications Primary Control Reserve, Secondary Control Reserve and the storage of surplus photovoltaic power are evaluated. Conversion round-trip efficiency is in the range of 70–80%. Overall system efficiency, which also considers system power consumption, is 8–13 percentage points lower for Primary Control Reserve and the photovoltaic-battery application. However, for Secondary Control Reserve, the total round-trip efficiency is found to be extremely low at 23% due to the low energy throughput of this application type.","author":[{"dropping-particle":"","family":"Schimpe","given":"Michael","non-dropping-particle":"","parse-names":false,"suffix":""},{"dropping-particle":"","family":"Naumann","given":"Maik","non-dropping-particle":"","parse-names":false,"suffix":""},{"dropping-particle":"","family":"Truong","given":"Nam","non-dropping-particle":"","parse-names":false,"suffix":""},{"dropping-particle":"","family":"Hesse","given":"Holger C.","non-dropping-particle":"","parse-names":false,"suffix":""},{"dropping-particle":"","family":"Santhanagopalan","given":"Shriram","non-dropping-particle":"","parse-names":false,"suffix":""},{"dropping-particle":"","family":"Saxon","given":"Aron","non-dropping-particle":"","parse-names":false,"suffix":""},{"dropping-particle":"","family":"Jossen","given":"Andreas","non-dropping-particle":"","parse-names":false,"suffix":""}],"container-title":"Applied Energy","id":"ITEM-1","issued":{"date-parts":[["2018","1","15"]]},"page":"211-229","publisher":"Elsevier","title":"Energy efficiency evaluation of a stationary lithium-ion battery container storage system via electro-thermal modeling and detailed component analysis","type":"article-journal","volume":"210"},"uris":["http://www.mendeley.com/documents/?uuid=7c57f4fc-c413-3b7b-bf77-81cd78ebf4c7","http://www.mendeley.com/documents/?uuid=18201310-f36e-406f-99a7-5caebcce51c0"]}],"mendeley":{"formattedCitation":"[17]","plainTextFormattedCitation":"[17]","previouslyFormattedCitation":"[17]"},"properties":{"noteIndex":0},"schema":"https://github.com/citation-style-language/schema/raw/master/csl-citation.json"}</w:instrText>
      </w:r>
      <w:r w:rsidR="000038D3" w:rsidRPr="00520C0A">
        <w:rPr>
          <w:rFonts w:ascii="Times New Roman" w:hAnsi="Times New Roman" w:cs="Times New Roman"/>
          <w:sz w:val="24"/>
          <w:lang w:val="en-US"/>
        </w:rPr>
        <w:fldChar w:fldCharType="separate"/>
      </w:r>
      <w:r w:rsidR="000038D3" w:rsidRPr="004646E5">
        <w:rPr>
          <w:rFonts w:ascii="Times New Roman" w:hAnsi="Times New Roman" w:cs="Times New Roman"/>
          <w:noProof/>
          <w:sz w:val="24"/>
          <w:lang w:val="en-US"/>
        </w:rPr>
        <w:t>[17]</w:t>
      </w:r>
      <w:r w:rsidR="000038D3" w:rsidRPr="00520C0A">
        <w:rPr>
          <w:rFonts w:ascii="Times New Roman" w:hAnsi="Times New Roman" w:cs="Times New Roman"/>
          <w:sz w:val="24"/>
          <w:lang w:val="en-US"/>
        </w:rPr>
        <w:fldChar w:fldCharType="end"/>
      </w:r>
      <w:r w:rsidR="00A5710F">
        <w:rPr>
          <w:rFonts w:ascii="Times New Roman" w:hAnsi="Times New Roman" w:cs="Times New Roman"/>
          <w:sz w:val="24"/>
          <w:lang w:val="en-US"/>
        </w:rPr>
        <w:t>.</w:t>
      </w:r>
    </w:p>
    <w:p w14:paraId="29030C59" w14:textId="139773F0" w:rsidR="004646E5" w:rsidRPr="004646E5" w:rsidRDefault="00544654" w:rsidP="004646E5">
      <w:pPr>
        <w:jc w:val="both"/>
        <w:rPr>
          <w:rFonts w:ascii="Times New Roman" w:hAnsi="Times New Roman" w:cs="Times New Roman"/>
          <w:lang w:val="en-US"/>
        </w:rPr>
      </w:pPr>
      <w:r>
        <w:rPr>
          <w:rFonts w:ascii="Times New Roman" w:hAnsi="Times New Roman" w:cs="Times New Roman"/>
          <w:sz w:val="24"/>
          <w:lang w:val="en-US"/>
        </w:rPr>
        <w:t xml:space="preserve">Although LIB systems for electricity storage are now commercially available, </w:t>
      </w:r>
      <w:r w:rsidR="004646E5">
        <w:rPr>
          <w:rFonts w:ascii="Times New Roman" w:hAnsi="Times New Roman" w:cs="Times New Roman"/>
          <w:sz w:val="24"/>
          <w:lang w:val="en-US"/>
        </w:rPr>
        <w:t>t</w:t>
      </w:r>
      <w:r w:rsidR="004646E5" w:rsidRPr="004646E5">
        <w:rPr>
          <w:rFonts w:ascii="Times New Roman" w:hAnsi="Times New Roman" w:cs="Times New Roman"/>
          <w:sz w:val="24"/>
          <w:lang w:val="en-US"/>
        </w:rPr>
        <w:t xml:space="preserve">he R&amp;D is still in its </w:t>
      </w:r>
      <w:r>
        <w:rPr>
          <w:rFonts w:ascii="Times New Roman" w:hAnsi="Times New Roman" w:cs="Times New Roman"/>
          <w:sz w:val="24"/>
          <w:lang w:val="en-US"/>
        </w:rPr>
        <w:t xml:space="preserve">relatively </w:t>
      </w:r>
      <w:r w:rsidR="004646E5" w:rsidRPr="004646E5">
        <w:rPr>
          <w:rFonts w:ascii="Times New Roman" w:hAnsi="Times New Roman" w:cs="Times New Roman"/>
          <w:sz w:val="24"/>
          <w:lang w:val="en-US"/>
        </w:rPr>
        <w:t xml:space="preserve">early phase and is expected to </w:t>
      </w:r>
      <w:r>
        <w:rPr>
          <w:rFonts w:ascii="Times New Roman" w:hAnsi="Times New Roman" w:cs="Times New Roman"/>
          <w:sz w:val="24"/>
          <w:lang w:val="en-US"/>
        </w:rPr>
        <w:t xml:space="preserve">contribute to future </w:t>
      </w:r>
      <w:r w:rsidR="004646E5" w:rsidRPr="004646E5">
        <w:rPr>
          <w:rFonts w:ascii="Times New Roman" w:hAnsi="Times New Roman" w:cs="Times New Roman"/>
          <w:sz w:val="24"/>
          <w:lang w:val="en-US"/>
        </w:rPr>
        <w:t xml:space="preserve">cost </w:t>
      </w:r>
      <w:r>
        <w:rPr>
          <w:rFonts w:ascii="Times New Roman" w:hAnsi="Times New Roman" w:cs="Times New Roman"/>
          <w:sz w:val="24"/>
          <w:lang w:val="en-US"/>
        </w:rPr>
        <w:t xml:space="preserve">reductions </w:t>
      </w:r>
      <w:r w:rsidR="004646E5" w:rsidRPr="004646E5">
        <w:rPr>
          <w:rFonts w:ascii="Times New Roman" w:hAnsi="Times New Roman" w:cs="Times New Roman"/>
          <w:sz w:val="24"/>
          <w:lang w:val="en-US"/>
        </w:rPr>
        <w:t>and efficiency</w:t>
      </w:r>
      <w:r>
        <w:rPr>
          <w:rFonts w:ascii="Times New Roman" w:hAnsi="Times New Roman" w:cs="Times New Roman"/>
          <w:sz w:val="24"/>
          <w:lang w:val="en-US"/>
        </w:rPr>
        <w:t xml:space="preserve"> improvements</w:t>
      </w:r>
      <w:r w:rsidR="004646E5" w:rsidRPr="004646E5">
        <w:rPr>
          <w:rFonts w:ascii="Times New Roman" w:hAnsi="Times New Roman" w:cs="Times New Roman"/>
          <w:sz w:val="24"/>
          <w:lang w:val="en-US"/>
        </w:rPr>
        <w:t xml:space="preserve">. </w:t>
      </w:r>
    </w:p>
    <w:p w14:paraId="3C105425" w14:textId="0F98D602" w:rsidR="00DF3B7D" w:rsidRPr="009A64AC" w:rsidRDefault="00DF3B7D" w:rsidP="00DF3B7D">
      <w:pPr>
        <w:pStyle w:val="Heading1"/>
        <w:rPr>
          <w:rFonts w:cs="Times New Roman"/>
          <w:lang w:val="en-US"/>
        </w:rPr>
      </w:pPr>
      <w:bookmarkStart w:id="78" w:name="_Toc528918113"/>
      <w:bookmarkStart w:id="79" w:name="_Toc529169839"/>
      <w:bookmarkStart w:id="80" w:name="_Toc529178838"/>
      <w:bookmarkStart w:id="81" w:name="_Toc529178953"/>
      <w:r w:rsidRPr="009A64AC">
        <w:rPr>
          <w:rFonts w:cs="Times New Roman"/>
          <w:lang w:val="en-US"/>
        </w:rPr>
        <w:t>Examples of market standard technology</w:t>
      </w:r>
      <w:bookmarkEnd w:id="78"/>
      <w:bookmarkEnd w:id="79"/>
      <w:bookmarkEnd w:id="80"/>
      <w:bookmarkEnd w:id="81"/>
    </w:p>
    <w:p w14:paraId="01997534" w14:textId="1201DAA9" w:rsidR="00E5073F" w:rsidRDefault="007E4B53" w:rsidP="007E4B53">
      <w:pPr>
        <w:rPr>
          <w:rFonts w:ascii="Times New Roman" w:hAnsi="Times New Roman" w:cs="Times New Roman"/>
          <w:sz w:val="24"/>
          <w:lang w:val="en-US"/>
        </w:rPr>
      </w:pPr>
      <w:r w:rsidRPr="00C45F4B">
        <w:rPr>
          <w:rFonts w:ascii="Times New Roman" w:hAnsi="Times New Roman" w:cs="Times New Roman"/>
          <w:sz w:val="24"/>
          <w:lang w:val="en-US"/>
        </w:rPr>
        <w:t xml:space="preserve">Grid scale turn-key LIB systems are commercially available from a wide range of suppliers. Referenced examples are shown in </w:t>
      </w:r>
      <w:r w:rsidRPr="00C45F4B">
        <w:rPr>
          <w:rFonts w:ascii="Times New Roman" w:hAnsi="Times New Roman" w:cs="Times New Roman"/>
          <w:sz w:val="24"/>
          <w:lang w:val="en-US"/>
        </w:rPr>
        <w:fldChar w:fldCharType="begin"/>
      </w:r>
      <w:r w:rsidRPr="00C45F4B">
        <w:rPr>
          <w:rFonts w:ascii="Times New Roman" w:hAnsi="Times New Roman" w:cs="Times New Roman"/>
          <w:sz w:val="24"/>
          <w:lang w:val="en-US"/>
        </w:rPr>
        <w:instrText xml:space="preserve"> REF _Ref527928442 \h  \* MERGEFORMAT </w:instrText>
      </w:r>
      <w:r w:rsidRPr="00C45F4B">
        <w:rPr>
          <w:rFonts w:ascii="Times New Roman" w:hAnsi="Times New Roman" w:cs="Times New Roman"/>
          <w:sz w:val="24"/>
          <w:lang w:val="en-US"/>
        </w:rPr>
      </w:r>
      <w:r w:rsidRPr="00C45F4B">
        <w:rPr>
          <w:rFonts w:ascii="Times New Roman" w:hAnsi="Times New Roman" w:cs="Times New Roman"/>
          <w:sz w:val="24"/>
          <w:lang w:val="en-US"/>
        </w:rPr>
        <w:fldChar w:fldCharType="separate"/>
      </w:r>
      <w:r w:rsidR="00E60026" w:rsidRPr="00E60026">
        <w:rPr>
          <w:rFonts w:ascii="Times New Roman" w:hAnsi="Times New Roman" w:cs="Times New Roman"/>
          <w:sz w:val="24"/>
          <w:lang w:val="en-US"/>
        </w:rPr>
        <w:t xml:space="preserve">Table </w:t>
      </w:r>
      <w:r w:rsidR="00E60026" w:rsidRPr="00E60026">
        <w:rPr>
          <w:rFonts w:ascii="Times New Roman" w:hAnsi="Times New Roman" w:cs="Times New Roman"/>
          <w:noProof/>
          <w:sz w:val="24"/>
          <w:lang w:val="en-US"/>
        </w:rPr>
        <w:t>3</w:t>
      </w:r>
      <w:r w:rsidRPr="00C45F4B">
        <w:rPr>
          <w:rFonts w:ascii="Times New Roman" w:hAnsi="Times New Roman" w:cs="Times New Roman"/>
          <w:sz w:val="24"/>
          <w:lang w:val="en-US"/>
        </w:rPr>
        <w:fldChar w:fldCharType="end"/>
      </w:r>
      <w:r w:rsidRPr="00C45F4B">
        <w:rPr>
          <w:rFonts w:ascii="Times New Roman" w:hAnsi="Times New Roman" w:cs="Times New Roman"/>
          <w:sz w:val="24"/>
          <w:lang w:val="en-US"/>
        </w:rPr>
        <w:t xml:space="preserve">. Two larger grid-connected LIB systems are installed in Denmark: </w:t>
      </w:r>
      <w:r w:rsidRPr="00C45F4B">
        <w:rPr>
          <w:rFonts w:ascii="Times New Roman" w:hAnsi="Times New Roman" w:cs="Times New Roman"/>
          <w:b/>
          <w:sz w:val="24"/>
          <w:lang w:val="en-US"/>
        </w:rPr>
        <w:t>A)</w:t>
      </w:r>
      <w:r w:rsidRPr="00C45F4B">
        <w:rPr>
          <w:rFonts w:ascii="Times New Roman" w:hAnsi="Times New Roman" w:cs="Times New Roman"/>
          <w:sz w:val="24"/>
          <w:lang w:val="en-US"/>
        </w:rPr>
        <w:t xml:space="preserve"> In </w:t>
      </w:r>
      <w:proofErr w:type="spellStart"/>
      <w:r w:rsidRPr="00C45F4B">
        <w:rPr>
          <w:rFonts w:ascii="Times New Roman" w:hAnsi="Times New Roman" w:cs="Times New Roman"/>
          <w:sz w:val="24"/>
          <w:lang w:val="en-US"/>
        </w:rPr>
        <w:t>Nordhavn</w:t>
      </w:r>
      <w:proofErr w:type="spellEnd"/>
      <w:r w:rsidRPr="00C45F4B">
        <w:rPr>
          <w:rFonts w:ascii="Times New Roman" w:hAnsi="Times New Roman" w:cs="Times New Roman"/>
          <w:sz w:val="24"/>
          <w:lang w:val="en-US"/>
        </w:rPr>
        <w:t xml:space="preserve">, Copenhagen, Denmark a 630kW/460kWh was installed by ABB for Radius </w:t>
      </w:r>
      <w:proofErr w:type="spellStart"/>
      <w:r w:rsidRPr="00C45F4B">
        <w:rPr>
          <w:rFonts w:ascii="Times New Roman" w:hAnsi="Times New Roman" w:cs="Times New Roman"/>
          <w:sz w:val="24"/>
          <w:lang w:val="en-US"/>
        </w:rPr>
        <w:t>Elnet</w:t>
      </w:r>
      <w:proofErr w:type="spellEnd"/>
      <w:r w:rsidRPr="00C45F4B">
        <w:rPr>
          <w:rFonts w:ascii="Times New Roman" w:hAnsi="Times New Roman" w:cs="Times New Roman"/>
          <w:sz w:val="24"/>
          <w:lang w:val="en-US"/>
        </w:rPr>
        <w:t xml:space="preserve"> and </w:t>
      </w:r>
      <w:proofErr w:type="spellStart"/>
      <w:r w:rsidRPr="00C45F4B">
        <w:rPr>
          <w:rFonts w:ascii="Times New Roman" w:hAnsi="Times New Roman" w:cs="Times New Roman"/>
          <w:sz w:val="24"/>
          <w:lang w:val="en-US"/>
        </w:rPr>
        <w:t>Ørsted</w:t>
      </w:r>
      <w:proofErr w:type="spellEnd"/>
      <w:r w:rsidRPr="00C45F4B">
        <w:rPr>
          <w:rFonts w:ascii="Times New Roman" w:hAnsi="Times New Roman" w:cs="Times New Roman"/>
          <w:sz w:val="24"/>
          <w:lang w:val="en-US"/>
        </w:rPr>
        <w:t xml:space="preserve"> in 2017. This set the scene for </w:t>
      </w:r>
      <w:proofErr w:type="spellStart"/>
      <w:r w:rsidRPr="00C45F4B">
        <w:rPr>
          <w:rFonts w:ascii="Times New Roman" w:hAnsi="Times New Roman" w:cs="Times New Roman"/>
          <w:sz w:val="24"/>
          <w:lang w:val="en-US"/>
        </w:rPr>
        <w:t>Ørsted</w:t>
      </w:r>
      <w:proofErr w:type="spellEnd"/>
      <w:r w:rsidRPr="00C45F4B">
        <w:rPr>
          <w:rFonts w:ascii="Times New Roman" w:hAnsi="Times New Roman" w:cs="Times New Roman"/>
          <w:sz w:val="24"/>
          <w:lang w:val="en-US"/>
        </w:rPr>
        <w:t xml:space="preserve"> first steps into commercial battery storage. For </w:t>
      </w:r>
      <w:proofErr w:type="spellStart"/>
      <w:r w:rsidRPr="00C45F4B">
        <w:rPr>
          <w:rFonts w:ascii="Times New Roman" w:hAnsi="Times New Roman" w:cs="Times New Roman"/>
          <w:sz w:val="24"/>
          <w:lang w:val="en-US"/>
        </w:rPr>
        <w:t>Ørsted</w:t>
      </w:r>
      <w:proofErr w:type="spellEnd"/>
      <w:r w:rsidRPr="00C45F4B">
        <w:rPr>
          <w:rFonts w:ascii="Times New Roman" w:hAnsi="Times New Roman" w:cs="Times New Roman"/>
          <w:sz w:val="24"/>
          <w:lang w:val="en-US"/>
        </w:rPr>
        <w:t xml:space="preserve"> the following energy storage projects are under development: a 20MW battery storage near Liverpool in UK, a 1 MW storage pilot project in Taiwan and a 55MW battery storage for the Bay State Wind project in USA </w:t>
      </w:r>
      <w:r w:rsidRPr="00C45F4B">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{"citationItems":[{"id":"ITEM-1","itemData":{"URL":"https://orsted.com/en/Media/Newsroom/News/2018/04/Orsted-takes-first-steps-into-commercial-battery-storage","author":[{"dropping-particle":"","family":"Kjær","given":"Carsten Birkeland","non-dropping-particle":"","parse-names":false,"suffix":""}],"id":"ITEM-1","issued":{"date-parts":[["2018"]]},"page":"21-23","title":"Ørsted takes first steps into commercial energy storage","type":"webpage"},"uris":["http://www.mendeley.com/documents/?uuid=0695abc6-7ea6-4ccd-9816-98aa01d95b10","http://www.mendeley.com/documents/?uuid=7ca493c9-fe82-4c4c-b03f-9a40393aec9c","http://www.mendeley.com/documents/?uuid=4b910275-6965-4e0a-a176-8408e5c92fb3"]}],"mendeley":{"formattedCitation":"[37]","plainTextFormattedCitation":"[37]","previouslyFormattedCitation":"[37]"},"properties":{"noteIndex":0},"schema":"https://github.com/citation-style-language/schema/raw/master/csl-citation.json"}</w:instrText>
      </w:r>
      <w:r w:rsidRPr="00C45F4B">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[37]</w:t>
      </w:r>
      <w:r w:rsidRPr="00C45F4B">
        <w:rPr>
          <w:rFonts w:ascii="Times New Roman" w:hAnsi="Times New Roman" w:cs="Times New Roman"/>
          <w:sz w:val="24"/>
          <w:lang w:val="en-US"/>
        </w:rPr>
        <w:fldChar w:fldCharType="end"/>
      </w:r>
      <w:r w:rsidRPr="00C45F4B">
        <w:rPr>
          <w:rFonts w:ascii="Times New Roman" w:hAnsi="Times New Roman" w:cs="Times New Roman"/>
          <w:sz w:val="24"/>
          <w:lang w:val="en-US"/>
        </w:rPr>
        <w:t xml:space="preserve">. </w:t>
      </w:r>
      <w:r w:rsidRPr="00C45F4B">
        <w:rPr>
          <w:rFonts w:ascii="Times New Roman" w:hAnsi="Times New Roman" w:cs="Times New Roman"/>
          <w:b/>
          <w:sz w:val="24"/>
          <w:lang w:val="en-US"/>
        </w:rPr>
        <w:t>B)</w:t>
      </w:r>
      <w:r w:rsidRPr="00C45F4B">
        <w:rPr>
          <w:rFonts w:ascii="Times New Roman" w:hAnsi="Times New Roman" w:cs="Times New Roman"/>
          <w:sz w:val="24"/>
          <w:lang w:val="en-US"/>
        </w:rPr>
        <w:t xml:space="preserve"> </w:t>
      </w:r>
      <w:proofErr w:type="spellStart"/>
      <w:r w:rsidRPr="00C45F4B">
        <w:rPr>
          <w:rFonts w:ascii="Times New Roman" w:hAnsi="Times New Roman" w:cs="Times New Roman"/>
          <w:sz w:val="24"/>
          <w:lang w:val="en-US"/>
        </w:rPr>
        <w:t>Lem</w:t>
      </w:r>
      <w:proofErr w:type="spellEnd"/>
      <w:r w:rsidRPr="00C45F4B">
        <w:rPr>
          <w:rFonts w:ascii="Times New Roman" w:hAnsi="Times New Roman" w:cs="Times New Roman"/>
          <w:sz w:val="24"/>
          <w:lang w:val="en-US"/>
        </w:rPr>
        <w:t xml:space="preserve"> </w:t>
      </w:r>
      <w:proofErr w:type="spellStart"/>
      <w:r w:rsidRPr="00C45F4B">
        <w:rPr>
          <w:rFonts w:ascii="Times New Roman" w:hAnsi="Times New Roman" w:cs="Times New Roman"/>
          <w:sz w:val="24"/>
          <w:lang w:val="en-US"/>
        </w:rPr>
        <w:t>Kær</w:t>
      </w:r>
      <w:proofErr w:type="spellEnd"/>
      <w:r w:rsidRPr="00C45F4B">
        <w:rPr>
          <w:rFonts w:ascii="Times New Roman" w:hAnsi="Times New Roman" w:cs="Times New Roman"/>
          <w:sz w:val="24"/>
          <w:lang w:val="en-US"/>
        </w:rPr>
        <w:t xml:space="preserve"> Wind Farm was Vestas pilot project for energy storage. Vestas is working on Kennedy Power Plant that integrates wind and solar with grid-scale energy storage and will feature a 2MW / 4MWh grid-scale LIB storage system to providing flexibility and increasing the energy production. </w:t>
      </w:r>
    </w:p>
    <w:p w14:paraId="23C09EA6" w14:textId="367134F6" w:rsidR="00C72B12" w:rsidRDefault="00E5073F" w:rsidP="007E4B53">
      <w:pPr>
        <w:rPr>
          <w:rFonts w:ascii="Times New Roman" w:hAnsi="Times New Roman" w:cs="Times New Roman"/>
          <w:sz w:val="24"/>
          <w:lang w:val="en-US"/>
        </w:rPr>
      </w:pPr>
      <w:r>
        <w:rPr>
          <w:rFonts w:ascii="Times New Roman" w:hAnsi="Times New Roman" w:cs="Times New Roman"/>
          <w:sz w:val="24"/>
          <w:lang w:val="en-US"/>
        </w:rPr>
        <w:lastRenderedPageBreak/>
        <w:t>Globally t</w:t>
      </w:r>
      <w:r w:rsidR="007E4B53">
        <w:rPr>
          <w:rFonts w:ascii="Times New Roman" w:hAnsi="Times New Roman" w:cs="Times New Roman"/>
          <w:sz w:val="24"/>
          <w:lang w:val="en-US"/>
        </w:rPr>
        <w:t xml:space="preserve">he two </w:t>
      </w:r>
      <w:r w:rsidR="007E4B53" w:rsidRPr="00C45F4B">
        <w:rPr>
          <w:rFonts w:ascii="Times New Roman" w:hAnsi="Times New Roman" w:cs="Times New Roman"/>
          <w:sz w:val="24"/>
          <w:lang w:val="en-US"/>
        </w:rPr>
        <w:t>largest grid-scale LIB storage system is the Mira Loma Substation in California which feature</w:t>
      </w:r>
      <w:r>
        <w:rPr>
          <w:rFonts w:ascii="Times New Roman" w:hAnsi="Times New Roman" w:cs="Times New Roman"/>
          <w:sz w:val="24"/>
          <w:lang w:val="en-US"/>
        </w:rPr>
        <w:t xml:space="preserve">s </w:t>
      </w:r>
      <w:r w:rsidR="007E4B53" w:rsidRPr="00C45F4B">
        <w:rPr>
          <w:rFonts w:ascii="Times New Roman" w:hAnsi="Times New Roman" w:cs="Times New Roman"/>
          <w:sz w:val="24"/>
          <w:lang w:val="en-US"/>
        </w:rPr>
        <w:t xml:space="preserve">20MW/80MWh </w:t>
      </w:r>
      <w:r>
        <w:rPr>
          <w:rFonts w:ascii="Times New Roman" w:hAnsi="Times New Roman" w:cs="Times New Roman"/>
          <w:sz w:val="24"/>
          <w:lang w:val="en-US"/>
        </w:rPr>
        <w:t xml:space="preserve">using 400 Tesla </w:t>
      </w:r>
      <w:proofErr w:type="spellStart"/>
      <w:r w:rsidRPr="00E5073F">
        <w:rPr>
          <w:rFonts w:ascii="Times New Roman" w:hAnsi="Times New Roman" w:cs="Times New Roman"/>
          <w:sz w:val="24"/>
          <w:lang w:val="en-US"/>
        </w:rPr>
        <w:t>Powerpack</w:t>
      </w:r>
      <w:proofErr w:type="spellEnd"/>
      <w:r w:rsidRPr="00E5073F">
        <w:rPr>
          <w:rFonts w:ascii="Times New Roman" w:hAnsi="Times New Roman" w:cs="Times New Roman"/>
          <w:sz w:val="24"/>
          <w:lang w:val="en-US"/>
        </w:rPr>
        <w:t xml:space="preserve"> 2</w:t>
      </w:r>
      <w:r w:rsidR="007E4B53" w:rsidRPr="00C45F4B">
        <w:rPr>
          <w:rFonts w:ascii="Times New Roman" w:hAnsi="Times New Roman" w:cs="Times New Roman"/>
          <w:sz w:val="24"/>
          <w:lang w:val="en-US"/>
        </w:rPr>
        <w:t xml:space="preserve"> </w:t>
      </w:r>
      <w:r w:rsidR="00C72B12">
        <w:rPr>
          <w:rFonts w:ascii="Times New Roman" w:hAnsi="Times New Roman" w:cs="Times New Roman"/>
          <w:sz w:val="24"/>
        </w:rPr>
        <w:fldChar w:fldCharType="begin" w:fldLock="1"/>
      </w:r>
      <w:r w:rsidR="001A7298">
        <w:rPr>
          <w:rFonts w:ascii="Times New Roman" w:hAnsi="Times New Roman" w:cs="Times New Roman"/>
          <w:sz w:val="24"/>
          <w:lang w:val="en-US"/>
        </w:rPr>
        <w:instrText>ADDIN CSL_CITATION {"citationItems":[{"id":"ITEM-1","itemData":{"URL":"https://www.tesla.com/da_DK/blog/addressing-peak-energy-demand-tesla-powerpack?redirect=no","author":[{"dropping-particle":"","family":"Tesla","given":"","non-dropping-particle":"","parse-names":false,"suffix":""}],"id":"ITEM-1","issued":{"date-parts":[["2018"]]},"title":"Addressing Peak Energy Demand with the Tesla Powerpack","type":"webpage"},"uris":["http://www.mendeley.com/documents/?uuid=dbfdbf88-4e9a-4756-8169-f99ef6ec935b","http://www.mendeley.com/documents/?uuid=717872be-787f-428f-98cc-ec10ab505c37","http://www.mendeley.com/documents/?uuid=de79d3f3-f9c0-451b-8730-db82fbf8c48d"]},{"id":"ITEM-2","itemData":{"URL":"https://electrek.co/2017/01/23/tesla-mira-loma-powerpack-station-southern-california-edison/","accessed":{"date-parts":[["2018","10","30"]]},"id":"ITEM-2","issued":{"date-parts":[["0"]]},"title":"Tesla quietly brings online its massive - biggest in the world - 80 MWh Powerpack station with Southern California Edison - Electrek","type":"webpage"},"uris":["http://www.mendeley.com/documents/?uuid=2f24bce3-ef85-3377-ab71-f6e88c755a20"]}],"mendeley":{"formattedCitation":"[38,39]","plainTextFormattedCitation":"[38,39]","previouslyFormattedCitation":"[38,39]"},"properties":{"noteIndex":0},"schema":"https://github.com/citation-style-language/schema/raw/master/csl-citation.json"}</w:instrText>
      </w:r>
      <w:r w:rsidR="00C72B12">
        <w:rPr>
          <w:rFonts w:ascii="Times New Roman" w:hAnsi="Times New Roman" w:cs="Times New Roman"/>
          <w:sz w:val="24"/>
        </w:rPr>
        <w:fldChar w:fldCharType="separate"/>
      </w:r>
      <w:r w:rsidR="00B60186" w:rsidRPr="00B60186">
        <w:rPr>
          <w:rFonts w:ascii="Times New Roman" w:hAnsi="Times New Roman" w:cs="Times New Roman"/>
          <w:noProof/>
          <w:sz w:val="24"/>
          <w:lang w:val="en-US"/>
        </w:rPr>
        <w:t>[38,39]</w:t>
      </w:r>
      <w:r w:rsidR="00C72B12">
        <w:rPr>
          <w:rFonts w:ascii="Times New Roman" w:hAnsi="Times New Roman" w:cs="Times New Roman"/>
          <w:sz w:val="24"/>
        </w:rPr>
        <w:fldChar w:fldCharType="end"/>
      </w:r>
      <w:r>
        <w:rPr>
          <w:rFonts w:ascii="Times New Roman" w:hAnsi="Times New Roman" w:cs="Times New Roman"/>
          <w:sz w:val="24"/>
          <w:lang w:val="en-US"/>
        </w:rPr>
        <w:t xml:space="preserve"> </w:t>
      </w:r>
      <w:r w:rsidR="007E4B53">
        <w:rPr>
          <w:rFonts w:ascii="Times New Roman" w:hAnsi="Times New Roman" w:cs="Times New Roman"/>
          <w:sz w:val="24"/>
          <w:lang w:val="en-US"/>
        </w:rPr>
        <w:t xml:space="preserve">and the </w:t>
      </w:r>
      <w:proofErr w:type="spellStart"/>
      <w:r w:rsidR="007E4B53">
        <w:rPr>
          <w:rFonts w:ascii="Times New Roman" w:hAnsi="Times New Roman" w:cs="Times New Roman"/>
          <w:sz w:val="24"/>
          <w:lang w:val="en-US"/>
        </w:rPr>
        <w:t>Neoen’s</w:t>
      </w:r>
      <w:proofErr w:type="spellEnd"/>
      <w:r w:rsidR="007E4B53">
        <w:rPr>
          <w:rFonts w:ascii="Times New Roman" w:hAnsi="Times New Roman" w:cs="Times New Roman"/>
          <w:sz w:val="24"/>
          <w:lang w:val="en-US"/>
        </w:rPr>
        <w:t xml:space="preserve"> </w:t>
      </w:r>
      <w:proofErr w:type="spellStart"/>
      <w:r w:rsidR="007E4B53">
        <w:rPr>
          <w:rFonts w:ascii="Times New Roman" w:hAnsi="Times New Roman" w:cs="Times New Roman"/>
          <w:sz w:val="24"/>
          <w:lang w:val="en-US"/>
        </w:rPr>
        <w:t>Hornsdale</w:t>
      </w:r>
      <w:proofErr w:type="spellEnd"/>
      <w:r w:rsidR="007E4B53">
        <w:rPr>
          <w:rFonts w:ascii="Times New Roman" w:hAnsi="Times New Roman" w:cs="Times New Roman"/>
          <w:sz w:val="24"/>
          <w:lang w:val="en-US"/>
        </w:rPr>
        <w:t xml:space="preserve"> Wind Farm which feature a 100MW/129MWh </w:t>
      </w:r>
      <w:r w:rsidR="00C72B12" w:rsidRPr="00C72B12">
        <w:rPr>
          <w:rFonts w:ascii="Times New Roman" w:hAnsi="Times New Roman" w:cs="Times New Roman"/>
          <w:sz w:val="24"/>
        </w:rPr>
        <w:fldChar w:fldCharType="begin" w:fldLock="1"/>
      </w:r>
      <w:r w:rsidR="001A7298">
        <w:rPr>
          <w:rFonts w:ascii="Times New Roman" w:hAnsi="Times New Roman" w:cs="Times New Roman"/>
          <w:sz w:val="24"/>
          <w:lang w:val="en-US"/>
        </w:rPr>
        <w:instrText>ADDIN CSL_CITATION {"citationItems":[{"id":"ITEM-1","itemData":{"URL":"https://www.tesla.com/da_DK/blog/Tesla-powerpack-enable-large-scale-sustainable-energy-south-australia?redirect=no Page","author":[{"dropping-particle":"","family":"Tesla","given":"","non-dropping-particle":"","parse-names":false,"suffix":""}],"id":"ITEM-1","issued":{"date-parts":[["2017"]]},"title":"Tesla Powerpack to Enable Large Scale Sustainable Energy to South Australia","type":"webpage"},"uris":["http://www.mendeley.com/documents/?uuid=0159f8c1-a373-405f-b0fa-8dde2e8b3be3"]}],"mendeley":{"formattedCitation":"[40]","plainTextFormattedCitation":"[40]","previouslyFormattedCitation":"[40]"},"properties":{"noteIndex":0},"schema":"https://github.com/citation-style-language/schema/raw/master/csl-citation.json"}</w:instrText>
      </w:r>
      <w:r w:rsidR="00C72B12" w:rsidRPr="00C72B12">
        <w:rPr>
          <w:rFonts w:ascii="Times New Roman" w:hAnsi="Times New Roman" w:cs="Times New Roman"/>
          <w:sz w:val="24"/>
        </w:rPr>
        <w:fldChar w:fldCharType="separate"/>
      </w:r>
      <w:r w:rsidR="00B60186" w:rsidRPr="00B60186">
        <w:rPr>
          <w:rFonts w:ascii="Times New Roman" w:hAnsi="Times New Roman" w:cs="Times New Roman"/>
          <w:noProof/>
          <w:sz w:val="24"/>
          <w:lang w:val="en-US"/>
        </w:rPr>
        <w:t>[40]</w:t>
      </w:r>
      <w:r w:rsidR="00C72B12" w:rsidRPr="00C72B12">
        <w:rPr>
          <w:rFonts w:ascii="Times New Roman" w:hAnsi="Times New Roman" w:cs="Times New Roman"/>
          <w:sz w:val="24"/>
          <w:lang w:val="en-US"/>
        </w:rPr>
        <w:fldChar w:fldCharType="end"/>
      </w:r>
      <w:r w:rsidR="00C72B12">
        <w:rPr>
          <w:rFonts w:ascii="Times New Roman" w:hAnsi="Times New Roman" w:cs="Times New Roman"/>
          <w:sz w:val="24"/>
          <w:lang w:val="en-US"/>
        </w:rPr>
        <w:t xml:space="preserve">, </w:t>
      </w:r>
      <w:r w:rsidR="007E4B53">
        <w:rPr>
          <w:rFonts w:ascii="Times New Roman" w:hAnsi="Times New Roman" w:cs="Times New Roman"/>
          <w:sz w:val="24"/>
          <w:lang w:val="en-US"/>
        </w:rPr>
        <w:t xml:space="preserve">both </w:t>
      </w:r>
      <w:r w:rsidR="00C72B12">
        <w:rPr>
          <w:rFonts w:ascii="Times New Roman" w:hAnsi="Times New Roman" w:cs="Times New Roman"/>
          <w:sz w:val="24"/>
          <w:lang w:val="en-US"/>
        </w:rPr>
        <w:t xml:space="preserve">systems </w:t>
      </w:r>
      <w:r w:rsidR="007E4B53">
        <w:rPr>
          <w:rFonts w:ascii="Times New Roman" w:hAnsi="Times New Roman" w:cs="Times New Roman"/>
          <w:sz w:val="24"/>
          <w:lang w:val="en-US"/>
        </w:rPr>
        <w:t xml:space="preserve">providing peak shaving. </w:t>
      </w:r>
    </w:p>
    <w:p w14:paraId="376C91C1" w14:textId="33FF9290" w:rsidR="007E4B53" w:rsidRPr="00C45F4B" w:rsidRDefault="007E4B53" w:rsidP="007E4B53">
      <w:pPr>
        <w:rPr>
          <w:rFonts w:ascii="Times New Roman" w:hAnsi="Times New Roman" w:cs="Times New Roman"/>
          <w:sz w:val="24"/>
          <w:lang w:val="en-US"/>
        </w:rPr>
      </w:pPr>
      <w:r>
        <w:rPr>
          <w:rFonts w:ascii="Times New Roman" w:hAnsi="Times New Roman" w:cs="Times New Roman"/>
          <w:sz w:val="24"/>
          <w:lang w:val="en-US"/>
        </w:rPr>
        <w:t xml:space="preserve">The Laurel Mountain, West Virginia, USA </w:t>
      </w:r>
      <w:r w:rsidRPr="00C45F4B">
        <w:rPr>
          <w:rFonts w:ascii="Times New Roman" w:hAnsi="Times New Roman" w:cs="Times New Roman"/>
          <w:sz w:val="24"/>
          <w:lang w:val="en-US"/>
        </w:rPr>
        <w:t>grid-scale LIB storage system</w:t>
      </w:r>
      <w:r>
        <w:rPr>
          <w:rFonts w:ascii="Times New Roman" w:hAnsi="Times New Roman" w:cs="Times New Roman"/>
          <w:sz w:val="24"/>
          <w:lang w:val="en-US"/>
        </w:rPr>
        <w:t xml:space="preserve"> a 32MW/8MWh </w:t>
      </w:r>
      <w:r w:rsidR="00C72B12" w:rsidRPr="00C72B12">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{"citationItems":[{"id":"ITEM-1","itemData":{"URL":"http://energystorage.org/energy-storage/case-studies/frequency-regulation-services-and-firm-wind-product-aes-energy-storage","author":[{"dropping-particle":"","family":"Energy Storage Association","given":"","non-dropping-particle":"","parse-names":false,"suffix":""}],"id":"ITEM-1","issued":{"date-parts":[["2018"]]},"page":"1-2","title":"Frequency Regulation Services and a Firm Wind Product: AES Energy Storage Laurel Mountain Battery Energy Storage","type":"webpage"},"uris":["http://www.mendeley.com/documents/?uuid=e7e05aa4-40ec-477d-820e-622beb82b2d8","http://www.mendeley.com/documents/?uuid=6fdd9f87-4ea8-4ec5-b7d8-77a678edd2e4","http://www.mendeley.com/documents/?uuid=9d6c3288-5833-4495-8c58-65e03a4e4678"]}],"mendeley":{"formattedCitation":"[41]","plainTextFormattedCitation":"[41]","previouslyFormattedCitation":"[41]"},"properties":{"noteIndex":0},"schema":"https://github.com/citation-style-language/schema/raw/master/csl-citation.json"}</w:instrText>
      </w:r>
      <w:r w:rsidR="00C72B12" w:rsidRPr="00C72B12">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[41]</w:t>
      </w:r>
      <w:r w:rsidR="00C72B12" w:rsidRPr="00C72B12">
        <w:rPr>
          <w:rFonts w:ascii="Times New Roman" w:hAnsi="Times New Roman" w:cs="Times New Roman"/>
          <w:sz w:val="24"/>
          <w:lang w:val="en-US"/>
        </w:rPr>
        <w:fldChar w:fldCharType="end"/>
      </w:r>
      <w:r w:rsidR="00C72B12">
        <w:rPr>
          <w:rFonts w:ascii="Times New Roman" w:hAnsi="Times New Roman" w:cs="Times New Roman"/>
          <w:sz w:val="24"/>
          <w:lang w:val="en-US"/>
        </w:rPr>
        <w:t xml:space="preserve"> </w:t>
      </w:r>
      <w:r>
        <w:rPr>
          <w:rFonts w:ascii="Times New Roman" w:hAnsi="Times New Roman" w:cs="Times New Roman"/>
          <w:sz w:val="24"/>
          <w:lang w:val="en-US"/>
        </w:rPr>
        <w:t xml:space="preserve">are designed for frequency regulation and with high power to energy ratio compared to the Tesla </w:t>
      </w:r>
      <w:r w:rsidRPr="00C45F4B">
        <w:rPr>
          <w:rFonts w:ascii="Times New Roman" w:hAnsi="Times New Roman" w:cs="Times New Roman"/>
          <w:sz w:val="24"/>
          <w:lang w:val="en-US"/>
        </w:rPr>
        <w:t>grid-scale LIB storage system</w:t>
      </w:r>
      <w:r>
        <w:rPr>
          <w:rFonts w:ascii="Times New Roman" w:hAnsi="Times New Roman" w:cs="Times New Roman"/>
          <w:sz w:val="24"/>
          <w:lang w:val="en-US"/>
        </w:rPr>
        <w:t xml:space="preserve"> which are designed for peak shaving with a low power to energy ratio.</w:t>
      </w:r>
    </w:p>
    <w:p w14:paraId="73341685" w14:textId="26E2ADBC" w:rsidR="00327C94" w:rsidRPr="00E60026" w:rsidRDefault="00A75022" w:rsidP="00E06D29">
      <w:pPr>
        <w:rPr>
          <w:rFonts w:ascii="Times New Roman" w:hAnsi="Times New Roman" w:cs="Times New Roman"/>
          <w:b/>
          <w:i/>
          <w:color w:val="44546A" w:themeColor="text2"/>
          <w:lang w:val="en-US"/>
        </w:rPr>
      </w:pPr>
      <w:bookmarkStart w:id="82" w:name="_Ref527928442"/>
      <w:proofErr w:type="gramStart"/>
      <w:r w:rsidRPr="00E60026">
        <w:rPr>
          <w:rFonts w:ascii="Times New Roman" w:hAnsi="Times New Roman" w:cs="Times New Roman"/>
          <w:b/>
          <w:i/>
          <w:color w:val="44546A" w:themeColor="text2"/>
          <w:lang w:val="en-US"/>
        </w:rPr>
        <w:t xml:space="preserve">Table </w:t>
      </w:r>
      <w:r w:rsidRPr="004E7381">
        <w:rPr>
          <w:rFonts w:ascii="Times New Roman" w:hAnsi="Times New Roman" w:cs="Times New Roman"/>
          <w:b/>
          <w:i/>
          <w:color w:val="44546A" w:themeColor="text2"/>
        </w:rPr>
        <w:fldChar w:fldCharType="begin"/>
      </w:r>
      <w:r w:rsidRPr="00E60026">
        <w:rPr>
          <w:rFonts w:ascii="Times New Roman" w:hAnsi="Times New Roman" w:cs="Times New Roman"/>
          <w:b/>
          <w:i/>
          <w:color w:val="44546A" w:themeColor="text2"/>
          <w:lang w:val="en-US"/>
        </w:rPr>
        <w:instrText xml:space="preserve"> SEQ Table \* ARABIC </w:instrText>
      </w:r>
      <w:r w:rsidRPr="004E7381">
        <w:rPr>
          <w:rFonts w:ascii="Times New Roman" w:hAnsi="Times New Roman" w:cs="Times New Roman"/>
          <w:b/>
          <w:i/>
          <w:color w:val="44546A" w:themeColor="text2"/>
        </w:rPr>
        <w:fldChar w:fldCharType="separate"/>
      </w:r>
      <w:r w:rsidR="00E60026" w:rsidRPr="00E60026">
        <w:rPr>
          <w:rFonts w:ascii="Times New Roman" w:hAnsi="Times New Roman" w:cs="Times New Roman"/>
          <w:b/>
          <w:i/>
          <w:noProof/>
          <w:color w:val="44546A" w:themeColor="text2"/>
          <w:lang w:val="en-US"/>
        </w:rPr>
        <w:t>3</w:t>
      </w:r>
      <w:r w:rsidRPr="004E7381">
        <w:rPr>
          <w:rFonts w:ascii="Times New Roman" w:hAnsi="Times New Roman" w:cs="Times New Roman"/>
          <w:b/>
          <w:i/>
          <w:color w:val="44546A" w:themeColor="text2"/>
        </w:rPr>
        <w:fldChar w:fldCharType="end"/>
      </w:r>
      <w:bookmarkEnd w:id="82"/>
      <w:r w:rsidR="00503D33" w:rsidRPr="00E60026">
        <w:rPr>
          <w:rFonts w:ascii="Times New Roman" w:hAnsi="Times New Roman" w:cs="Times New Roman"/>
          <w:b/>
          <w:i/>
          <w:color w:val="44546A" w:themeColor="text2"/>
          <w:lang w:val="en-US"/>
        </w:rPr>
        <w:t>.</w:t>
      </w:r>
      <w:proofErr w:type="gramEnd"/>
      <w:r w:rsidRPr="00E60026">
        <w:rPr>
          <w:rFonts w:ascii="Times New Roman" w:hAnsi="Times New Roman" w:cs="Times New Roman"/>
          <w:b/>
          <w:i/>
          <w:color w:val="44546A" w:themeColor="text2"/>
          <w:lang w:val="en-US"/>
        </w:rPr>
        <w:t xml:space="preserve"> </w:t>
      </w:r>
      <w:proofErr w:type="gramStart"/>
      <w:r w:rsidRPr="00E60026">
        <w:rPr>
          <w:rFonts w:ascii="Times New Roman" w:hAnsi="Times New Roman" w:cs="Times New Roman"/>
          <w:b/>
          <w:i/>
          <w:color w:val="44546A" w:themeColor="text2"/>
          <w:lang w:val="en-US"/>
        </w:rPr>
        <w:t>Example of market standard technology for grid-connected LIB systems.</w:t>
      </w:r>
      <w:proofErr w:type="gramEnd"/>
    </w:p>
    <w:tbl>
      <w:tblPr>
        <w:tblStyle w:val="TableGrid"/>
        <w:tblW w:w="5361" w:type="pct"/>
        <w:tblInd w:w="-815" w:type="dxa"/>
        <w:tblLayout w:type="fixed"/>
        <w:tblLook w:val="04A0" w:firstRow="1" w:lastRow="0" w:firstColumn="1" w:lastColumn="0" w:noHBand="0" w:noVBand="1"/>
      </w:tblPr>
      <w:tblGrid>
        <w:gridCol w:w="3903"/>
        <w:gridCol w:w="1419"/>
        <w:gridCol w:w="1272"/>
        <w:gridCol w:w="709"/>
        <w:gridCol w:w="989"/>
        <w:gridCol w:w="991"/>
        <w:gridCol w:w="626"/>
      </w:tblGrid>
      <w:tr w:rsidR="00E06D29" w:rsidRPr="00503D33" w14:paraId="3EA83928" w14:textId="77777777" w:rsidTr="00E06D29">
        <w:tc>
          <w:tcPr>
            <w:tcW w:w="1969" w:type="pct"/>
          </w:tcPr>
          <w:p w14:paraId="57199523" w14:textId="77777777" w:rsidR="007E4B53" w:rsidRPr="00503D33" w:rsidRDefault="007E4B53" w:rsidP="007E4B53">
            <w:pPr>
              <w:jc w:val="center"/>
              <w:rPr>
                <w:rFonts w:ascii="Times New Roman" w:hAnsi="Times New Roman" w:cs="Times New Roman"/>
                <w:lang w:val="en-US"/>
              </w:rPr>
            </w:pPr>
            <w:r w:rsidRPr="00503D33">
              <w:rPr>
                <w:rFonts w:ascii="Times New Roman" w:hAnsi="Times New Roman" w:cs="Times New Roman"/>
                <w:lang w:val="en-US"/>
              </w:rPr>
              <w:t>Image</w:t>
            </w:r>
          </w:p>
        </w:tc>
        <w:tc>
          <w:tcPr>
            <w:tcW w:w="716" w:type="pct"/>
          </w:tcPr>
          <w:p w14:paraId="0B7B51D6" w14:textId="77777777" w:rsidR="007E4B53" w:rsidRPr="00503D33" w:rsidRDefault="007E4B53" w:rsidP="007E4B53">
            <w:pPr>
              <w:jc w:val="center"/>
              <w:rPr>
                <w:rFonts w:ascii="Times New Roman" w:hAnsi="Times New Roman" w:cs="Times New Roman"/>
                <w:lang w:val="en-US"/>
              </w:rPr>
            </w:pPr>
            <w:r w:rsidRPr="00503D33">
              <w:rPr>
                <w:rFonts w:ascii="Times New Roman" w:hAnsi="Times New Roman" w:cs="Times New Roman"/>
                <w:lang w:val="en-US"/>
              </w:rPr>
              <w:t>Location</w:t>
            </w:r>
          </w:p>
        </w:tc>
        <w:tc>
          <w:tcPr>
            <w:tcW w:w="642" w:type="pct"/>
          </w:tcPr>
          <w:p w14:paraId="14FF245C" w14:textId="77777777" w:rsidR="007E4B53" w:rsidRPr="00503D33" w:rsidRDefault="007E4B53" w:rsidP="007E4B53">
            <w:pPr>
              <w:jc w:val="center"/>
              <w:rPr>
                <w:rFonts w:ascii="Times New Roman" w:hAnsi="Times New Roman" w:cs="Times New Roman"/>
                <w:lang w:val="en-US"/>
              </w:rPr>
            </w:pPr>
            <w:r w:rsidRPr="00503D33">
              <w:rPr>
                <w:rFonts w:ascii="Times New Roman" w:hAnsi="Times New Roman" w:cs="Times New Roman"/>
                <w:lang w:val="en-US"/>
              </w:rPr>
              <w:t>Primary usage</w:t>
            </w:r>
          </w:p>
        </w:tc>
        <w:tc>
          <w:tcPr>
            <w:tcW w:w="358" w:type="pct"/>
          </w:tcPr>
          <w:p w14:paraId="1B2297F2" w14:textId="77777777" w:rsidR="007E4B53" w:rsidRPr="00503D33" w:rsidRDefault="007E4B53" w:rsidP="007E4B53">
            <w:pPr>
              <w:jc w:val="center"/>
              <w:rPr>
                <w:rFonts w:ascii="Times New Roman" w:hAnsi="Times New Roman" w:cs="Times New Roman"/>
                <w:lang w:val="en-US"/>
              </w:rPr>
            </w:pPr>
            <w:r w:rsidRPr="00503D33">
              <w:rPr>
                <w:rFonts w:ascii="Times New Roman" w:hAnsi="Times New Roman" w:cs="Times New Roman"/>
                <w:lang w:val="en-US"/>
              </w:rPr>
              <w:t>Year</w:t>
            </w:r>
          </w:p>
        </w:tc>
        <w:tc>
          <w:tcPr>
            <w:tcW w:w="499" w:type="pct"/>
          </w:tcPr>
          <w:p w14:paraId="192BCD13" w14:textId="77777777" w:rsidR="007E4B53" w:rsidRPr="00503D33" w:rsidRDefault="007E4B53" w:rsidP="007E4B53">
            <w:pPr>
              <w:jc w:val="center"/>
              <w:rPr>
                <w:rFonts w:ascii="Times New Roman" w:hAnsi="Times New Roman" w:cs="Times New Roman"/>
                <w:lang w:val="en-US"/>
              </w:rPr>
            </w:pPr>
            <w:r w:rsidRPr="00503D33">
              <w:rPr>
                <w:rFonts w:ascii="Times New Roman" w:hAnsi="Times New Roman" w:cs="Times New Roman"/>
                <w:lang w:val="en-US"/>
              </w:rPr>
              <w:t>Power capacity</w:t>
            </w:r>
          </w:p>
        </w:tc>
        <w:tc>
          <w:tcPr>
            <w:tcW w:w="500" w:type="pct"/>
          </w:tcPr>
          <w:p w14:paraId="4067012F" w14:textId="77777777" w:rsidR="007E4B53" w:rsidRPr="00503D33" w:rsidRDefault="007E4B53" w:rsidP="007E4B53">
            <w:pPr>
              <w:jc w:val="center"/>
              <w:rPr>
                <w:rFonts w:ascii="Times New Roman" w:hAnsi="Times New Roman" w:cs="Times New Roman"/>
                <w:lang w:val="en-US"/>
              </w:rPr>
            </w:pPr>
            <w:proofErr w:type="spellStart"/>
            <w:r w:rsidRPr="00503D33">
              <w:rPr>
                <w:rFonts w:ascii="Times New Roman" w:hAnsi="Times New Roman" w:cs="Times New Roman"/>
                <w:lang w:val="en-US"/>
              </w:rPr>
              <w:t>Techn</w:t>
            </w:r>
            <w:proofErr w:type="spellEnd"/>
            <w:r w:rsidRPr="00503D33">
              <w:rPr>
                <w:rFonts w:ascii="Times New Roman" w:hAnsi="Times New Roman" w:cs="Times New Roman"/>
                <w:lang w:val="en-US"/>
              </w:rPr>
              <w:t>. provider</w:t>
            </w:r>
          </w:p>
        </w:tc>
        <w:tc>
          <w:tcPr>
            <w:tcW w:w="316" w:type="pct"/>
          </w:tcPr>
          <w:p w14:paraId="4AA53327" w14:textId="77777777" w:rsidR="007E4B53" w:rsidRPr="00503D33" w:rsidRDefault="007E4B53" w:rsidP="007E4B53">
            <w:pPr>
              <w:jc w:val="center"/>
              <w:rPr>
                <w:rFonts w:ascii="Times New Roman" w:hAnsi="Times New Roman" w:cs="Times New Roman"/>
                <w:lang w:val="en-US"/>
              </w:rPr>
            </w:pPr>
            <w:r w:rsidRPr="00503D33">
              <w:rPr>
                <w:rFonts w:ascii="Times New Roman" w:hAnsi="Times New Roman" w:cs="Times New Roman"/>
                <w:lang w:val="en-US"/>
              </w:rPr>
              <w:t>Ref.</w:t>
            </w:r>
          </w:p>
        </w:tc>
      </w:tr>
      <w:tr w:rsidR="00E06D29" w:rsidRPr="009A64AC" w14:paraId="74E72C2D" w14:textId="77777777" w:rsidTr="00E06D29">
        <w:tc>
          <w:tcPr>
            <w:tcW w:w="1969" w:type="pct"/>
          </w:tcPr>
          <w:p w14:paraId="56A59324" w14:textId="77777777" w:rsidR="007E4B53" w:rsidRPr="00503D33" w:rsidRDefault="007E4B53" w:rsidP="007E4B53">
            <w:pPr>
              <w:jc w:val="center"/>
              <w:rPr>
                <w:rFonts w:ascii="Times New Roman" w:hAnsi="Times New Roman" w:cs="Times New Roman"/>
                <w:lang w:val="en-US"/>
              </w:rPr>
            </w:pPr>
            <w:r w:rsidRPr="009A64AC">
              <w:rPr>
                <w:rFonts w:ascii="Times New Roman" w:hAnsi="Times New Roman" w:cs="Times New Roman"/>
                <w:noProof/>
                <w:lang w:eastAsia="da-DK"/>
              </w:rPr>
              <w:drawing>
                <wp:inline distT="0" distB="0" distL="0" distR="0" wp14:anchorId="607A67F5" wp14:editId="08F536B7">
                  <wp:extent cx="2387326" cy="164374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04078" cy="1655277"/>
                          </a:xfrm>
                          <a:prstGeom prst="rect">
                            <a:avLst/>
                          </a:prstGeom>
                        </pic:spPr>
                      </pic:pic>
                    </a:graphicData>
                  </a:graphic>
                </wp:inline>
              </w:drawing>
            </w:r>
          </w:p>
        </w:tc>
        <w:tc>
          <w:tcPr>
            <w:tcW w:w="716" w:type="pct"/>
          </w:tcPr>
          <w:p w14:paraId="290A9D3A" w14:textId="77777777" w:rsidR="007E4B53" w:rsidRPr="009A64AC" w:rsidRDefault="007E4B53" w:rsidP="007E4B53">
            <w:pPr>
              <w:jc w:val="center"/>
              <w:rPr>
                <w:rFonts w:ascii="Times New Roman" w:hAnsi="Times New Roman" w:cs="Times New Roman"/>
                <w:lang w:val="en-US"/>
              </w:rPr>
            </w:pPr>
            <w:proofErr w:type="spellStart"/>
            <w:r w:rsidRPr="009A64AC">
              <w:rPr>
                <w:rFonts w:ascii="Times New Roman" w:hAnsi="Times New Roman" w:cs="Times New Roman"/>
                <w:lang w:val="en-US"/>
              </w:rPr>
              <w:t>Energylab</w:t>
            </w:r>
            <w:proofErr w:type="spellEnd"/>
            <w:r w:rsidRPr="009A64AC">
              <w:rPr>
                <w:rFonts w:ascii="Times New Roman" w:hAnsi="Times New Roman" w:cs="Times New Roman"/>
                <w:lang w:val="en-US"/>
              </w:rPr>
              <w:t xml:space="preserve"> </w:t>
            </w:r>
            <w:proofErr w:type="spellStart"/>
            <w:r w:rsidRPr="009A64AC">
              <w:rPr>
                <w:rFonts w:ascii="Times New Roman" w:hAnsi="Times New Roman" w:cs="Times New Roman"/>
                <w:lang w:val="en-US"/>
              </w:rPr>
              <w:t>Nordhavn</w:t>
            </w:r>
            <w:proofErr w:type="spellEnd"/>
            <w:r w:rsidRPr="009A64AC">
              <w:rPr>
                <w:rFonts w:ascii="Times New Roman" w:hAnsi="Times New Roman" w:cs="Times New Roman"/>
                <w:lang w:val="en-US"/>
              </w:rPr>
              <w:t>, Copenhagen, Denmark</w:t>
            </w:r>
          </w:p>
        </w:tc>
        <w:tc>
          <w:tcPr>
            <w:tcW w:w="642" w:type="pct"/>
          </w:tcPr>
          <w:p w14:paraId="173E890C"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Frequency Regulation</w:t>
            </w:r>
          </w:p>
          <w:p w14:paraId="551C5611" w14:textId="77777777" w:rsidR="007E4B53" w:rsidRPr="009A64AC" w:rsidRDefault="007E4B53" w:rsidP="007E4B53">
            <w:pPr>
              <w:jc w:val="center"/>
              <w:rPr>
                <w:rFonts w:ascii="Times New Roman" w:hAnsi="Times New Roman" w:cs="Times New Roman"/>
                <w:lang w:val="en-US"/>
              </w:rPr>
            </w:pPr>
          </w:p>
          <w:p w14:paraId="3B1EB9AB"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Peak Shaving</w:t>
            </w:r>
          </w:p>
          <w:p w14:paraId="24C5B9C0" w14:textId="77777777" w:rsidR="007E4B53" w:rsidRPr="009A64AC" w:rsidRDefault="007E4B53" w:rsidP="007E4B53">
            <w:pPr>
              <w:jc w:val="center"/>
              <w:rPr>
                <w:rFonts w:ascii="Times New Roman" w:hAnsi="Times New Roman" w:cs="Times New Roman"/>
                <w:lang w:val="en-US"/>
              </w:rPr>
            </w:pPr>
          </w:p>
          <w:p w14:paraId="5073D26A"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Voltage Regulation</w:t>
            </w:r>
          </w:p>
          <w:p w14:paraId="065C1A48" w14:textId="77777777" w:rsidR="007E4B53" w:rsidRPr="009A64AC" w:rsidRDefault="007E4B53" w:rsidP="007E4B53">
            <w:pPr>
              <w:jc w:val="center"/>
              <w:rPr>
                <w:rFonts w:ascii="Times New Roman" w:hAnsi="Times New Roman" w:cs="Times New Roman"/>
                <w:lang w:val="en-US"/>
              </w:rPr>
            </w:pPr>
          </w:p>
          <w:p w14:paraId="1668F39B" w14:textId="77777777" w:rsidR="007E4B53" w:rsidRPr="009A64AC" w:rsidRDefault="007E4B53" w:rsidP="007E4B53">
            <w:pPr>
              <w:jc w:val="center"/>
              <w:rPr>
                <w:rFonts w:ascii="Times New Roman" w:hAnsi="Times New Roman" w:cs="Times New Roman"/>
              </w:rPr>
            </w:pPr>
            <w:proofErr w:type="spellStart"/>
            <w:r w:rsidRPr="009A64AC">
              <w:rPr>
                <w:rFonts w:ascii="Times New Roman" w:hAnsi="Times New Roman" w:cs="Times New Roman"/>
              </w:rPr>
              <w:t>Harmonic</w:t>
            </w:r>
            <w:proofErr w:type="spellEnd"/>
            <w:r w:rsidRPr="009A64AC">
              <w:rPr>
                <w:rFonts w:ascii="Times New Roman" w:hAnsi="Times New Roman" w:cs="Times New Roman"/>
              </w:rPr>
              <w:t xml:space="preserve"> </w:t>
            </w:r>
            <w:proofErr w:type="spellStart"/>
            <w:r w:rsidRPr="009A64AC">
              <w:rPr>
                <w:rFonts w:ascii="Times New Roman" w:hAnsi="Times New Roman" w:cs="Times New Roman"/>
              </w:rPr>
              <w:t>Filtering</w:t>
            </w:r>
            <w:proofErr w:type="spellEnd"/>
          </w:p>
        </w:tc>
        <w:tc>
          <w:tcPr>
            <w:tcW w:w="358" w:type="pct"/>
          </w:tcPr>
          <w:p w14:paraId="535644AB"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2017</w:t>
            </w:r>
          </w:p>
        </w:tc>
        <w:tc>
          <w:tcPr>
            <w:tcW w:w="499" w:type="pct"/>
          </w:tcPr>
          <w:p w14:paraId="2F953947"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630 kW</w:t>
            </w:r>
          </w:p>
          <w:p w14:paraId="0AC31484" w14:textId="77777777" w:rsidR="007E4B53" w:rsidRPr="009A64AC" w:rsidRDefault="007E4B53" w:rsidP="007E4B53">
            <w:pPr>
              <w:jc w:val="center"/>
              <w:rPr>
                <w:rFonts w:ascii="Times New Roman" w:hAnsi="Times New Roman" w:cs="Times New Roman"/>
              </w:rPr>
            </w:pPr>
          </w:p>
          <w:p w14:paraId="78F6B682"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460 kWh</w:t>
            </w:r>
          </w:p>
          <w:p w14:paraId="2BC4A006" w14:textId="77777777" w:rsidR="007E4B53" w:rsidRPr="009A64AC" w:rsidRDefault="007E4B53" w:rsidP="007E4B53">
            <w:pPr>
              <w:jc w:val="center"/>
              <w:rPr>
                <w:rFonts w:ascii="Times New Roman" w:hAnsi="Times New Roman" w:cs="Times New Roman"/>
              </w:rPr>
            </w:pPr>
          </w:p>
          <w:p w14:paraId="313BD754"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NMC</w:t>
            </w:r>
          </w:p>
        </w:tc>
        <w:tc>
          <w:tcPr>
            <w:tcW w:w="500" w:type="pct"/>
          </w:tcPr>
          <w:p w14:paraId="5FC0807D"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 xml:space="preserve">ABB for Radius </w:t>
            </w:r>
            <w:proofErr w:type="spellStart"/>
            <w:r w:rsidRPr="009A64AC">
              <w:rPr>
                <w:rFonts w:ascii="Times New Roman" w:hAnsi="Times New Roman" w:cs="Times New Roman"/>
              </w:rPr>
              <w:t>Elnet</w:t>
            </w:r>
            <w:proofErr w:type="spellEnd"/>
            <w:r w:rsidRPr="009A64AC">
              <w:rPr>
                <w:rFonts w:ascii="Times New Roman" w:hAnsi="Times New Roman" w:cs="Times New Roman"/>
              </w:rPr>
              <w:t xml:space="preserve"> / Ørsted</w:t>
            </w:r>
          </w:p>
        </w:tc>
        <w:tc>
          <w:tcPr>
            <w:tcW w:w="316" w:type="pct"/>
          </w:tcPr>
          <w:p w14:paraId="770E267B" w14:textId="0E30AA1C" w:rsidR="007E4B53" w:rsidRPr="009A64AC" w:rsidRDefault="007E4B53" w:rsidP="004646E5">
            <w:pPr>
              <w:jc w:val="center"/>
              <w:rPr>
                <w:rFonts w:ascii="Times New Roman" w:hAnsi="Times New Roman" w:cs="Times New Roman"/>
              </w:rPr>
            </w:pPr>
            <w:r w:rsidRPr="009A64AC">
              <w:rPr>
                <w:rFonts w:ascii="Times New Roman" w:hAnsi="Times New Roman" w:cs="Times New Roman"/>
              </w:rPr>
              <w:fldChar w:fldCharType="begin" w:fldLock="1"/>
            </w:r>
            <w:r w:rsidR="001A7298">
              <w:rPr>
                <w:rFonts w:ascii="Times New Roman" w:hAnsi="Times New Roman" w:cs="Times New Roman"/>
              </w:rPr>
              <w:instrText>ADDIN CSL_CITATION {"citationItems":[{"id":"ITEM-1","itemData":{"author":[{"dropping-particle":"","family":"ABB","given":"","non-dropping-particle":"","parse-names":false,"suffix":""}],"id":"ITEM-1","issued":{"date-parts":[["2018"]]},"title":"Battery energy storage system PQpluS","type":"article"},"uris":["http://www.mendeley.com/documents/?uuid=b2f5a57a-e619-4fbf-b510-64537600914b","http://www.mendeley.com/documents/?uuid=720c12ea-0108-4b09-b372-15aa878134ba","http://www.mendeley.com/documents/?uuid=19872c91-dcc7-4441-a92a-b101c30abb28"]}],"mendeley":{"formattedCitation":"[42]","plainTextFormattedCitation":"[42]","previouslyFormattedCitation":"[42]"},"properties":{"noteIndex":0},"schema":"https://github.com/citation-style-language/schema/raw/master/csl-citation.json"}</w:instrText>
            </w:r>
            <w:r w:rsidRPr="009A64AC">
              <w:rPr>
                <w:rFonts w:ascii="Times New Roman" w:hAnsi="Times New Roman" w:cs="Times New Roman"/>
              </w:rPr>
              <w:fldChar w:fldCharType="separate"/>
            </w:r>
            <w:r w:rsidR="00B60186" w:rsidRPr="00B60186">
              <w:rPr>
                <w:rFonts w:ascii="Times New Roman" w:hAnsi="Times New Roman" w:cs="Times New Roman"/>
                <w:noProof/>
              </w:rPr>
              <w:t>[42]</w:t>
            </w:r>
            <w:r w:rsidRPr="009A64AC">
              <w:rPr>
                <w:rFonts w:ascii="Times New Roman" w:hAnsi="Times New Roman" w:cs="Times New Roman"/>
              </w:rPr>
              <w:fldChar w:fldCharType="end"/>
            </w:r>
          </w:p>
        </w:tc>
      </w:tr>
      <w:tr w:rsidR="00E06D29" w:rsidRPr="009A64AC" w14:paraId="0F96C9B9" w14:textId="77777777" w:rsidTr="00E06D29">
        <w:tc>
          <w:tcPr>
            <w:tcW w:w="1969" w:type="pct"/>
          </w:tcPr>
          <w:p w14:paraId="63969EF9"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noProof/>
                <w:lang w:eastAsia="da-DK"/>
              </w:rPr>
              <w:drawing>
                <wp:inline distT="0" distB="0" distL="0" distR="0" wp14:anchorId="52661497" wp14:editId="629939F9">
                  <wp:extent cx="2412574" cy="1436914"/>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20391" cy="1441570"/>
                          </a:xfrm>
                          <a:prstGeom prst="rect">
                            <a:avLst/>
                          </a:prstGeom>
                        </pic:spPr>
                      </pic:pic>
                    </a:graphicData>
                  </a:graphic>
                </wp:inline>
              </w:drawing>
            </w:r>
          </w:p>
        </w:tc>
        <w:tc>
          <w:tcPr>
            <w:tcW w:w="716" w:type="pct"/>
          </w:tcPr>
          <w:p w14:paraId="245DB490" w14:textId="77777777" w:rsidR="007E4B53" w:rsidRPr="009A64AC" w:rsidRDefault="007E4B53" w:rsidP="007E4B53">
            <w:pPr>
              <w:jc w:val="center"/>
              <w:rPr>
                <w:rFonts w:ascii="Times New Roman" w:hAnsi="Times New Roman" w:cs="Times New Roman"/>
                <w:lang w:val="en-US"/>
              </w:rPr>
            </w:pPr>
            <w:proofErr w:type="spellStart"/>
            <w:r w:rsidRPr="009A64AC">
              <w:rPr>
                <w:rFonts w:ascii="Times New Roman" w:hAnsi="Times New Roman" w:cs="Times New Roman"/>
                <w:lang w:val="en-US"/>
              </w:rPr>
              <w:t>Lem</w:t>
            </w:r>
            <w:proofErr w:type="spellEnd"/>
            <w:r w:rsidRPr="009A64AC">
              <w:rPr>
                <w:rFonts w:ascii="Times New Roman" w:hAnsi="Times New Roman" w:cs="Times New Roman"/>
                <w:lang w:val="en-US"/>
              </w:rPr>
              <w:t xml:space="preserve"> </w:t>
            </w:r>
            <w:proofErr w:type="spellStart"/>
            <w:r w:rsidRPr="009A64AC">
              <w:rPr>
                <w:rFonts w:ascii="Times New Roman" w:hAnsi="Times New Roman" w:cs="Times New Roman"/>
                <w:lang w:val="en-US"/>
              </w:rPr>
              <w:t>Kær</w:t>
            </w:r>
            <w:proofErr w:type="spellEnd"/>
            <w:r w:rsidRPr="009A64AC">
              <w:rPr>
                <w:rFonts w:ascii="Times New Roman" w:hAnsi="Times New Roman" w:cs="Times New Roman"/>
                <w:lang w:val="en-US"/>
              </w:rPr>
              <w:t xml:space="preserve"> Wind Farm,</w:t>
            </w:r>
          </w:p>
          <w:p w14:paraId="39E4C6B0"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Denmark</w:t>
            </w:r>
          </w:p>
        </w:tc>
        <w:tc>
          <w:tcPr>
            <w:tcW w:w="642" w:type="pct"/>
          </w:tcPr>
          <w:p w14:paraId="18A727A1" w14:textId="77777777" w:rsidR="007E4B53" w:rsidRPr="009A64AC" w:rsidRDefault="007E4B53" w:rsidP="007E4B53">
            <w:pPr>
              <w:jc w:val="center"/>
              <w:rPr>
                <w:rFonts w:ascii="Times New Roman" w:hAnsi="Times New Roman" w:cs="Times New Roman"/>
              </w:rPr>
            </w:pPr>
            <w:proofErr w:type="spellStart"/>
            <w:r w:rsidRPr="009A64AC">
              <w:rPr>
                <w:rFonts w:ascii="Times New Roman" w:hAnsi="Times New Roman" w:cs="Times New Roman"/>
              </w:rPr>
              <w:t>Frequency</w:t>
            </w:r>
            <w:proofErr w:type="spellEnd"/>
            <w:r w:rsidRPr="009A64AC">
              <w:rPr>
                <w:rFonts w:ascii="Times New Roman" w:hAnsi="Times New Roman" w:cs="Times New Roman"/>
              </w:rPr>
              <w:t xml:space="preserve"> </w:t>
            </w:r>
            <w:proofErr w:type="spellStart"/>
            <w:r w:rsidRPr="009A64AC">
              <w:rPr>
                <w:rFonts w:ascii="Times New Roman" w:hAnsi="Times New Roman" w:cs="Times New Roman"/>
              </w:rPr>
              <w:t>regulation</w:t>
            </w:r>
            <w:proofErr w:type="spellEnd"/>
          </w:p>
        </w:tc>
        <w:tc>
          <w:tcPr>
            <w:tcW w:w="358" w:type="pct"/>
          </w:tcPr>
          <w:p w14:paraId="5FA80F39"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2014</w:t>
            </w:r>
          </w:p>
        </w:tc>
        <w:tc>
          <w:tcPr>
            <w:tcW w:w="499" w:type="pct"/>
          </w:tcPr>
          <w:p w14:paraId="4D5CDF57"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400kW LFP and 1.2MW LTO</w:t>
            </w:r>
          </w:p>
          <w:p w14:paraId="7EF0DA14" w14:textId="77777777" w:rsidR="007E4B53" w:rsidRPr="009A64AC" w:rsidRDefault="007E4B53" w:rsidP="007E4B53">
            <w:pPr>
              <w:rPr>
                <w:rFonts w:ascii="Times New Roman" w:hAnsi="Times New Roman" w:cs="Times New Roman"/>
                <w:lang w:val="en-US"/>
              </w:rPr>
            </w:pPr>
          </w:p>
          <w:p w14:paraId="78EB2A6C" w14:textId="77777777" w:rsidR="007E4B53" w:rsidRPr="009A64AC" w:rsidRDefault="007E4B53" w:rsidP="007E4B53">
            <w:pPr>
              <w:rPr>
                <w:rFonts w:ascii="Times New Roman" w:hAnsi="Times New Roman" w:cs="Times New Roman"/>
                <w:lang w:val="en-US"/>
              </w:rPr>
            </w:pPr>
          </w:p>
        </w:tc>
        <w:tc>
          <w:tcPr>
            <w:tcW w:w="500" w:type="pct"/>
          </w:tcPr>
          <w:p w14:paraId="70C7667F" w14:textId="77777777" w:rsidR="007E4B53" w:rsidRPr="009A64AC" w:rsidRDefault="007E4B53" w:rsidP="007E4B53">
            <w:pPr>
              <w:jc w:val="center"/>
              <w:rPr>
                <w:rFonts w:ascii="Times New Roman" w:hAnsi="Times New Roman" w:cs="Times New Roman"/>
                <w:lang w:val="en-US"/>
              </w:rPr>
            </w:pPr>
            <w:proofErr w:type="spellStart"/>
            <w:r w:rsidRPr="009A64AC">
              <w:rPr>
                <w:rFonts w:ascii="Times New Roman" w:hAnsi="Times New Roman" w:cs="Times New Roman"/>
                <w:lang w:val="en-US"/>
              </w:rPr>
              <w:t>Altairnano</w:t>
            </w:r>
            <w:proofErr w:type="spellEnd"/>
            <w:r w:rsidRPr="009A64AC">
              <w:rPr>
                <w:rFonts w:ascii="Times New Roman" w:hAnsi="Times New Roman" w:cs="Times New Roman"/>
                <w:lang w:val="en-US"/>
              </w:rPr>
              <w:t xml:space="preserve"> and A123 for Vestas</w:t>
            </w:r>
          </w:p>
        </w:tc>
        <w:tc>
          <w:tcPr>
            <w:tcW w:w="316" w:type="pct"/>
          </w:tcPr>
          <w:p w14:paraId="2CB3FA51" w14:textId="06C313D8" w:rsidR="007E4B53" w:rsidRPr="009A64AC" w:rsidRDefault="007E4B53" w:rsidP="004646E5">
            <w:pPr>
              <w:jc w:val="center"/>
              <w:rPr>
                <w:rFonts w:ascii="Times New Roman" w:hAnsi="Times New Roman" w:cs="Times New Roman"/>
                <w:lang w:val="en-US"/>
              </w:rPr>
            </w:pPr>
            <w:r w:rsidRPr="009A64AC">
              <w:rPr>
                <w:rFonts w:ascii="Times New Roman" w:hAnsi="Times New Roman" w:cs="Times New Roman"/>
                <w:lang w:val="en-US"/>
              </w:rPr>
              <w:fldChar w:fldCharType="begin" w:fldLock="1"/>
            </w:r>
            <w:r w:rsidR="001A7298">
              <w:rPr>
                <w:rFonts w:ascii="Times New Roman" w:hAnsi="Times New Roman" w:cs="Times New Roman"/>
                <w:lang w:val="en-US"/>
              </w:rPr>
              <w:instrText>ADDIN CSL_CITATION {"citationItems":[{"id":"ITEM-1","itemData":{"URL":"https://www.ieee-pes.org/presentations/gm2014/PESGM2014P-000718.pdf","author":[{"dropping-particle":"","family":"Saylors","given":"Steven","non-dropping-particle":"","parse-names":false,"suffix":""}],"id":"ITEM-1","issued":{"date-parts":[["2014"]]},"title":"Ancillary Services Provided from Wind Power Plant Augmented with Energy Storage","type":"webpage"},"uris":["http://www.mendeley.com/documents/?uuid=b779a975-2dfd-4292-9bb5-cada50e7119f","http://www.mendeley.com/documents/?uuid=92b66a36-e9cf-41ce-b415-edd030bfde95","http://www.mendeley.com/documents/?uuid=ce65933c-e2e1-4ebd-a104-ff6c3424d443"]}],"mendeley":{"formattedCitation":"[43]","plainTextFormattedCitation":"[43]","previouslyFormattedCitation":"[43]"},"properties":{"noteIndex":0},"schema":"https://github.com/citation-style-language/schema/raw/master/csl-citation.json"}</w:instrText>
            </w:r>
            <w:r w:rsidRPr="009A64AC">
              <w:rPr>
                <w:rFonts w:ascii="Times New Roman" w:hAnsi="Times New Roman" w:cs="Times New Roman"/>
                <w:lang w:val="en-US"/>
              </w:rPr>
              <w:fldChar w:fldCharType="separate"/>
            </w:r>
            <w:r w:rsidR="00B60186" w:rsidRPr="00B60186">
              <w:rPr>
                <w:rFonts w:ascii="Times New Roman" w:hAnsi="Times New Roman" w:cs="Times New Roman"/>
                <w:noProof/>
                <w:lang w:val="en-US"/>
              </w:rPr>
              <w:t>[43]</w:t>
            </w:r>
            <w:r w:rsidRPr="009A64AC">
              <w:rPr>
                <w:rFonts w:ascii="Times New Roman" w:hAnsi="Times New Roman" w:cs="Times New Roman"/>
                <w:lang w:val="en-US"/>
              </w:rPr>
              <w:fldChar w:fldCharType="end"/>
            </w:r>
          </w:p>
        </w:tc>
      </w:tr>
      <w:tr w:rsidR="00E06D29" w:rsidRPr="009A64AC" w14:paraId="27DEECBC" w14:textId="77777777" w:rsidTr="00E06D29">
        <w:tc>
          <w:tcPr>
            <w:tcW w:w="1969" w:type="pct"/>
          </w:tcPr>
          <w:p w14:paraId="26C57EF2"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noProof/>
                <w:lang w:eastAsia="da-DK"/>
              </w:rPr>
              <w:drawing>
                <wp:inline distT="0" distB="0" distL="0" distR="0" wp14:anchorId="39C7F988" wp14:editId="65FBC8C8">
                  <wp:extent cx="2416629" cy="1266756"/>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20393" cy="1268729"/>
                          </a:xfrm>
                          <a:prstGeom prst="rect">
                            <a:avLst/>
                          </a:prstGeom>
                        </pic:spPr>
                      </pic:pic>
                    </a:graphicData>
                  </a:graphic>
                </wp:inline>
              </w:drawing>
            </w:r>
          </w:p>
        </w:tc>
        <w:tc>
          <w:tcPr>
            <w:tcW w:w="716" w:type="pct"/>
          </w:tcPr>
          <w:p w14:paraId="01A3E15C"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Mira Loma Substation, California, USA</w:t>
            </w:r>
          </w:p>
        </w:tc>
        <w:tc>
          <w:tcPr>
            <w:tcW w:w="642" w:type="pct"/>
          </w:tcPr>
          <w:p w14:paraId="070938ED"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Peak Shaving</w:t>
            </w:r>
          </w:p>
        </w:tc>
        <w:tc>
          <w:tcPr>
            <w:tcW w:w="358" w:type="pct"/>
          </w:tcPr>
          <w:p w14:paraId="07D99FEA"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2016</w:t>
            </w:r>
          </w:p>
        </w:tc>
        <w:tc>
          <w:tcPr>
            <w:tcW w:w="499" w:type="pct"/>
          </w:tcPr>
          <w:p w14:paraId="42D87B62"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20</w:t>
            </w:r>
          </w:p>
          <w:p w14:paraId="0602369C"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 xml:space="preserve">MW </w:t>
            </w:r>
          </w:p>
          <w:p w14:paraId="1DF5ABEE" w14:textId="77777777" w:rsidR="007E4B53" w:rsidRPr="009A64AC" w:rsidRDefault="007E4B53" w:rsidP="007E4B53">
            <w:pPr>
              <w:jc w:val="center"/>
              <w:rPr>
                <w:rFonts w:ascii="Times New Roman" w:hAnsi="Times New Roman" w:cs="Times New Roman"/>
              </w:rPr>
            </w:pPr>
          </w:p>
          <w:p w14:paraId="74D19835"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80</w:t>
            </w:r>
          </w:p>
          <w:p w14:paraId="27C925C9"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rPr>
              <w:t>MWh</w:t>
            </w:r>
          </w:p>
        </w:tc>
        <w:tc>
          <w:tcPr>
            <w:tcW w:w="500" w:type="pct"/>
          </w:tcPr>
          <w:p w14:paraId="6ABB65A9" w14:textId="77777777" w:rsidR="007E4B53" w:rsidRPr="009A64AC" w:rsidRDefault="007E4B53" w:rsidP="007E4B53">
            <w:pPr>
              <w:jc w:val="center"/>
              <w:rPr>
                <w:rFonts w:ascii="Times New Roman" w:hAnsi="Times New Roman" w:cs="Times New Roman"/>
              </w:rPr>
            </w:pPr>
            <w:proofErr w:type="spellStart"/>
            <w:r w:rsidRPr="009A64AC">
              <w:rPr>
                <w:rFonts w:ascii="Times New Roman" w:hAnsi="Times New Roman" w:cs="Times New Roman"/>
              </w:rPr>
              <w:t>Tesla</w:t>
            </w:r>
            <w:proofErr w:type="spellEnd"/>
          </w:p>
        </w:tc>
        <w:tc>
          <w:tcPr>
            <w:tcW w:w="316" w:type="pct"/>
          </w:tcPr>
          <w:p w14:paraId="3237F5D6" w14:textId="093D266E" w:rsidR="007E4B53" w:rsidRPr="009A64AC" w:rsidRDefault="00C72B12" w:rsidP="004646E5">
            <w:pPr>
              <w:jc w:val="center"/>
              <w:rPr>
                <w:rFonts w:ascii="Times New Roman" w:hAnsi="Times New Roman" w:cs="Times New Roman"/>
              </w:rPr>
            </w:pPr>
            <w:r>
              <w:rPr>
                <w:rFonts w:ascii="Times New Roman" w:hAnsi="Times New Roman" w:cs="Times New Roman"/>
              </w:rPr>
              <w:fldChar w:fldCharType="begin" w:fldLock="1"/>
            </w:r>
            <w:r w:rsidR="001A7298">
              <w:rPr>
                <w:rFonts w:ascii="Times New Roman" w:hAnsi="Times New Roman" w:cs="Times New Roman"/>
              </w:rPr>
              <w:instrText>ADDIN CSL_CITATION {"citationItems":[{"id":"ITEM-1","itemData":{"URL":"https://www.tesla.com/da_DK/blog/addressing-peak-energy-demand-tesla-powerpack?redirect=no","author":[{"dropping-particle":"","family":"Tesla","given":"","non-dropping-particle":"","parse-names":false,"suffix":""}],"id":"ITEM-1","issued":{"date-parts":[["2018"]]},"title":"Addressing Peak Energy Demand with the Tesla Powerpack","type":"webpage"},"uris":["http://www.mendeley.com/documents/?uuid=dbfdbf88-4e9a-4756-8169-f99ef6ec935b","http://www.mendeley.com/documents/?uuid=717872be-787f-428f-98cc-ec10ab505c37","http://www.mendeley.com/documents/?uuid=de79d3f3-f9c0-451b-8730-db82fbf8c48d"]},{"id":"ITEM-2","itemData":{"URL":"https://electrek.co/2017/01/23/tesla-mira-loma-powerpack-station-southern-california-edison/","accessed":{"date-parts":[["2018","10","30"]]},"id":"ITEM-2","issued":{"date-parts":[["0"]]},"title":"Tesla quietly brings online its massive - biggest in the world - 80 MWh Powerpack station with Southern California Edison - Electrek","type":"webpage"},"uris":["http://www.mendeley.com/documents/?uuid=2f24bce3-ef85-3377-ab71-f6e88c755a20"]}],"mendeley":{"formattedCitation":"[38,39]","plainTextFormattedCitation":"[38,39]","previouslyFormattedCitation":"[38,39]"},"properties":{"noteIndex":0},"schema":"https://github.com/citation-style-language/schema/raw/master/csl-citation.json"}</w:instrText>
            </w:r>
            <w:r>
              <w:rPr>
                <w:rFonts w:ascii="Times New Roman" w:hAnsi="Times New Roman" w:cs="Times New Roman"/>
              </w:rPr>
              <w:fldChar w:fldCharType="separate"/>
            </w:r>
            <w:r w:rsidR="00B60186" w:rsidRPr="00B60186">
              <w:rPr>
                <w:rFonts w:ascii="Times New Roman" w:hAnsi="Times New Roman" w:cs="Times New Roman"/>
                <w:noProof/>
              </w:rPr>
              <w:t>[38,39]</w:t>
            </w:r>
            <w:r>
              <w:rPr>
                <w:rFonts w:ascii="Times New Roman" w:hAnsi="Times New Roman" w:cs="Times New Roman"/>
              </w:rPr>
              <w:fldChar w:fldCharType="end"/>
            </w:r>
          </w:p>
        </w:tc>
      </w:tr>
      <w:tr w:rsidR="00E06D29" w:rsidRPr="009A64AC" w14:paraId="306FB7A2" w14:textId="77777777" w:rsidTr="00E06D29">
        <w:tc>
          <w:tcPr>
            <w:tcW w:w="1969" w:type="pct"/>
          </w:tcPr>
          <w:p w14:paraId="2E2CA18B" w14:textId="0241C6FB" w:rsidR="007E4B53" w:rsidRPr="00417C9F" w:rsidRDefault="007E4B53" w:rsidP="00E06D29">
            <w:pPr>
              <w:jc w:val="center"/>
            </w:pPr>
            <w:r>
              <w:fldChar w:fldCharType="begin"/>
            </w:r>
            <w:r w:rsidR="00CA6B9A">
              <w:instrText xml:space="preserve"> INCLUDEPICTURE "C:\\var\\folders\\ff\\4d0pjs191px3xfnpjm0n1v1r0000gn\\T\\com.microsoft.Word\\WebArchiveCopyPasteTempFiles\\australia-powerpack-blog.jpg" \* MERGEFORMAT </w:instrText>
            </w:r>
            <w:r>
              <w:fldChar w:fldCharType="separate"/>
            </w:r>
            <w:r>
              <w:rPr>
                <w:noProof/>
                <w:lang w:eastAsia="da-DK"/>
              </w:rPr>
              <w:drawing>
                <wp:inline distT="0" distB="0" distL="0" distR="0" wp14:anchorId="297DB832" wp14:editId="29006FF4">
                  <wp:extent cx="2394857" cy="1346880"/>
                  <wp:effectExtent l="0" t="0" r="5715" b="5715"/>
                  <wp:docPr id="22" name="Picture 22" descr="/var/folders/ff/4d0pjs191px3xfnpjm0n1v1r0000gn/T/com.microsoft.Word/WebArchiveCopyPasteTempFiles/australia-powerpack-b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ff/4d0pjs191px3xfnpjm0n1v1r0000gn/T/com.microsoft.Word/WebArchiveCopyPasteTempFiles/australia-powerpack-blog.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93647" cy="1346200"/>
                          </a:xfrm>
                          <a:prstGeom prst="rect">
                            <a:avLst/>
                          </a:prstGeom>
                          <a:noFill/>
                          <a:ln>
                            <a:noFill/>
                          </a:ln>
                        </pic:spPr>
                      </pic:pic>
                    </a:graphicData>
                  </a:graphic>
                </wp:inline>
              </w:drawing>
            </w:r>
            <w:r>
              <w:fldChar w:fldCharType="end"/>
            </w:r>
          </w:p>
        </w:tc>
        <w:tc>
          <w:tcPr>
            <w:tcW w:w="716" w:type="pct"/>
          </w:tcPr>
          <w:p w14:paraId="013E22A6" w14:textId="77777777" w:rsidR="007E4B53" w:rsidRDefault="007E4B53" w:rsidP="007E4B53">
            <w:pPr>
              <w:jc w:val="center"/>
              <w:rPr>
                <w:rFonts w:ascii="Times New Roman" w:hAnsi="Times New Roman" w:cs="Times New Roman"/>
                <w:lang w:val="en-US"/>
              </w:rPr>
            </w:pPr>
            <w:proofErr w:type="spellStart"/>
            <w:r>
              <w:rPr>
                <w:rFonts w:ascii="Times New Roman" w:hAnsi="Times New Roman" w:cs="Times New Roman"/>
                <w:lang w:val="en-US"/>
              </w:rPr>
              <w:t>Neoen’s</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Hornsdale</w:t>
            </w:r>
            <w:proofErr w:type="spellEnd"/>
            <w:r>
              <w:rPr>
                <w:rFonts w:ascii="Times New Roman" w:hAnsi="Times New Roman" w:cs="Times New Roman"/>
                <w:lang w:val="en-US"/>
              </w:rPr>
              <w:t xml:space="preserve"> Wind Farm,</w:t>
            </w:r>
          </w:p>
          <w:p w14:paraId="47C3E2EA" w14:textId="77777777" w:rsidR="007E4B53" w:rsidRPr="009A64AC" w:rsidRDefault="007E4B53" w:rsidP="007E4B53">
            <w:pPr>
              <w:jc w:val="center"/>
              <w:rPr>
                <w:rFonts w:ascii="Times New Roman" w:hAnsi="Times New Roman" w:cs="Times New Roman"/>
                <w:lang w:val="en-US"/>
              </w:rPr>
            </w:pPr>
            <w:r>
              <w:rPr>
                <w:rFonts w:ascii="Times New Roman" w:hAnsi="Times New Roman" w:cs="Times New Roman"/>
                <w:lang w:val="en-US"/>
              </w:rPr>
              <w:t>South Australia</w:t>
            </w:r>
          </w:p>
        </w:tc>
        <w:tc>
          <w:tcPr>
            <w:tcW w:w="642" w:type="pct"/>
          </w:tcPr>
          <w:p w14:paraId="40E51615" w14:textId="77777777" w:rsidR="007E4B53" w:rsidRPr="009A64AC" w:rsidRDefault="007E4B53" w:rsidP="007E4B53">
            <w:pPr>
              <w:jc w:val="center"/>
              <w:rPr>
                <w:rFonts w:ascii="Times New Roman" w:hAnsi="Times New Roman" w:cs="Times New Roman"/>
                <w:lang w:val="en-US"/>
              </w:rPr>
            </w:pPr>
            <w:r>
              <w:rPr>
                <w:rFonts w:ascii="Times New Roman" w:hAnsi="Times New Roman" w:cs="Times New Roman"/>
                <w:lang w:val="en-US"/>
              </w:rPr>
              <w:t>Peak Shaving</w:t>
            </w:r>
          </w:p>
        </w:tc>
        <w:tc>
          <w:tcPr>
            <w:tcW w:w="358" w:type="pct"/>
          </w:tcPr>
          <w:p w14:paraId="2F8CF839" w14:textId="77777777" w:rsidR="007E4B53" w:rsidRPr="009A64AC" w:rsidRDefault="007E4B53" w:rsidP="007E4B53">
            <w:pPr>
              <w:jc w:val="center"/>
              <w:rPr>
                <w:rFonts w:ascii="Times New Roman" w:hAnsi="Times New Roman" w:cs="Times New Roman"/>
              </w:rPr>
            </w:pPr>
            <w:r>
              <w:rPr>
                <w:rFonts w:ascii="Times New Roman" w:hAnsi="Times New Roman" w:cs="Times New Roman"/>
              </w:rPr>
              <w:t>2017</w:t>
            </w:r>
          </w:p>
        </w:tc>
        <w:tc>
          <w:tcPr>
            <w:tcW w:w="499" w:type="pct"/>
          </w:tcPr>
          <w:p w14:paraId="4E1B7F51" w14:textId="77777777" w:rsidR="007E4B53" w:rsidRDefault="007E4B53" w:rsidP="007E4B53">
            <w:pPr>
              <w:jc w:val="center"/>
              <w:rPr>
                <w:rFonts w:ascii="Times New Roman" w:hAnsi="Times New Roman" w:cs="Times New Roman"/>
              </w:rPr>
            </w:pPr>
            <w:r>
              <w:rPr>
                <w:rFonts w:ascii="Times New Roman" w:hAnsi="Times New Roman" w:cs="Times New Roman"/>
              </w:rPr>
              <w:t xml:space="preserve">100 </w:t>
            </w:r>
          </w:p>
          <w:p w14:paraId="0FF033C0" w14:textId="77777777" w:rsidR="007E4B53" w:rsidRDefault="007E4B53" w:rsidP="007E4B53">
            <w:pPr>
              <w:jc w:val="center"/>
              <w:rPr>
                <w:rFonts w:ascii="Times New Roman" w:hAnsi="Times New Roman" w:cs="Times New Roman"/>
              </w:rPr>
            </w:pPr>
            <w:r>
              <w:rPr>
                <w:rFonts w:ascii="Times New Roman" w:hAnsi="Times New Roman" w:cs="Times New Roman"/>
              </w:rPr>
              <w:t>MW</w:t>
            </w:r>
          </w:p>
          <w:p w14:paraId="0CFE00C1" w14:textId="77777777" w:rsidR="007E4B53" w:rsidRDefault="007E4B53" w:rsidP="007E4B53">
            <w:pPr>
              <w:jc w:val="center"/>
              <w:rPr>
                <w:rFonts w:ascii="Times New Roman" w:hAnsi="Times New Roman" w:cs="Times New Roman"/>
              </w:rPr>
            </w:pPr>
          </w:p>
          <w:p w14:paraId="076FA1D7" w14:textId="77777777" w:rsidR="007E4B53" w:rsidRPr="009A64AC" w:rsidRDefault="007E4B53" w:rsidP="007E4B53">
            <w:pPr>
              <w:jc w:val="center"/>
              <w:rPr>
                <w:rFonts w:ascii="Times New Roman" w:hAnsi="Times New Roman" w:cs="Times New Roman"/>
              </w:rPr>
            </w:pPr>
            <w:r>
              <w:rPr>
                <w:rFonts w:ascii="Times New Roman" w:hAnsi="Times New Roman" w:cs="Times New Roman"/>
              </w:rPr>
              <w:t>129 MWh</w:t>
            </w:r>
          </w:p>
        </w:tc>
        <w:tc>
          <w:tcPr>
            <w:tcW w:w="500" w:type="pct"/>
          </w:tcPr>
          <w:p w14:paraId="60A071A5" w14:textId="77777777" w:rsidR="007E4B53" w:rsidRPr="009A64AC" w:rsidRDefault="007E4B53" w:rsidP="007E4B53">
            <w:pPr>
              <w:jc w:val="center"/>
              <w:rPr>
                <w:rFonts w:ascii="Times New Roman" w:hAnsi="Times New Roman" w:cs="Times New Roman"/>
              </w:rPr>
            </w:pPr>
            <w:proofErr w:type="spellStart"/>
            <w:r>
              <w:rPr>
                <w:rFonts w:ascii="Times New Roman" w:hAnsi="Times New Roman" w:cs="Times New Roman"/>
              </w:rPr>
              <w:t>Tesla</w:t>
            </w:r>
            <w:proofErr w:type="spellEnd"/>
          </w:p>
        </w:tc>
        <w:tc>
          <w:tcPr>
            <w:tcW w:w="316" w:type="pct"/>
          </w:tcPr>
          <w:p w14:paraId="0634BE28" w14:textId="50CC7F7A" w:rsidR="007E4B53" w:rsidRPr="009A64AC" w:rsidRDefault="007E4B53" w:rsidP="004646E5">
            <w:pPr>
              <w:jc w:val="center"/>
              <w:rPr>
                <w:rFonts w:ascii="Times New Roman" w:hAnsi="Times New Roman" w:cs="Times New Roman"/>
              </w:rPr>
            </w:pPr>
            <w:r>
              <w:rPr>
                <w:rFonts w:ascii="Times New Roman" w:hAnsi="Times New Roman" w:cs="Times New Roman"/>
              </w:rPr>
              <w:fldChar w:fldCharType="begin" w:fldLock="1"/>
            </w:r>
            <w:r w:rsidR="001A7298">
              <w:rPr>
                <w:rFonts w:ascii="Times New Roman" w:hAnsi="Times New Roman" w:cs="Times New Roman"/>
              </w:rPr>
              <w:instrText>ADDIN CSL_CITATION {"citationItems":[{"id":"ITEM-1","itemData":{"URL":"https://www.tesla.com/da_DK/blog/Tesla-powerpack-enable-large-scale-sustainable-energy-south-australia?redirect=no Page","author":[{"dropping-particle":"","family":"Tesla","given":"","non-dropping-particle":"","parse-names":false,"suffix":""}],"id":"ITEM-1","issued":{"date-parts":[["2017"]]},"title":"Tesla Powerpack to Enable Large Scale Sustainable Energy to South Australia","type":"webpage"},"uris":["http://www.mendeley.com/documents/?uuid=0159f8c1-a373-405f-b0fa-8dde2e8b3be3"]}],"mendeley":{"formattedCitation":"[40]","plainTextFormattedCitation":"[40]","previouslyFormattedCitation":"[40]"},"properties":{"noteIndex":0},"schema":"https://github.com/citation-style-language/schema/raw/master/csl-citation.json"}</w:instrText>
            </w:r>
            <w:r>
              <w:rPr>
                <w:rFonts w:ascii="Times New Roman" w:hAnsi="Times New Roman" w:cs="Times New Roman"/>
              </w:rPr>
              <w:fldChar w:fldCharType="separate"/>
            </w:r>
            <w:r w:rsidR="00B60186" w:rsidRPr="00B60186">
              <w:rPr>
                <w:rFonts w:ascii="Times New Roman" w:hAnsi="Times New Roman" w:cs="Times New Roman"/>
                <w:noProof/>
              </w:rPr>
              <w:t>[40]</w:t>
            </w:r>
            <w:r>
              <w:rPr>
                <w:rFonts w:ascii="Times New Roman" w:hAnsi="Times New Roman" w:cs="Times New Roman"/>
              </w:rPr>
              <w:fldChar w:fldCharType="end"/>
            </w:r>
          </w:p>
        </w:tc>
      </w:tr>
      <w:tr w:rsidR="00E06D29" w:rsidRPr="009A64AC" w14:paraId="51A92196" w14:textId="77777777" w:rsidTr="00E06D29">
        <w:tc>
          <w:tcPr>
            <w:tcW w:w="1969" w:type="pct"/>
          </w:tcPr>
          <w:p w14:paraId="48E4970B" w14:textId="77777777" w:rsidR="007E4B53" w:rsidRPr="009A64AC" w:rsidRDefault="007E4B53" w:rsidP="007E4B53">
            <w:pPr>
              <w:jc w:val="center"/>
              <w:rPr>
                <w:rFonts w:ascii="Times New Roman" w:hAnsi="Times New Roman" w:cs="Times New Roman"/>
              </w:rPr>
            </w:pPr>
            <w:r w:rsidRPr="009A64AC">
              <w:rPr>
                <w:rFonts w:ascii="Times New Roman" w:hAnsi="Times New Roman" w:cs="Times New Roman"/>
                <w:noProof/>
                <w:lang w:eastAsia="da-DK"/>
              </w:rPr>
              <w:lastRenderedPageBreak/>
              <w:drawing>
                <wp:inline distT="0" distB="0" distL="0" distR="0" wp14:anchorId="1EBBB9D4" wp14:editId="16183B96">
                  <wp:extent cx="2394857" cy="149307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409377" cy="1502122"/>
                          </a:xfrm>
                          <a:prstGeom prst="rect">
                            <a:avLst/>
                          </a:prstGeom>
                        </pic:spPr>
                      </pic:pic>
                    </a:graphicData>
                  </a:graphic>
                </wp:inline>
              </w:drawing>
            </w:r>
          </w:p>
        </w:tc>
        <w:tc>
          <w:tcPr>
            <w:tcW w:w="716" w:type="pct"/>
          </w:tcPr>
          <w:p w14:paraId="04836EFF"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Laurel Mountain,</w:t>
            </w:r>
          </w:p>
          <w:p w14:paraId="4145D2A0"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Belington, West Virginia,</w:t>
            </w:r>
          </w:p>
          <w:p w14:paraId="2EAE217D"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USA</w:t>
            </w:r>
          </w:p>
        </w:tc>
        <w:tc>
          <w:tcPr>
            <w:tcW w:w="642" w:type="pct"/>
          </w:tcPr>
          <w:p w14:paraId="69477852"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Frequency Regulation and Renewable Energy Integration</w:t>
            </w:r>
          </w:p>
        </w:tc>
        <w:tc>
          <w:tcPr>
            <w:tcW w:w="358" w:type="pct"/>
          </w:tcPr>
          <w:p w14:paraId="75DFDFAA"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2011</w:t>
            </w:r>
          </w:p>
        </w:tc>
        <w:tc>
          <w:tcPr>
            <w:tcW w:w="499" w:type="pct"/>
          </w:tcPr>
          <w:p w14:paraId="289482F5"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32</w:t>
            </w:r>
          </w:p>
          <w:p w14:paraId="6470B0C4"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MW</w:t>
            </w:r>
          </w:p>
          <w:p w14:paraId="523A3F25" w14:textId="77777777" w:rsidR="007E4B53" w:rsidRPr="009A64AC" w:rsidRDefault="007E4B53" w:rsidP="007E4B53">
            <w:pPr>
              <w:jc w:val="center"/>
              <w:rPr>
                <w:rFonts w:ascii="Times New Roman" w:hAnsi="Times New Roman" w:cs="Times New Roman"/>
                <w:lang w:val="en-US"/>
              </w:rPr>
            </w:pPr>
          </w:p>
          <w:p w14:paraId="1F955685"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8</w:t>
            </w:r>
          </w:p>
          <w:p w14:paraId="3F24EB42"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MWh</w:t>
            </w:r>
          </w:p>
        </w:tc>
        <w:tc>
          <w:tcPr>
            <w:tcW w:w="500" w:type="pct"/>
          </w:tcPr>
          <w:p w14:paraId="06620CA3" w14:textId="77777777" w:rsidR="007E4B53" w:rsidRPr="009A64AC" w:rsidRDefault="007E4B53" w:rsidP="007E4B53">
            <w:pPr>
              <w:jc w:val="center"/>
              <w:rPr>
                <w:rFonts w:ascii="Times New Roman" w:hAnsi="Times New Roman" w:cs="Times New Roman"/>
                <w:lang w:val="en-US"/>
              </w:rPr>
            </w:pPr>
            <w:r w:rsidRPr="009A64AC">
              <w:rPr>
                <w:rFonts w:ascii="Times New Roman" w:hAnsi="Times New Roman" w:cs="Times New Roman"/>
                <w:lang w:val="en-US"/>
              </w:rPr>
              <w:t>AES and A123</w:t>
            </w:r>
          </w:p>
        </w:tc>
        <w:tc>
          <w:tcPr>
            <w:tcW w:w="316" w:type="pct"/>
          </w:tcPr>
          <w:p w14:paraId="7A8B6B87" w14:textId="7356E0E9" w:rsidR="007E4B53" w:rsidRPr="009A64AC" w:rsidRDefault="007E4B53" w:rsidP="004646E5">
            <w:pPr>
              <w:jc w:val="center"/>
              <w:rPr>
                <w:rFonts w:ascii="Times New Roman" w:hAnsi="Times New Roman" w:cs="Times New Roman"/>
                <w:lang w:val="en-US"/>
              </w:rPr>
            </w:pPr>
            <w:r w:rsidRPr="009A64AC">
              <w:rPr>
                <w:rFonts w:ascii="Times New Roman" w:hAnsi="Times New Roman" w:cs="Times New Roman"/>
                <w:lang w:val="en-US"/>
              </w:rPr>
              <w:fldChar w:fldCharType="begin" w:fldLock="1"/>
            </w:r>
            <w:r w:rsidR="001A7298">
              <w:rPr>
                <w:rFonts w:ascii="Times New Roman" w:hAnsi="Times New Roman" w:cs="Times New Roman"/>
                <w:lang w:val="en-US"/>
              </w:rPr>
              <w:instrText>ADDIN CSL_CITATION {"citationItems":[{"id":"ITEM-1","itemData":{"URL":"http://energystorage.org/energy-storage/case-studies/frequency-regulation-services-and-firm-wind-product-aes-energy-storage","author":[{"dropping-particle":"","family":"Energy Storage Association","given":"","non-dropping-particle":"","parse-names":false,"suffix":""}],"id":"ITEM-1","issued":{"date-parts":[["2018"]]},"page":"1-2","title":"Frequency Regulation Services and a Firm Wind Product: AES Energy Storage Laurel Mountain Battery Energy Storage","type":"webpage"},"uris":["http://www.mendeley.com/documents/?uuid=e7e05aa4-40ec-477d-820e-622beb82b2d8","http://www.mendeley.com/documents/?uuid=6fdd9f87-4ea8-4ec5-b7d8-77a678edd2e4","http://www.mendeley.com/documents/?uuid=9d6c3288-5833-4495-8c58-65e03a4e4678"]}],"mendeley":{"formattedCitation":"[41]","plainTextFormattedCitation":"[41]","previouslyFormattedCitation":"[41]"},"properties":{"noteIndex":0},"schema":"https://github.com/citation-style-language/schema/raw/master/csl-citation.json"}</w:instrText>
            </w:r>
            <w:r w:rsidRPr="009A64AC">
              <w:rPr>
                <w:rFonts w:ascii="Times New Roman" w:hAnsi="Times New Roman" w:cs="Times New Roman"/>
                <w:lang w:val="en-US"/>
              </w:rPr>
              <w:fldChar w:fldCharType="separate"/>
            </w:r>
            <w:r w:rsidR="00B60186" w:rsidRPr="00B60186">
              <w:rPr>
                <w:rFonts w:ascii="Times New Roman" w:hAnsi="Times New Roman" w:cs="Times New Roman"/>
                <w:noProof/>
                <w:lang w:val="en-US"/>
              </w:rPr>
              <w:t>[41]</w:t>
            </w:r>
            <w:r w:rsidRPr="009A64AC">
              <w:rPr>
                <w:rFonts w:ascii="Times New Roman" w:hAnsi="Times New Roman" w:cs="Times New Roman"/>
                <w:lang w:val="en-US"/>
              </w:rPr>
              <w:fldChar w:fldCharType="end"/>
            </w:r>
          </w:p>
        </w:tc>
      </w:tr>
    </w:tbl>
    <w:p w14:paraId="4A656E55" w14:textId="3B3F25AA" w:rsidR="00DF3B7D" w:rsidRPr="009A64AC" w:rsidRDefault="00DF3B7D" w:rsidP="00DF3B7D">
      <w:pPr>
        <w:pStyle w:val="Heading1"/>
        <w:rPr>
          <w:rFonts w:cs="Times New Roman"/>
          <w:lang w:val="en-US"/>
        </w:rPr>
      </w:pPr>
      <w:bookmarkStart w:id="83" w:name="_Toc528918114"/>
      <w:bookmarkStart w:id="84" w:name="_Toc529169840"/>
      <w:bookmarkStart w:id="85" w:name="_Toc529178839"/>
      <w:bookmarkStart w:id="86" w:name="_Toc529178954"/>
      <w:r w:rsidRPr="009A64AC">
        <w:rPr>
          <w:rFonts w:cs="Times New Roman"/>
          <w:lang w:val="en-US"/>
        </w:rPr>
        <w:t>Prediction of performance and cost</w:t>
      </w:r>
      <w:bookmarkEnd w:id="83"/>
      <w:bookmarkEnd w:id="84"/>
      <w:bookmarkEnd w:id="85"/>
      <w:bookmarkEnd w:id="86"/>
    </w:p>
    <w:p w14:paraId="500B6589" w14:textId="3E87A3D8" w:rsidR="000A233A" w:rsidRDefault="000A233A" w:rsidP="000A233A">
      <w:pPr>
        <w:rPr>
          <w:rFonts w:ascii="Times New Roman" w:hAnsi="Times New Roman" w:cs="Times New Roman"/>
          <w:sz w:val="24"/>
          <w:szCs w:val="24"/>
          <w:lang w:val="en-US"/>
        </w:rPr>
      </w:pPr>
      <w:r w:rsidRPr="00827D48">
        <w:rPr>
          <w:rFonts w:ascii="Times New Roman" w:hAnsi="Times New Roman" w:cs="Times New Roman"/>
          <w:sz w:val="24"/>
          <w:szCs w:val="24"/>
          <w:lang w:val="en-US"/>
        </w:rPr>
        <w:t xml:space="preserve">The recent </w:t>
      </w:r>
      <w:r w:rsidR="00C86CF8" w:rsidRPr="00C86CF8">
        <w:rPr>
          <w:rFonts w:ascii="Times New Roman" w:hAnsi="Times New Roman" w:cs="Times New Roman"/>
          <w:sz w:val="24"/>
          <w:szCs w:val="24"/>
          <w:lang w:val="en-US"/>
        </w:rPr>
        <w:t xml:space="preserve">industry average </w:t>
      </w:r>
      <w:r w:rsidRPr="00827D48">
        <w:rPr>
          <w:rFonts w:ascii="Times New Roman" w:hAnsi="Times New Roman" w:cs="Times New Roman"/>
          <w:sz w:val="24"/>
          <w:szCs w:val="24"/>
          <w:lang w:val="en-US"/>
        </w:rPr>
        <w:t xml:space="preserve">LIB </w:t>
      </w:r>
      <w:r w:rsidR="00BC35D2">
        <w:rPr>
          <w:rFonts w:ascii="Times New Roman" w:hAnsi="Times New Roman" w:cs="Times New Roman"/>
          <w:sz w:val="24"/>
          <w:szCs w:val="24"/>
          <w:lang w:val="en-US"/>
        </w:rPr>
        <w:t xml:space="preserve">pack cost </w:t>
      </w:r>
      <w:r w:rsidRPr="00827D48">
        <w:rPr>
          <w:rFonts w:ascii="Times New Roman" w:hAnsi="Times New Roman" w:cs="Times New Roman"/>
          <w:sz w:val="24"/>
          <w:szCs w:val="24"/>
          <w:lang w:val="en-US"/>
        </w:rPr>
        <w:t xml:space="preserve">forecast taken from Bloomberg’s New Energy Outlook 2018 </w:t>
      </w:r>
      <w:r>
        <w:rPr>
          <w:rFonts w:ascii="Times New Roman" w:hAnsi="Times New Roman" w:cs="Times New Roman"/>
          <w:sz w:val="24"/>
          <w:szCs w:val="24"/>
          <w:lang w:val="en-US"/>
        </w:rPr>
        <w:t xml:space="preserve">is shown </w:t>
      </w:r>
      <w:r w:rsidRPr="00827D48">
        <w:rPr>
          <w:rFonts w:ascii="Times New Roman" w:hAnsi="Times New Roman" w:cs="Times New Roman"/>
          <w:sz w:val="24"/>
          <w:szCs w:val="24"/>
          <w:lang w:val="en-US"/>
        </w:rPr>
        <w:t xml:space="preserve">in </w:t>
      </w:r>
      <w:r w:rsidRPr="00827D48">
        <w:rPr>
          <w:rFonts w:ascii="Times New Roman" w:hAnsi="Times New Roman" w:cs="Times New Roman"/>
          <w:sz w:val="24"/>
          <w:szCs w:val="24"/>
          <w:lang w:val="en-US"/>
        </w:rPr>
        <w:fldChar w:fldCharType="begin"/>
      </w:r>
      <w:r w:rsidRPr="00827D48">
        <w:rPr>
          <w:rFonts w:ascii="Times New Roman" w:hAnsi="Times New Roman" w:cs="Times New Roman"/>
          <w:sz w:val="24"/>
          <w:szCs w:val="24"/>
          <w:lang w:val="en-US"/>
        </w:rPr>
        <w:instrText xml:space="preserve"> REF _Ref528151118 \h  \* MERGEFORMAT </w:instrText>
      </w:r>
      <w:r w:rsidRPr="00827D48">
        <w:rPr>
          <w:rFonts w:ascii="Times New Roman" w:hAnsi="Times New Roman" w:cs="Times New Roman"/>
          <w:sz w:val="24"/>
          <w:szCs w:val="24"/>
          <w:lang w:val="en-US"/>
        </w:rPr>
      </w:r>
      <w:r w:rsidRPr="00827D48">
        <w:rPr>
          <w:rFonts w:ascii="Times New Roman" w:hAnsi="Times New Roman" w:cs="Times New Roman"/>
          <w:sz w:val="24"/>
          <w:szCs w:val="24"/>
          <w:lang w:val="en-US"/>
        </w:rPr>
        <w:fldChar w:fldCharType="separate"/>
      </w:r>
      <w:r w:rsidR="00E60026" w:rsidRPr="00E60026">
        <w:rPr>
          <w:rFonts w:ascii="Times New Roman" w:hAnsi="Times New Roman" w:cs="Times New Roman"/>
          <w:sz w:val="24"/>
          <w:szCs w:val="24"/>
          <w:lang w:val="en-US"/>
        </w:rPr>
        <w:t xml:space="preserve">Figure </w:t>
      </w:r>
      <w:r w:rsidR="00E60026" w:rsidRPr="00E60026">
        <w:rPr>
          <w:rFonts w:ascii="Times New Roman" w:hAnsi="Times New Roman" w:cs="Times New Roman"/>
          <w:noProof/>
          <w:sz w:val="24"/>
          <w:szCs w:val="24"/>
          <w:lang w:val="en-US"/>
        </w:rPr>
        <w:t>8</w:t>
      </w:r>
      <w:r w:rsidRPr="00827D48">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Lock="1"/>
      </w:r>
      <w:r w:rsidR="001A7298">
        <w:rPr>
          <w:rFonts w:ascii="Times New Roman" w:hAnsi="Times New Roman" w:cs="Times New Roman"/>
          <w:sz w:val="24"/>
          <w:szCs w:val="24"/>
          <w:lang w:val="en-US"/>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mendeley":{"formattedCitation":"[44]","plainTextFormattedCitation":"[44]","previouslyFormattedCitation":"[44]"},"properties":{"noteIndex":0},"schema":"https://github.com/citation-style-language/schema/raw/master/csl-citation.json"}</w:instrText>
      </w:r>
      <w:r>
        <w:rPr>
          <w:rFonts w:ascii="Times New Roman" w:hAnsi="Times New Roman" w:cs="Times New Roman"/>
          <w:sz w:val="24"/>
          <w:szCs w:val="24"/>
          <w:lang w:val="en-US"/>
        </w:rPr>
        <w:fldChar w:fldCharType="separate"/>
      </w:r>
      <w:r w:rsidR="00B60186" w:rsidRPr="00B60186">
        <w:rPr>
          <w:rFonts w:ascii="Times New Roman" w:hAnsi="Times New Roman" w:cs="Times New Roman"/>
          <w:noProof/>
          <w:sz w:val="24"/>
          <w:szCs w:val="24"/>
          <w:lang w:val="en-US"/>
        </w:rPr>
        <w:t>[44]</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T</w:t>
      </w:r>
      <w:r w:rsidRPr="00827D48">
        <w:rPr>
          <w:rFonts w:ascii="Times New Roman" w:hAnsi="Times New Roman" w:cs="Times New Roman"/>
          <w:sz w:val="24"/>
          <w:szCs w:val="24"/>
          <w:lang w:val="en-US"/>
        </w:rPr>
        <w:t>he current LIB price</w:t>
      </w:r>
      <w:r w:rsidR="00544654">
        <w:rPr>
          <w:rFonts w:ascii="Times New Roman" w:hAnsi="Times New Roman" w:cs="Times New Roman"/>
          <w:sz w:val="24"/>
          <w:szCs w:val="24"/>
          <w:lang w:val="en-US"/>
        </w:rPr>
        <w:t xml:space="preserve"> </w:t>
      </w:r>
      <w:r w:rsidRPr="00827D48">
        <w:rPr>
          <w:rFonts w:ascii="Times New Roman" w:hAnsi="Times New Roman" w:cs="Times New Roman"/>
          <w:sz w:val="24"/>
          <w:szCs w:val="24"/>
          <w:lang w:val="en-US"/>
        </w:rPr>
        <w:t>is close to 200$/kWh</w:t>
      </w:r>
      <w:r>
        <w:rPr>
          <w:rFonts w:ascii="Times New Roman" w:hAnsi="Times New Roman" w:cs="Times New Roman"/>
          <w:sz w:val="24"/>
          <w:szCs w:val="24"/>
          <w:lang w:val="en-US"/>
        </w:rPr>
        <w:t xml:space="preserve"> and </w:t>
      </w:r>
      <w:r w:rsidRPr="00827D48">
        <w:rPr>
          <w:rFonts w:ascii="Times New Roman" w:hAnsi="Times New Roman" w:cs="Times New Roman"/>
          <w:sz w:val="24"/>
          <w:szCs w:val="24"/>
          <w:lang w:val="en-US"/>
        </w:rPr>
        <w:t xml:space="preserve">the forecast </w:t>
      </w:r>
      <w:r>
        <w:rPr>
          <w:rFonts w:ascii="Times New Roman" w:hAnsi="Times New Roman" w:cs="Times New Roman"/>
          <w:sz w:val="24"/>
          <w:szCs w:val="24"/>
          <w:lang w:val="en-US"/>
        </w:rPr>
        <w:t xml:space="preserve">(dotted line) </w:t>
      </w:r>
      <w:r w:rsidRPr="00827D48">
        <w:rPr>
          <w:rFonts w:ascii="Times New Roman" w:hAnsi="Times New Roman" w:cs="Times New Roman"/>
          <w:sz w:val="24"/>
          <w:szCs w:val="24"/>
          <w:lang w:val="en-US"/>
        </w:rPr>
        <w:t>predicts a battery price of 70</w:t>
      </w:r>
      <w:r>
        <w:rPr>
          <w:rFonts w:ascii="Times New Roman" w:hAnsi="Times New Roman" w:cs="Times New Roman"/>
          <w:sz w:val="24"/>
          <w:szCs w:val="24"/>
          <w:lang w:val="en-US"/>
        </w:rPr>
        <w:t xml:space="preserve"> </w:t>
      </w:r>
      <w:r w:rsidRPr="00827D48">
        <w:rPr>
          <w:rFonts w:ascii="Times New Roman" w:hAnsi="Times New Roman" w:cs="Times New Roman"/>
          <w:sz w:val="24"/>
          <w:szCs w:val="24"/>
          <w:lang w:val="en-US"/>
        </w:rPr>
        <w:t>$/kWh</w:t>
      </w:r>
      <w:r>
        <w:rPr>
          <w:rFonts w:ascii="Times New Roman" w:hAnsi="Times New Roman" w:cs="Times New Roman"/>
          <w:sz w:val="24"/>
          <w:szCs w:val="24"/>
          <w:lang w:val="en-US"/>
        </w:rPr>
        <w:t xml:space="preserve"> b</w:t>
      </w:r>
      <w:r w:rsidRPr="00827D48">
        <w:rPr>
          <w:rFonts w:ascii="Times New Roman" w:hAnsi="Times New Roman" w:cs="Times New Roman"/>
          <w:sz w:val="24"/>
          <w:szCs w:val="24"/>
          <w:lang w:val="en-US"/>
        </w:rPr>
        <w:t xml:space="preserve">y 2030. </w:t>
      </w:r>
      <w:r w:rsidR="002303F5">
        <w:rPr>
          <w:rFonts w:ascii="Times New Roman" w:hAnsi="Times New Roman" w:cs="Times New Roman"/>
          <w:sz w:val="24"/>
          <w:szCs w:val="24"/>
          <w:lang w:val="en-US"/>
        </w:rPr>
        <w:t>Further, t</w:t>
      </w:r>
      <w:r>
        <w:rPr>
          <w:rFonts w:ascii="Times New Roman" w:hAnsi="Times New Roman" w:cs="Times New Roman"/>
          <w:sz w:val="24"/>
          <w:szCs w:val="24"/>
          <w:lang w:val="en-US"/>
        </w:rPr>
        <w:t xml:space="preserve">he forecasted added </w:t>
      </w:r>
      <w:r w:rsidR="00C86CF8">
        <w:rPr>
          <w:rFonts w:ascii="Times New Roman" w:hAnsi="Times New Roman" w:cs="Times New Roman"/>
          <w:sz w:val="24"/>
          <w:szCs w:val="24"/>
          <w:lang w:val="en-US"/>
        </w:rPr>
        <w:t xml:space="preserve">installed </w:t>
      </w:r>
      <w:r>
        <w:rPr>
          <w:rFonts w:ascii="Times New Roman" w:hAnsi="Times New Roman" w:cs="Times New Roman"/>
          <w:sz w:val="24"/>
          <w:szCs w:val="24"/>
          <w:lang w:val="en-US"/>
        </w:rPr>
        <w:t xml:space="preserve">capacity between now and 2050 is estimated to 1291 GW </w:t>
      </w:r>
      <w:r>
        <w:rPr>
          <w:rFonts w:ascii="Times New Roman" w:hAnsi="Times New Roman" w:cs="Times New Roman"/>
          <w:sz w:val="24"/>
          <w:szCs w:val="24"/>
          <w:lang w:val="en-US"/>
        </w:rPr>
        <w:fldChar w:fldCharType="begin" w:fldLock="1"/>
      </w:r>
      <w:r w:rsidR="001A7298">
        <w:rPr>
          <w:rFonts w:ascii="Times New Roman" w:hAnsi="Times New Roman" w:cs="Times New Roman"/>
          <w:sz w:val="24"/>
          <w:szCs w:val="24"/>
          <w:lang w:val="en-US"/>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mendeley":{"formattedCitation":"[44]","plainTextFormattedCitation":"[44]","previouslyFormattedCitation":"[44]"},"properties":{"noteIndex":0},"schema":"https://github.com/citation-style-language/schema/raw/master/csl-citation.json"}</w:instrText>
      </w:r>
      <w:r>
        <w:rPr>
          <w:rFonts w:ascii="Times New Roman" w:hAnsi="Times New Roman" w:cs="Times New Roman"/>
          <w:sz w:val="24"/>
          <w:szCs w:val="24"/>
          <w:lang w:val="en-US"/>
        </w:rPr>
        <w:fldChar w:fldCharType="separate"/>
      </w:r>
      <w:r w:rsidR="00B60186" w:rsidRPr="00B60186">
        <w:rPr>
          <w:rFonts w:ascii="Times New Roman" w:hAnsi="Times New Roman" w:cs="Times New Roman"/>
          <w:noProof/>
          <w:sz w:val="24"/>
          <w:szCs w:val="24"/>
          <w:lang w:val="en-US"/>
        </w:rPr>
        <w:t>[44]</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 xml:space="preserve">Using </w:t>
      </w:r>
      <w:proofErr w:type="spellStart"/>
      <w:r>
        <w:rPr>
          <w:rFonts w:ascii="Times New Roman" w:hAnsi="Times New Roman" w:cs="Times New Roman"/>
          <w:sz w:val="24"/>
          <w:szCs w:val="24"/>
          <w:lang w:val="en-US"/>
        </w:rPr>
        <w:t>Bloombergs</w:t>
      </w:r>
      <w:proofErr w:type="spellEnd"/>
      <w:r>
        <w:rPr>
          <w:rFonts w:ascii="Times New Roman" w:hAnsi="Times New Roman" w:cs="Times New Roman"/>
          <w:sz w:val="24"/>
          <w:szCs w:val="24"/>
          <w:lang w:val="en-US"/>
        </w:rPr>
        <w:t xml:space="preserve"> 18% learning rate </w:t>
      </w:r>
      <w:r w:rsidR="00E003ED">
        <w:rPr>
          <w:rFonts w:ascii="Times New Roman" w:hAnsi="Times New Roman" w:cs="Times New Roman"/>
          <w:sz w:val="24"/>
          <w:szCs w:val="24"/>
          <w:lang w:val="en-US"/>
        </w:rPr>
        <w:t xml:space="preserve">and </w:t>
      </w:r>
      <w:r>
        <w:rPr>
          <w:rFonts w:ascii="Times New Roman" w:hAnsi="Times New Roman" w:cs="Times New Roman"/>
          <w:sz w:val="24"/>
          <w:szCs w:val="24"/>
          <w:lang w:val="en-US"/>
        </w:rPr>
        <w:t xml:space="preserve">the predicted </w:t>
      </w:r>
      <w:r w:rsidR="00F00F94">
        <w:rPr>
          <w:rFonts w:ascii="Times New Roman" w:hAnsi="Times New Roman" w:cs="Times New Roman"/>
          <w:sz w:val="24"/>
          <w:szCs w:val="24"/>
          <w:lang w:val="en-US"/>
        </w:rPr>
        <w:t xml:space="preserve">capacity </w:t>
      </w:r>
      <w:r>
        <w:rPr>
          <w:rFonts w:ascii="Times New Roman" w:hAnsi="Times New Roman" w:cs="Times New Roman"/>
          <w:sz w:val="24"/>
          <w:szCs w:val="24"/>
          <w:lang w:val="en-US"/>
        </w:rPr>
        <w:t>growth, this results in a forecasted 50$/kWh in 2040 and 40 $/kWh in 2050.</w:t>
      </w:r>
      <w:proofErr w:type="gramEnd"/>
      <w:r>
        <w:rPr>
          <w:rFonts w:ascii="Times New Roman" w:hAnsi="Times New Roman" w:cs="Times New Roman"/>
          <w:sz w:val="24"/>
          <w:szCs w:val="24"/>
          <w:lang w:val="en-US"/>
        </w:rPr>
        <w:t xml:space="preserve"> </w:t>
      </w:r>
    </w:p>
    <w:p w14:paraId="0DC13E91" w14:textId="77777777" w:rsidR="007E4B53" w:rsidRPr="00396662" w:rsidRDefault="007E4B53" w:rsidP="007E4B53">
      <w:pPr>
        <w:keepNext/>
        <w:rPr>
          <w:lang w:val="en-US"/>
        </w:rPr>
      </w:pPr>
      <w:r>
        <w:rPr>
          <w:rFonts w:ascii="Times New Roman" w:hAnsi="Times New Roman" w:cs="Times New Roman"/>
          <w:noProof/>
          <w:lang w:eastAsia="da-DK"/>
        </w:rPr>
        <w:drawing>
          <wp:inline distT="0" distB="0" distL="0" distR="0" wp14:anchorId="4B65997B" wp14:editId="1A4FE1A5">
            <wp:extent cx="4885357" cy="316958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2018-10-24 at 11.30.26.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887621" cy="3171051"/>
                    </a:xfrm>
                    <a:prstGeom prst="rect">
                      <a:avLst/>
                    </a:prstGeom>
                  </pic:spPr>
                </pic:pic>
              </a:graphicData>
            </a:graphic>
          </wp:inline>
        </w:drawing>
      </w:r>
    </w:p>
    <w:p w14:paraId="4989ED68" w14:textId="5AE3D041" w:rsidR="007E4B53" w:rsidRDefault="007E4B53" w:rsidP="004646E5">
      <w:pPr>
        <w:pStyle w:val="Caption"/>
        <w:rPr>
          <w:rFonts w:ascii="Times New Roman" w:hAnsi="Times New Roman" w:cs="Times New Roman"/>
          <w:b w:val="0"/>
          <w:i/>
          <w:color w:val="44546A" w:themeColor="text2"/>
          <w:sz w:val="22"/>
        </w:rPr>
      </w:pPr>
      <w:bookmarkStart w:id="87" w:name="_Ref528151118"/>
      <w:r w:rsidRPr="00827D48">
        <w:rPr>
          <w:rFonts w:ascii="Times New Roman" w:hAnsi="Times New Roman" w:cs="Times New Roman"/>
          <w:b w:val="0"/>
          <w:i/>
          <w:color w:val="44546A" w:themeColor="text2"/>
          <w:sz w:val="22"/>
        </w:rPr>
        <w:t xml:space="preserve">Figure </w:t>
      </w:r>
      <w:r w:rsidRPr="00827D48">
        <w:rPr>
          <w:rFonts w:ascii="Times New Roman" w:hAnsi="Times New Roman" w:cs="Times New Roman"/>
          <w:b w:val="0"/>
          <w:i/>
          <w:color w:val="44546A" w:themeColor="text2"/>
          <w:sz w:val="22"/>
        </w:rPr>
        <w:fldChar w:fldCharType="begin"/>
      </w:r>
      <w:r w:rsidRPr="00827D48">
        <w:rPr>
          <w:rFonts w:ascii="Times New Roman" w:hAnsi="Times New Roman" w:cs="Times New Roman"/>
          <w:b w:val="0"/>
          <w:i/>
          <w:color w:val="44546A" w:themeColor="text2"/>
          <w:sz w:val="22"/>
        </w:rPr>
        <w:instrText xml:space="preserve"> SEQ Figure \* ARABIC </w:instrText>
      </w:r>
      <w:r w:rsidRPr="00827D48">
        <w:rPr>
          <w:rFonts w:ascii="Times New Roman" w:hAnsi="Times New Roman" w:cs="Times New Roman"/>
          <w:b w:val="0"/>
          <w:i/>
          <w:color w:val="44546A" w:themeColor="text2"/>
          <w:sz w:val="22"/>
        </w:rPr>
        <w:fldChar w:fldCharType="separate"/>
      </w:r>
      <w:r w:rsidR="00E60026">
        <w:rPr>
          <w:rFonts w:ascii="Times New Roman" w:hAnsi="Times New Roman" w:cs="Times New Roman"/>
          <w:b w:val="0"/>
          <w:i/>
          <w:noProof/>
          <w:color w:val="44546A" w:themeColor="text2"/>
          <w:sz w:val="22"/>
        </w:rPr>
        <w:t>8</w:t>
      </w:r>
      <w:r w:rsidRPr="00827D48">
        <w:rPr>
          <w:rFonts w:ascii="Times New Roman" w:hAnsi="Times New Roman" w:cs="Times New Roman"/>
          <w:b w:val="0"/>
          <w:i/>
          <w:color w:val="44546A" w:themeColor="text2"/>
          <w:sz w:val="22"/>
        </w:rPr>
        <w:fldChar w:fldCharType="end"/>
      </w:r>
      <w:bookmarkEnd w:id="87"/>
      <w:r w:rsidR="009A0C2D">
        <w:rPr>
          <w:rFonts w:ascii="Times New Roman" w:hAnsi="Times New Roman" w:cs="Times New Roman"/>
          <w:b w:val="0"/>
          <w:i/>
          <w:color w:val="44546A" w:themeColor="text2"/>
          <w:sz w:val="22"/>
        </w:rPr>
        <w:t>:</w:t>
      </w:r>
      <w:r w:rsidRPr="00827D48">
        <w:rPr>
          <w:rFonts w:ascii="Times New Roman" w:hAnsi="Times New Roman" w:cs="Times New Roman"/>
          <w:b w:val="0"/>
          <w:i/>
          <w:color w:val="44546A" w:themeColor="text2"/>
          <w:sz w:val="22"/>
        </w:rPr>
        <w:t xml:space="preserve"> </w:t>
      </w:r>
      <w:r w:rsidR="009A0C2D">
        <w:rPr>
          <w:rFonts w:ascii="Times New Roman" w:hAnsi="Times New Roman" w:cs="Times New Roman"/>
          <w:b w:val="0"/>
          <w:i/>
          <w:color w:val="44546A" w:themeColor="text2"/>
          <w:sz w:val="22"/>
        </w:rPr>
        <w:t>H</w:t>
      </w:r>
      <w:r w:rsidR="009A0C2D" w:rsidRPr="00827D48">
        <w:rPr>
          <w:rFonts w:ascii="Times New Roman" w:hAnsi="Times New Roman" w:cs="Times New Roman"/>
          <w:b w:val="0"/>
          <w:i/>
          <w:color w:val="44546A" w:themeColor="text2"/>
          <w:sz w:val="22"/>
        </w:rPr>
        <w:t xml:space="preserve">istorical and </w:t>
      </w:r>
      <w:r w:rsidR="009A0C2D" w:rsidRPr="004646E5">
        <w:rPr>
          <w:rFonts w:ascii="Times New Roman" w:hAnsi="Times New Roman" w:cs="Times New Roman"/>
          <w:b w:val="0"/>
          <w:i/>
          <w:color w:val="44546A" w:themeColor="text2"/>
          <w:sz w:val="22"/>
        </w:rPr>
        <w:t>forecast</w:t>
      </w:r>
      <w:r w:rsidR="009A0C2D">
        <w:rPr>
          <w:rFonts w:ascii="Times New Roman" w:hAnsi="Times New Roman" w:cs="Times New Roman"/>
          <w:b w:val="0"/>
          <w:i/>
          <w:color w:val="44546A" w:themeColor="text2"/>
          <w:sz w:val="22"/>
        </w:rPr>
        <w:t>ed</w:t>
      </w:r>
      <w:r w:rsidR="009A0C2D" w:rsidRPr="004646E5">
        <w:rPr>
          <w:rFonts w:ascii="Times New Roman" w:hAnsi="Times New Roman" w:cs="Times New Roman"/>
          <w:b w:val="0"/>
          <w:i/>
          <w:color w:val="44546A" w:themeColor="text2"/>
          <w:sz w:val="22"/>
        </w:rPr>
        <w:t xml:space="preserve"> </w:t>
      </w:r>
      <w:r w:rsidRPr="00827D48">
        <w:rPr>
          <w:rFonts w:ascii="Times New Roman" w:hAnsi="Times New Roman" w:cs="Times New Roman"/>
          <w:b w:val="0"/>
          <w:i/>
          <w:color w:val="44546A" w:themeColor="text2"/>
          <w:sz w:val="22"/>
        </w:rPr>
        <w:t xml:space="preserve">Lithium-ion battery </w:t>
      </w:r>
      <w:r w:rsidR="009A0C2D">
        <w:rPr>
          <w:rFonts w:ascii="Times New Roman" w:hAnsi="Times New Roman" w:cs="Times New Roman"/>
          <w:b w:val="0"/>
          <w:i/>
          <w:color w:val="44546A" w:themeColor="text2"/>
          <w:sz w:val="22"/>
        </w:rPr>
        <w:t>pack cost</w:t>
      </w:r>
      <w:r w:rsidRPr="00827D48">
        <w:rPr>
          <w:rFonts w:ascii="Times New Roman" w:hAnsi="Times New Roman" w:cs="Times New Roman"/>
          <w:b w:val="0"/>
          <w:i/>
          <w:color w:val="44546A" w:themeColor="text2"/>
          <w:sz w:val="22"/>
        </w:rPr>
        <w:t xml:space="preserve"> </w:t>
      </w:r>
      <w:r w:rsidRPr="004646E5">
        <w:rPr>
          <w:rFonts w:ascii="Times New Roman" w:hAnsi="Times New Roman" w:cs="Times New Roman"/>
          <w:b w:val="0"/>
          <w:i/>
          <w:color w:val="44546A" w:themeColor="text2"/>
          <w:sz w:val="22"/>
        </w:rPr>
        <w:fldChar w:fldCharType="begin" w:fldLock="1"/>
      </w:r>
      <w:r w:rsidR="001A7298">
        <w:rPr>
          <w:rFonts w:ascii="Times New Roman" w:hAnsi="Times New Roman" w:cs="Times New Roman"/>
          <w:b w:val="0"/>
          <w:i/>
          <w:color w:val="44546A" w:themeColor="text2"/>
          <w:sz w:val="22"/>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mendeley":{"formattedCitation":"[44]","plainTextFormattedCitation":"[44]","previouslyFormattedCitation":"[44]"},"properties":{"noteIndex":0},"schema":"https://github.com/citation-style-language/schema/raw/master/csl-citation.json"}</w:instrText>
      </w:r>
      <w:r w:rsidRPr="004646E5">
        <w:rPr>
          <w:rFonts w:ascii="Times New Roman" w:hAnsi="Times New Roman" w:cs="Times New Roman"/>
          <w:b w:val="0"/>
          <w:i/>
          <w:color w:val="44546A" w:themeColor="text2"/>
          <w:sz w:val="22"/>
        </w:rPr>
        <w:fldChar w:fldCharType="separate"/>
      </w:r>
      <w:r w:rsidR="00B60186" w:rsidRPr="00B60186">
        <w:rPr>
          <w:rFonts w:ascii="Times New Roman" w:hAnsi="Times New Roman" w:cs="Times New Roman"/>
          <w:b w:val="0"/>
          <w:noProof/>
          <w:color w:val="44546A" w:themeColor="text2"/>
          <w:sz w:val="22"/>
        </w:rPr>
        <w:t>[44]</w:t>
      </w:r>
      <w:r w:rsidRPr="004646E5">
        <w:rPr>
          <w:rFonts w:ascii="Times New Roman" w:hAnsi="Times New Roman" w:cs="Times New Roman"/>
          <w:b w:val="0"/>
          <w:i/>
          <w:color w:val="44546A" w:themeColor="text2"/>
          <w:sz w:val="22"/>
        </w:rPr>
        <w:fldChar w:fldCharType="end"/>
      </w:r>
      <w:r w:rsidR="004646E5" w:rsidRPr="004646E5">
        <w:rPr>
          <w:rFonts w:ascii="Times New Roman" w:hAnsi="Times New Roman" w:cs="Times New Roman"/>
          <w:b w:val="0"/>
          <w:i/>
          <w:color w:val="44546A" w:themeColor="text2"/>
          <w:sz w:val="22"/>
        </w:rPr>
        <w:t>.</w:t>
      </w:r>
    </w:p>
    <w:p w14:paraId="16FB58CC" w14:textId="77777777" w:rsidR="00F00F94" w:rsidRDefault="00F00F94" w:rsidP="001944BB">
      <w:pPr>
        <w:jc w:val="both"/>
        <w:rPr>
          <w:rFonts w:ascii="Times New Roman" w:hAnsi="Times New Roman" w:cs="Times New Roman"/>
          <w:sz w:val="24"/>
          <w:lang w:val="en-US"/>
        </w:rPr>
      </w:pPr>
    </w:p>
    <w:p w14:paraId="4062EB37" w14:textId="05D18C39" w:rsidR="006867BA" w:rsidRDefault="006867BA" w:rsidP="006867BA">
      <w:pPr>
        <w:rPr>
          <w:rFonts w:ascii="Times New Roman" w:hAnsi="Times New Roman" w:cs="Times New Roman"/>
          <w:sz w:val="24"/>
          <w:szCs w:val="24"/>
          <w:lang w:val="en-US"/>
        </w:rPr>
      </w:pPr>
      <w:r w:rsidRPr="001944BB">
        <w:rPr>
          <w:rFonts w:ascii="Times New Roman" w:hAnsi="Times New Roman" w:cs="Times New Roman"/>
          <w:sz w:val="24"/>
          <w:lang w:val="en-US"/>
        </w:rPr>
        <w:t xml:space="preserve">TESLA through </w:t>
      </w:r>
      <w:r w:rsidRPr="001944BB">
        <w:rPr>
          <w:rFonts w:ascii="Times New Roman" w:hAnsi="Times New Roman" w:cs="Times New Roman"/>
          <w:noProof/>
          <w:sz w:val="24"/>
          <w:lang w:val="en-US"/>
        </w:rPr>
        <w:t>its</w:t>
      </w:r>
      <w:r w:rsidRPr="001944BB">
        <w:rPr>
          <w:rFonts w:ascii="Times New Roman" w:hAnsi="Times New Roman" w:cs="Times New Roman"/>
          <w:sz w:val="24"/>
          <w:lang w:val="en-US"/>
        </w:rPr>
        <w:t xml:space="preserve"> </w:t>
      </w:r>
      <w:r w:rsidRPr="001944BB">
        <w:rPr>
          <w:rFonts w:ascii="Times New Roman" w:hAnsi="Times New Roman" w:cs="Times New Roman"/>
          <w:noProof/>
          <w:sz w:val="24"/>
          <w:lang w:val="en-US"/>
        </w:rPr>
        <w:t>Gigafactory</w:t>
      </w:r>
      <w:r w:rsidRPr="001944BB">
        <w:rPr>
          <w:rFonts w:ascii="Times New Roman" w:hAnsi="Times New Roman" w:cs="Times New Roman"/>
          <w:sz w:val="24"/>
          <w:lang w:val="en-US"/>
        </w:rPr>
        <w:t xml:space="preserve"> </w:t>
      </w:r>
      <w:r>
        <w:rPr>
          <w:rFonts w:ascii="Times New Roman" w:hAnsi="Times New Roman" w:cs="Times New Roman"/>
          <w:noProof/>
          <w:sz w:val="24"/>
          <w:lang w:val="en-US"/>
        </w:rPr>
        <w:t xml:space="preserve">is reported </w:t>
      </w:r>
      <w:r w:rsidR="009A0C2D">
        <w:rPr>
          <w:rFonts w:ascii="Times New Roman" w:hAnsi="Times New Roman" w:cs="Times New Roman"/>
          <w:noProof/>
          <w:sz w:val="24"/>
          <w:lang w:val="en-US"/>
        </w:rPr>
        <w:t xml:space="preserve">to be 4-5 years ahead of </w:t>
      </w:r>
      <w:r w:rsidR="00BC35D2">
        <w:rPr>
          <w:rFonts w:ascii="Times New Roman" w:hAnsi="Times New Roman" w:cs="Times New Roman"/>
          <w:noProof/>
          <w:sz w:val="24"/>
          <w:lang w:val="en-US"/>
        </w:rPr>
        <w:t xml:space="preserve">the </w:t>
      </w:r>
      <w:r w:rsidR="00BC35D2" w:rsidRPr="00C86CF8">
        <w:rPr>
          <w:rFonts w:ascii="Times New Roman" w:hAnsi="Times New Roman" w:cs="Times New Roman"/>
          <w:sz w:val="24"/>
          <w:szCs w:val="24"/>
          <w:lang w:val="en-US"/>
        </w:rPr>
        <w:t xml:space="preserve">industry average </w:t>
      </w:r>
      <w:r w:rsidR="009A0C2D">
        <w:rPr>
          <w:rFonts w:ascii="Times New Roman" w:hAnsi="Times New Roman" w:cs="Times New Roman"/>
          <w:noProof/>
          <w:sz w:val="24"/>
          <w:lang w:val="en-US"/>
        </w:rPr>
        <w:t xml:space="preserve">with </w:t>
      </w:r>
      <w:r w:rsidRPr="001944BB">
        <w:rPr>
          <w:rFonts w:ascii="Times New Roman" w:hAnsi="Times New Roman" w:cs="Times New Roman"/>
          <w:sz w:val="24"/>
          <w:lang w:val="en-US"/>
        </w:rPr>
        <w:t xml:space="preserve">a </w:t>
      </w:r>
      <w:r w:rsidR="00BC35D2">
        <w:rPr>
          <w:rFonts w:ascii="Times New Roman" w:hAnsi="Times New Roman" w:cs="Times New Roman"/>
          <w:sz w:val="24"/>
          <w:lang w:val="en-US"/>
        </w:rPr>
        <w:t xml:space="preserve">pack </w:t>
      </w:r>
      <w:r w:rsidRPr="001944BB">
        <w:rPr>
          <w:rFonts w:ascii="Times New Roman" w:hAnsi="Times New Roman" w:cs="Times New Roman"/>
          <w:sz w:val="24"/>
          <w:lang w:val="en-US"/>
        </w:rPr>
        <w:t>cost level of US$190/kWh</w:t>
      </w:r>
      <w:r w:rsidR="009A0C2D">
        <w:rPr>
          <w:rFonts w:ascii="Times New Roman" w:hAnsi="Times New Roman" w:cs="Times New Roman"/>
          <w:sz w:val="24"/>
          <w:lang w:val="en-US"/>
        </w:rPr>
        <w:t xml:space="preserve"> already in 2016 and </w:t>
      </w:r>
      <w:r w:rsidR="00BC35D2">
        <w:rPr>
          <w:rFonts w:ascii="Times New Roman" w:hAnsi="Times New Roman" w:cs="Times New Roman"/>
          <w:sz w:val="24"/>
          <w:lang w:val="en-US"/>
        </w:rPr>
        <w:t>indications</w:t>
      </w:r>
      <w:r w:rsidR="001F259A">
        <w:rPr>
          <w:rFonts w:ascii="Times New Roman" w:hAnsi="Times New Roman" w:cs="Times New Roman"/>
          <w:sz w:val="24"/>
          <w:lang w:val="en-US"/>
        </w:rPr>
        <w:t xml:space="preserve"> have been reported</w:t>
      </w:r>
      <w:r w:rsidR="00BC35D2">
        <w:rPr>
          <w:rFonts w:ascii="Times New Roman" w:hAnsi="Times New Roman" w:cs="Times New Roman"/>
          <w:sz w:val="24"/>
          <w:lang w:val="en-US"/>
        </w:rPr>
        <w:t xml:space="preserve"> of </w:t>
      </w:r>
      <w:r w:rsidRPr="001944BB">
        <w:rPr>
          <w:rFonts w:ascii="Times New Roman" w:hAnsi="Times New Roman" w:cs="Times New Roman"/>
          <w:sz w:val="24"/>
          <w:lang w:val="en-US"/>
        </w:rPr>
        <w:t xml:space="preserve">US$ 100/kWh </w:t>
      </w:r>
      <w:r>
        <w:rPr>
          <w:rFonts w:ascii="Times New Roman" w:hAnsi="Times New Roman" w:cs="Times New Roman"/>
          <w:sz w:val="24"/>
          <w:lang w:val="en-US"/>
        </w:rPr>
        <w:t>before</w:t>
      </w:r>
      <w:r w:rsidRPr="001944BB">
        <w:rPr>
          <w:rFonts w:ascii="Times New Roman" w:hAnsi="Times New Roman" w:cs="Times New Roman"/>
          <w:sz w:val="24"/>
          <w:lang w:val="en-US"/>
        </w:rPr>
        <w:t xml:space="preserve"> 2020</w:t>
      </w:r>
      <w:r w:rsidR="00BC35D2">
        <w:rPr>
          <w:rFonts w:ascii="Times New Roman" w:hAnsi="Times New Roman" w:cs="Times New Roman"/>
          <w:sz w:val="24"/>
          <w:lang w:val="en-US"/>
        </w:rPr>
        <w:t xml:space="preserve"> </w:t>
      </w:r>
      <w:r w:rsidR="00BC35D2">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{"citationItems":[{"id":"ITEM-1","itemData":{"URL":"https://cleantechnica.com/2018/06/09/100-kwh-tesla-battery-cells-this-year-100-kwh-tesla-battery-packs-in-2020/","accessed":{"date-parts":[["2018","10","30"]]},"id":"ITEM-1","issued":{"date-parts":[["0"]]},"title":"$100/kWh Tesla Battery Cells This Year, $100/kWh Tesla Battery Packs In 2020 | CleanTechnica","type":"webpage"},"uris":["http://www.mendeley.com/documents/?uuid=4f291c6e-292a-34f6-a954-8e6faffe78d4"]}],"mendeley":{"formattedCitation":"[45]","plainTextFormattedCitation":"[45]","previouslyFormattedCitation":"[45]"},"properties":{"noteIndex":0},"schema":"https://github.com/citation-style-language/schema/raw/master/csl-citation.json"}</w:instrText>
      </w:r>
      <w:r w:rsidR="00BC35D2">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[45]</w:t>
      </w:r>
      <w:r w:rsidR="00BC35D2">
        <w:rPr>
          <w:rFonts w:ascii="Times New Roman" w:hAnsi="Times New Roman" w:cs="Times New Roman"/>
          <w:sz w:val="24"/>
          <w:lang w:val="en-US"/>
        </w:rPr>
        <w:fldChar w:fldCharType="end"/>
      </w:r>
      <w:r w:rsidR="00BC35D2">
        <w:rPr>
          <w:rFonts w:ascii="Times New Roman" w:hAnsi="Times New Roman" w:cs="Times New Roman"/>
          <w:sz w:val="24"/>
          <w:lang w:val="en-US"/>
        </w:rPr>
        <w:t xml:space="preserve"> </w:t>
      </w:r>
      <w:r>
        <w:rPr>
          <w:rFonts w:ascii="Times New Roman" w:hAnsi="Times New Roman" w:cs="Times New Roman"/>
          <w:sz w:val="24"/>
          <w:lang w:val="en-US"/>
        </w:rPr>
        <w:t xml:space="preserve">and </w:t>
      </w:r>
      <w:r w:rsidRPr="001944BB">
        <w:rPr>
          <w:rFonts w:ascii="Times New Roman" w:hAnsi="Times New Roman" w:cs="Times New Roman"/>
          <w:sz w:val="24"/>
          <w:lang w:val="en-US"/>
        </w:rPr>
        <w:t xml:space="preserve">US$ </w:t>
      </w:r>
      <w:r>
        <w:rPr>
          <w:rFonts w:ascii="Times New Roman" w:hAnsi="Times New Roman" w:cs="Times New Roman"/>
          <w:sz w:val="24"/>
          <w:lang w:val="en-US"/>
        </w:rPr>
        <w:t>80</w:t>
      </w:r>
      <w:r w:rsidRPr="001944BB">
        <w:rPr>
          <w:rFonts w:ascii="Times New Roman" w:hAnsi="Times New Roman" w:cs="Times New Roman"/>
          <w:sz w:val="24"/>
          <w:lang w:val="en-US"/>
        </w:rPr>
        <w:t>/kWh</w:t>
      </w:r>
      <w:r>
        <w:rPr>
          <w:rFonts w:ascii="Times New Roman" w:hAnsi="Times New Roman" w:cs="Times New Roman"/>
          <w:sz w:val="24"/>
          <w:lang w:val="en-US"/>
        </w:rPr>
        <w:t xml:space="preserve"> soon thereafter </w:t>
      </w:r>
      <w:r>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{"citationItems":[{"id":"ITEM-1","itemData":{"URL":"https://www.wardsauto.com/ideaxchange/two-tidbits-ces","accessed":{"date-parts":[["2018","10","30"]]},"id":"ITEM-1","issued":{"date-parts":[["0"]]},"title":"Two Tidbits From CES: Better Cybersecurity and Cheaper EV Batteries","type":"webpage"},"uris":["http://www.mendeley.com/documents/?uuid=21a2eeac-e255-3d76-b2af-55bdbe476efe"]}],"mendeley":{"formattedCitation":"[46]","plainTextFormattedCitation":"[46]","previouslyFormattedCitation":"[46]"},"properties":{"noteIndex":0},"schema":"https://github.com/citation-style-language/schema/raw/master/csl-citation.json"}</w:instrText>
      </w:r>
      <w:r>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[46]</w:t>
      </w:r>
      <w:r>
        <w:rPr>
          <w:rFonts w:ascii="Times New Roman" w:hAnsi="Times New Roman" w:cs="Times New Roman"/>
          <w:sz w:val="24"/>
          <w:lang w:val="en-US"/>
        </w:rPr>
        <w:fldChar w:fldCharType="end"/>
      </w:r>
      <w:r w:rsidRPr="001944BB">
        <w:rPr>
          <w:rFonts w:ascii="Times New Roman" w:hAnsi="Times New Roman" w:cs="Times New Roman"/>
          <w:sz w:val="24"/>
          <w:lang w:val="en-US"/>
        </w:rPr>
        <w:t>.</w:t>
      </w:r>
      <w:r>
        <w:rPr>
          <w:rFonts w:ascii="Times New Roman" w:hAnsi="Times New Roman" w:cs="Times New Roman"/>
          <w:sz w:val="24"/>
          <w:lang w:val="en-US"/>
        </w:rPr>
        <w:t xml:space="preserve"> </w:t>
      </w:r>
    </w:p>
    <w:p w14:paraId="35733C0A" w14:textId="7B79DD95" w:rsidR="001944BB" w:rsidRDefault="00BC35D2" w:rsidP="001944BB">
      <w:pPr>
        <w:jc w:val="both"/>
        <w:rPr>
          <w:rFonts w:ascii="Times New Roman" w:hAnsi="Times New Roman" w:cs="Times New Roman"/>
          <w:sz w:val="24"/>
          <w:lang w:val="en-US"/>
        </w:rPr>
      </w:pPr>
      <w:r>
        <w:rPr>
          <w:rFonts w:ascii="Times New Roman" w:hAnsi="Times New Roman" w:cs="Times New Roman"/>
          <w:sz w:val="24"/>
          <w:lang w:val="en-US"/>
        </w:rPr>
        <w:t xml:space="preserve">The cost reductions are backed up by a rapid increase in </w:t>
      </w:r>
      <w:r w:rsidR="00C86CF8">
        <w:rPr>
          <w:rFonts w:ascii="Times New Roman" w:hAnsi="Times New Roman" w:cs="Times New Roman"/>
          <w:sz w:val="24"/>
          <w:lang w:val="en-US"/>
        </w:rPr>
        <w:t>t</w:t>
      </w:r>
      <w:r w:rsidR="001944BB">
        <w:rPr>
          <w:rFonts w:ascii="Times New Roman" w:hAnsi="Times New Roman" w:cs="Times New Roman"/>
          <w:sz w:val="24"/>
          <w:lang w:val="en-US"/>
        </w:rPr>
        <w:t>he</w:t>
      </w:r>
      <w:r w:rsidR="001944BB" w:rsidRPr="001944BB">
        <w:rPr>
          <w:rFonts w:ascii="Times New Roman" w:hAnsi="Times New Roman" w:cs="Times New Roman"/>
          <w:sz w:val="24"/>
          <w:lang w:val="en-US"/>
        </w:rPr>
        <w:t xml:space="preserve"> LIB </w:t>
      </w:r>
      <w:r w:rsidR="00F00F94" w:rsidRPr="001944BB">
        <w:rPr>
          <w:rFonts w:ascii="Times New Roman" w:hAnsi="Times New Roman" w:cs="Times New Roman"/>
          <w:sz w:val="24"/>
          <w:lang w:val="en-US"/>
        </w:rPr>
        <w:t xml:space="preserve">production capacity </w:t>
      </w:r>
      <w:r>
        <w:rPr>
          <w:rFonts w:ascii="Times New Roman" w:hAnsi="Times New Roman" w:cs="Times New Roman"/>
          <w:sz w:val="24"/>
          <w:lang w:val="en-US"/>
        </w:rPr>
        <w:t xml:space="preserve">as shown in </w:t>
      </w:r>
      <w:r w:rsidRPr="00C86CF8">
        <w:rPr>
          <w:rFonts w:ascii="Times New Roman" w:hAnsi="Times New Roman" w:cs="Times New Roman"/>
          <w:sz w:val="24"/>
          <w:lang w:val="en-US"/>
        </w:rPr>
        <w:fldChar w:fldCharType="begin"/>
      </w:r>
      <w:r w:rsidRPr="00C86CF8">
        <w:rPr>
          <w:rFonts w:ascii="Times New Roman" w:hAnsi="Times New Roman" w:cs="Times New Roman"/>
          <w:sz w:val="24"/>
          <w:lang w:val="en-US"/>
        </w:rPr>
        <w:instrText xml:space="preserve"> REF _Ref528242929 \h  \* MERGEFORMAT </w:instrText>
      </w:r>
      <w:r w:rsidRPr="00C86CF8">
        <w:rPr>
          <w:rFonts w:ascii="Times New Roman" w:hAnsi="Times New Roman" w:cs="Times New Roman"/>
          <w:sz w:val="24"/>
          <w:lang w:val="en-US"/>
        </w:rPr>
      </w:r>
      <w:r w:rsidRPr="00C86CF8">
        <w:rPr>
          <w:rFonts w:ascii="Times New Roman" w:hAnsi="Times New Roman" w:cs="Times New Roman"/>
          <w:sz w:val="24"/>
          <w:lang w:val="en-US"/>
        </w:rPr>
        <w:fldChar w:fldCharType="separate"/>
      </w:r>
      <w:r w:rsidR="00E60026" w:rsidRPr="00E60026">
        <w:rPr>
          <w:rFonts w:ascii="Times New Roman" w:hAnsi="Times New Roman" w:cs="Times New Roman"/>
          <w:lang w:val="en-US"/>
        </w:rPr>
        <w:t xml:space="preserve">Figure </w:t>
      </w:r>
      <w:r w:rsidR="00E60026" w:rsidRPr="00E60026">
        <w:rPr>
          <w:rFonts w:ascii="Times New Roman" w:hAnsi="Times New Roman" w:cs="Times New Roman"/>
          <w:noProof/>
          <w:lang w:val="en-US"/>
        </w:rPr>
        <w:t>9</w:t>
      </w:r>
      <w:r w:rsidRPr="00C86CF8">
        <w:rPr>
          <w:rFonts w:ascii="Times New Roman" w:hAnsi="Times New Roman" w:cs="Times New Roman"/>
          <w:sz w:val="24"/>
          <w:lang w:val="en-US"/>
        </w:rPr>
        <w:fldChar w:fldCharType="end"/>
      </w:r>
      <w:r>
        <w:rPr>
          <w:rFonts w:ascii="Times New Roman" w:hAnsi="Times New Roman" w:cs="Times New Roman"/>
          <w:sz w:val="24"/>
          <w:lang w:val="en-US"/>
        </w:rPr>
        <w:t xml:space="preserve">. The production capacity </w:t>
      </w:r>
      <w:r w:rsidR="00F00F94">
        <w:rPr>
          <w:rFonts w:ascii="Times New Roman" w:hAnsi="Times New Roman" w:cs="Times New Roman"/>
          <w:sz w:val="24"/>
          <w:lang w:val="en-US"/>
        </w:rPr>
        <w:t xml:space="preserve">is expected to grow </w:t>
      </w:r>
      <w:r w:rsidR="00056AD4">
        <w:rPr>
          <w:rFonts w:ascii="Times New Roman" w:hAnsi="Times New Roman" w:cs="Times New Roman"/>
          <w:sz w:val="24"/>
          <w:lang w:val="en-US"/>
        </w:rPr>
        <w:t xml:space="preserve">from </w:t>
      </w:r>
      <w:r w:rsidR="001944BB" w:rsidRPr="001944BB">
        <w:rPr>
          <w:rFonts w:ascii="Times New Roman" w:hAnsi="Times New Roman" w:cs="Times New Roman"/>
          <w:sz w:val="24"/>
          <w:lang w:val="en-US"/>
        </w:rPr>
        <w:t xml:space="preserve">28 </w:t>
      </w:r>
      <w:proofErr w:type="spellStart"/>
      <w:r w:rsidR="001944BB" w:rsidRPr="001944BB">
        <w:rPr>
          <w:rFonts w:ascii="Times New Roman" w:hAnsi="Times New Roman" w:cs="Times New Roman"/>
          <w:sz w:val="24"/>
          <w:lang w:val="en-US"/>
        </w:rPr>
        <w:t>GWh</w:t>
      </w:r>
      <w:proofErr w:type="spellEnd"/>
      <w:r w:rsidR="001944BB">
        <w:rPr>
          <w:rFonts w:ascii="Times New Roman" w:hAnsi="Times New Roman" w:cs="Times New Roman"/>
          <w:sz w:val="24"/>
          <w:lang w:val="en-US"/>
        </w:rPr>
        <w:t xml:space="preserve"> </w:t>
      </w:r>
      <w:r w:rsidR="00056AD4">
        <w:rPr>
          <w:rFonts w:ascii="Times New Roman" w:hAnsi="Times New Roman" w:cs="Times New Roman"/>
          <w:sz w:val="24"/>
          <w:lang w:val="en-US"/>
        </w:rPr>
        <w:t xml:space="preserve">in 2016 </w:t>
      </w:r>
      <w:r w:rsidR="00056AD4" w:rsidRPr="001944BB">
        <w:rPr>
          <w:rFonts w:ascii="Times New Roman" w:hAnsi="Times New Roman" w:cs="Times New Roman"/>
          <w:sz w:val="24"/>
          <w:lang w:val="en-US"/>
        </w:rPr>
        <w:t xml:space="preserve">to 174 </w:t>
      </w:r>
      <w:proofErr w:type="spellStart"/>
      <w:r w:rsidR="00056AD4" w:rsidRPr="001944BB">
        <w:rPr>
          <w:rFonts w:ascii="Times New Roman" w:hAnsi="Times New Roman" w:cs="Times New Roman"/>
          <w:sz w:val="24"/>
          <w:lang w:val="en-US"/>
        </w:rPr>
        <w:t>GWh</w:t>
      </w:r>
      <w:proofErr w:type="spellEnd"/>
      <w:r w:rsidR="00056AD4" w:rsidRPr="001944BB">
        <w:rPr>
          <w:rFonts w:ascii="Times New Roman" w:hAnsi="Times New Roman" w:cs="Times New Roman"/>
          <w:sz w:val="24"/>
          <w:lang w:val="en-US"/>
        </w:rPr>
        <w:t xml:space="preserve"> by </w:t>
      </w:r>
      <w:r w:rsidR="00056AD4" w:rsidRPr="000A57F3">
        <w:rPr>
          <w:rFonts w:ascii="Times New Roman" w:hAnsi="Times New Roman" w:cs="Times New Roman"/>
          <w:sz w:val="24"/>
          <w:szCs w:val="24"/>
          <w:lang w:val="en-US"/>
        </w:rPr>
        <w:t xml:space="preserve">2020 </w:t>
      </w:r>
      <w:r w:rsidR="00F00F94">
        <w:rPr>
          <w:rFonts w:ascii="Times New Roman" w:hAnsi="Times New Roman" w:cs="Times New Roman"/>
          <w:sz w:val="24"/>
          <w:szCs w:val="24"/>
          <w:lang w:val="en-US"/>
        </w:rPr>
        <w:t xml:space="preserve">representing an impressive </w:t>
      </w:r>
      <w:r w:rsidR="00056AD4">
        <w:rPr>
          <w:rFonts w:ascii="Times New Roman" w:hAnsi="Times New Roman" w:cs="Times New Roman"/>
          <w:sz w:val="24"/>
          <w:lang w:val="en-US"/>
        </w:rPr>
        <w:t>five-fold growth</w:t>
      </w:r>
      <w:r w:rsidR="00AC3C33">
        <w:rPr>
          <w:rFonts w:ascii="Times New Roman" w:hAnsi="Times New Roman" w:cs="Times New Roman"/>
          <w:sz w:val="24"/>
          <w:lang w:val="en-US"/>
        </w:rPr>
        <w:t xml:space="preserve"> in four years</w:t>
      </w:r>
      <w:r w:rsidR="00547C40">
        <w:rPr>
          <w:rFonts w:ascii="Times New Roman" w:hAnsi="Times New Roman" w:cs="Times New Roman"/>
          <w:sz w:val="24"/>
          <w:lang w:val="en-US"/>
        </w:rPr>
        <w:t xml:space="preserve"> </w:t>
      </w:r>
      <w:r w:rsidR="00547C40" w:rsidRPr="000A57F3">
        <w:rPr>
          <w:rFonts w:ascii="Times New Roman" w:hAnsi="Times New Roman" w:cs="Times New Roman"/>
          <w:i/>
          <w:sz w:val="24"/>
          <w:szCs w:val="24"/>
        </w:rPr>
        <w:fldChar w:fldCharType="begin" w:fldLock="1"/>
      </w:r>
      <w:r w:rsidR="001A7298">
        <w:rPr>
          <w:rFonts w:ascii="Times New Roman" w:hAnsi="Times New Roman" w:cs="Times New Roman"/>
          <w:i/>
          <w:sz w:val="24"/>
          <w:szCs w:val="24"/>
          <w:lang w:val="en-US"/>
        </w:rPr>
        <w:instrText>ADDIN CSL_CITATION {"citationItems":[{"id":"ITEM-1","itemData":{"id":"ITEM-1","issued":{"date-parts":[["0"]]},"title":"No Title","type":"webpage"},"uris":["http://www.mendeley.com/documents/?uuid=93d69b89-e3b5-42b7-9942-3dad5566d12c","http://www.mendeley.com/documents/?uuid=79d23a14-8bd0-4d8c-bfe1-4bad40091992"]}],"mendeley":{"formattedCitation":"[47]","plainTextFormattedCitation":"[47]","previouslyFormattedCitation":"[47]"},"properties":{"noteIndex":0},"schema":"https://github.com/citation-style-language/schema/raw/master/csl-citation.json"}</w:instrText>
      </w:r>
      <w:r w:rsidR="00547C40" w:rsidRPr="000A57F3">
        <w:rPr>
          <w:rFonts w:ascii="Times New Roman" w:hAnsi="Times New Roman" w:cs="Times New Roman"/>
          <w:i/>
          <w:sz w:val="24"/>
          <w:szCs w:val="24"/>
        </w:rPr>
        <w:fldChar w:fldCharType="separate"/>
      </w:r>
      <w:r w:rsidR="00B60186" w:rsidRPr="00B60186">
        <w:rPr>
          <w:rFonts w:ascii="Times New Roman" w:hAnsi="Times New Roman" w:cs="Times New Roman"/>
          <w:noProof/>
          <w:sz w:val="24"/>
          <w:szCs w:val="24"/>
          <w:lang w:val="en-US"/>
        </w:rPr>
        <w:t>[47]</w:t>
      </w:r>
      <w:r w:rsidR="00547C40" w:rsidRPr="000A57F3">
        <w:rPr>
          <w:rFonts w:ascii="Times New Roman" w:hAnsi="Times New Roman" w:cs="Times New Roman"/>
          <w:i/>
          <w:sz w:val="24"/>
          <w:szCs w:val="24"/>
        </w:rPr>
        <w:fldChar w:fldCharType="end"/>
      </w:r>
      <w:r w:rsidR="001944BB" w:rsidRPr="001944BB">
        <w:rPr>
          <w:rFonts w:ascii="Times New Roman" w:hAnsi="Times New Roman" w:cs="Times New Roman"/>
          <w:sz w:val="24"/>
          <w:lang w:val="en-US"/>
        </w:rPr>
        <w:t xml:space="preserve">. </w:t>
      </w:r>
    </w:p>
    <w:p w14:paraId="28868394" w14:textId="77777777" w:rsidR="00544654" w:rsidRPr="001944BB" w:rsidRDefault="00544654" w:rsidP="001944BB">
      <w:pPr>
        <w:jc w:val="both"/>
        <w:rPr>
          <w:rFonts w:ascii="Times New Roman" w:hAnsi="Times New Roman" w:cs="Times New Roman"/>
          <w:sz w:val="24"/>
          <w:lang w:val="en-US"/>
        </w:rPr>
      </w:pPr>
    </w:p>
    <w:p w14:paraId="20D30D0C" w14:textId="77777777" w:rsidR="001944BB" w:rsidRPr="00516B84" w:rsidRDefault="001944BB" w:rsidP="001944BB">
      <w:pPr>
        <w:jc w:val="center"/>
        <w:rPr>
          <w:rFonts w:ascii="Times New Roman" w:hAnsi="Times New Roman" w:cs="Times New Roman"/>
        </w:rPr>
      </w:pPr>
      <w:r w:rsidRPr="00516B84">
        <w:rPr>
          <w:rFonts w:ascii="Times New Roman" w:hAnsi="Times New Roman" w:cs="Times New Roman"/>
          <w:noProof/>
          <w:lang w:eastAsia="da-DK"/>
        </w:rPr>
        <w:lastRenderedPageBreak/>
        <w:drawing>
          <wp:inline distT="0" distB="0" distL="0" distR="0" wp14:anchorId="62E37585" wp14:editId="4B205CDC">
            <wp:extent cx="5595042" cy="5777686"/>
            <wp:effectExtent l="0" t="0" r="5715" b="0"/>
            <wp:docPr id="13" name="Picture 13" descr="China Leading the Charge for Lithium-Ion Megafac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ina Leading the Charge for Lithium-Ion Megafactories"/>
                    <pic:cNvPicPr>
                      <a:picLocks noChangeAspect="1" noChangeArrowheads="1"/>
                    </pic:cNvPicPr>
                  </pic:nvPicPr>
                  <pic:blipFill rotWithShape="1">
                    <a:blip r:embed="rId50">
                      <a:extLst>
                        <a:ext uri="{28A0092B-C50C-407E-A947-70E740481C1C}">
                          <a14:useLocalDpi xmlns:a14="http://schemas.microsoft.com/office/drawing/2010/main" val="0"/>
                        </a:ext>
                      </a:extLst>
                    </a:blip>
                    <a:srcRect t="9640" b="24271"/>
                    <a:stretch/>
                  </pic:blipFill>
                  <pic:spPr bwMode="auto">
                    <a:xfrm>
                      <a:off x="0" y="0"/>
                      <a:ext cx="5598569" cy="5781328"/>
                    </a:xfrm>
                    <a:prstGeom prst="rect">
                      <a:avLst/>
                    </a:prstGeom>
                    <a:noFill/>
                    <a:ln>
                      <a:noFill/>
                    </a:ln>
                    <a:extLst>
                      <a:ext uri="{53640926-AAD7-44D8-BBD7-CCE9431645EC}">
                        <a14:shadowObscured xmlns:a14="http://schemas.microsoft.com/office/drawing/2010/main"/>
                      </a:ext>
                    </a:extLst>
                  </pic:spPr>
                </pic:pic>
              </a:graphicData>
            </a:graphic>
          </wp:inline>
        </w:drawing>
      </w:r>
    </w:p>
    <w:p w14:paraId="5BA84ECA" w14:textId="5A79B56F" w:rsidR="001944BB" w:rsidRPr="00547C40" w:rsidRDefault="001944BB" w:rsidP="001944BB">
      <w:pPr>
        <w:rPr>
          <w:lang w:val="en-US"/>
        </w:rPr>
      </w:pPr>
      <w:bookmarkStart w:id="88" w:name="_Ref528242929"/>
      <w:r w:rsidRPr="001944BB">
        <w:rPr>
          <w:rFonts w:ascii="Times New Roman" w:hAnsi="Times New Roman" w:cs="Times New Roman"/>
          <w:i/>
          <w:color w:val="44546A" w:themeColor="text2"/>
          <w:lang w:val="en-US"/>
        </w:rPr>
        <w:t xml:space="preserve">Figure </w:t>
      </w:r>
      <w:r w:rsidRPr="00827D48">
        <w:rPr>
          <w:rFonts w:ascii="Times New Roman" w:hAnsi="Times New Roman" w:cs="Times New Roman"/>
          <w:b/>
          <w:i/>
          <w:color w:val="44546A" w:themeColor="text2"/>
        </w:rPr>
        <w:fldChar w:fldCharType="begin"/>
      </w:r>
      <w:r w:rsidRPr="001944BB">
        <w:rPr>
          <w:rFonts w:ascii="Times New Roman" w:hAnsi="Times New Roman" w:cs="Times New Roman"/>
          <w:i/>
          <w:color w:val="44546A" w:themeColor="text2"/>
          <w:lang w:val="en-US"/>
        </w:rPr>
        <w:instrText xml:space="preserve"> SEQ Figure \* ARABIC </w:instrText>
      </w:r>
      <w:r w:rsidRPr="00827D48">
        <w:rPr>
          <w:rFonts w:ascii="Times New Roman" w:hAnsi="Times New Roman" w:cs="Times New Roman"/>
          <w:b/>
          <w:i/>
          <w:color w:val="44546A" w:themeColor="text2"/>
        </w:rPr>
        <w:fldChar w:fldCharType="separate"/>
      </w:r>
      <w:r w:rsidR="00E60026">
        <w:rPr>
          <w:rFonts w:ascii="Times New Roman" w:hAnsi="Times New Roman" w:cs="Times New Roman"/>
          <w:i/>
          <w:noProof/>
          <w:color w:val="44546A" w:themeColor="text2"/>
          <w:lang w:val="en-US"/>
        </w:rPr>
        <w:t>9</w:t>
      </w:r>
      <w:r w:rsidRPr="00827D48">
        <w:rPr>
          <w:rFonts w:ascii="Times New Roman" w:hAnsi="Times New Roman" w:cs="Times New Roman"/>
          <w:b/>
          <w:i/>
          <w:color w:val="44546A" w:themeColor="text2"/>
        </w:rPr>
        <w:fldChar w:fldCharType="end"/>
      </w:r>
      <w:bookmarkEnd w:id="88"/>
      <w:r w:rsidRPr="001944BB">
        <w:rPr>
          <w:rFonts w:ascii="Times New Roman" w:hAnsi="Times New Roman" w:cs="Times New Roman"/>
          <w:i/>
          <w:color w:val="44546A" w:themeColor="text2"/>
          <w:lang w:val="en-US"/>
        </w:rPr>
        <w:t xml:space="preserve">: Projected growth in LIB manufacturing capacity over next few years, total and divided </w:t>
      </w:r>
      <w:r w:rsidRPr="001944BB">
        <w:rPr>
          <w:rFonts w:ascii="Times New Roman" w:hAnsi="Times New Roman" w:cs="Times New Roman"/>
          <w:i/>
          <w:noProof/>
          <w:color w:val="44546A" w:themeColor="text2"/>
          <w:lang w:val="en-US"/>
        </w:rPr>
        <w:t>on technology</w:t>
      </w:r>
      <w:r w:rsidRPr="001944BB">
        <w:rPr>
          <w:rFonts w:ascii="Times New Roman" w:hAnsi="Times New Roman" w:cs="Times New Roman"/>
          <w:i/>
          <w:color w:val="44546A" w:themeColor="text2"/>
          <w:lang w:val="en-US"/>
        </w:rPr>
        <w:t xml:space="preserve"> producers </w:t>
      </w:r>
      <w:r w:rsidRPr="001944BB">
        <w:rPr>
          <w:rFonts w:ascii="Times New Roman" w:hAnsi="Times New Roman" w:cs="Times New Roman"/>
          <w:i/>
          <w:color w:val="44546A" w:themeColor="text2"/>
        </w:rPr>
        <w:fldChar w:fldCharType="begin" w:fldLock="1"/>
      </w:r>
      <w:r w:rsidR="001A7298">
        <w:rPr>
          <w:rFonts w:ascii="Times New Roman" w:hAnsi="Times New Roman" w:cs="Times New Roman"/>
          <w:i/>
          <w:color w:val="44546A" w:themeColor="text2"/>
          <w:lang w:val="en-US"/>
        </w:rPr>
        <w:instrText>ADDIN CSL_CITATION {"citationItems":[{"id":"ITEM-1","itemData":{"id":"ITEM-1","issued":{"date-parts":[["0"]]},"title":"No Title","type":"webpage"},"uris":["http://www.mendeley.com/documents/?uuid=93d69b89-e3b5-42b7-9942-3dad5566d12c","http://www.mendeley.com/documents/?uuid=79d23a14-8bd0-4d8c-bfe1-4bad40091992"]}],"mendeley":{"formattedCitation":"[47]","plainTextFormattedCitation":"[47]","previouslyFormattedCitation":"[47]"},"properties":{"noteIndex":0},"schema":"https://github.com/citation-style-language/schema/raw/master/csl-citation.json"}</w:instrText>
      </w:r>
      <w:r w:rsidRPr="001944BB">
        <w:rPr>
          <w:rFonts w:ascii="Times New Roman" w:hAnsi="Times New Roman" w:cs="Times New Roman"/>
          <w:i/>
          <w:color w:val="44546A" w:themeColor="text2"/>
        </w:rPr>
        <w:fldChar w:fldCharType="separate"/>
      </w:r>
      <w:r w:rsidR="00B60186" w:rsidRPr="00B60186">
        <w:rPr>
          <w:rFonts w:ascii="Times New Roman" w:hAnsi="Times New Roman" w:cs="Times New Roman"/>
          <w:noProof/>
          <w:color w:val="44546A" w:themeColor="text2"/>
          <w:lang w:val="en-US"/>
        </w:rPr>
        <w:t>[47]</w:t>
      </w:r>
      <w:r w:rsidRPr="001944BB">
        <w:rPr>
          <w:rFonts w:ascii="Times New Roman" w:hAnsi="Times New Roman" w:cs="Times New Roman"/>
          <w:i/>
          <w:color w:val="44546A" w:themeColor="text2"/>
        </w:rPr>
        <w:fldChar w:fldCharType="end"/>
      </w:r>
      <w:r w:rsidRPr="001944BB">
        <w:rPr>
          <w:rFonts w:ascii="Times New Roman" w:hAnsi="Times New Roman" w:cs="Times New Roman"/>
          <w:i/>
          <w:color w:val="44546A" w:themeColor="text2"/>
          <w:lang w:val="en-US"/>
        </w:rPr>
        <w:t>.</w:t>
      </w:r>
      <w:r w:rsidR="00547C40" w:rsidRPr="00547C40">
        <w:rPr>
          <w:lang w:val="en-US"/>
        </w:rPr>
        <w:t xml:space="preserve"> </w:t>
      </w:r>
      <w:r w:rsidR="00547C40" w:rsidRPr="00547C40">
        <w:rPr>
          <w:rFonts w:ascii="Times New Roman" w:hAnsi="Times New Roman" w:cs="Times New Roman"/>
          <w:i/>
          <w:color w:val="44546A" w:themeColor="text2"/>
          <w:lang w:val="en-US"/>
        </w:rPr>
        <w:t xml:space="preserve">Each battery represents </w:t>
      </w:r>
      <w:r w:rsidR="00547C40">
        <w:rPr>
          <w:rFonts w:ascii="Times New Roman" w:hAnsi="Times New Roman" w:cs="Times New Roman"/>
          <w:i/>
          <w:color w:val="44546A" w:themeColor="text2"/>
          <w:lang w:val="en-US"/>
        </w:rPr>
        <w:t xml:space="preserve">a production capacity of one </w:t>
      </w:r>
      <w:proofErr w:type="spellStart"/>
      <w:r w:rsidR="00547C40" w:rsidRPr="00547C40">
        <w:rPr>
          <w:rFonts w:ascii="Times New Roman" w:hAnsi="Times New Roman" w:cs="Times New Roman"/>
          <w:i/>
          <w:color w:val="44546A" w:themeColor="text2"/>
          <w:lang w:val="en-US"/>
        </w:rPr>
        <w:t>GWh</w:t>
      </w:r>
      <w:proofErr w:type="spellEnd"/>
      <w:r w:rsidR="00547C40">
        <w:rPr>
          <w:rFonts w:ascii="Times New Roman" w:hAnsi="Times New Roman" w:cs="Times New Roman"/>
          <w:i/>
          <w:color w:val="44546A" w:themeColor="text2"/>
          <w:lang w:val="en-US"/>
        </w:rPr>
        <w:t xml:space="preserve"> per year</w:t>
      </w:r>
      <w:r w:rsidR="00547C40" w:rsidRPr="00547C40">
        <w:rPr>
          <w:rFonts w:ascii="Times New Roman" w:hAnsi="Times New Roman" w:cs="Times New Roman"/>
          <w:i/>
          <w:color w:val="44546A" w:themeColor="text2"/>
          <w:lang w:val="en-US"/>
        </w:rPr>
        <w:t>.</w:t>
      </w:r>
    </w:p>
    <w:p w14:paraId="25D0CE86" w14:textId="77777777" w:rsidR="00BC35D2" w:rsidRDefault="00BC35D2" w:rsidP="002303F5">
      <w:pPr>
        <w:jc w:val="both"/>
        <w:rPr>
          <w:rFonts w:ascii="Times New Roman" w:hAnsi="Times New Roman" w:cs="Times New Roman"/>
          <w:noProof/>
          <w:sz w:val="24"/>
          <w:szCs w:val="24"/>
          <w:lang w:val="en-US"/>
        </w:rPr>
      </w:pPr>
    </w:p>
    <w:p w14:paraId="6DD38FCB" w14:textId="3747D1C5" w:rsidR="002303F5" w:rsidRPr="00BC35D2" w:rsidRDefault="00C86CF8" w:rsidP="002303F5">
      <w:pPr>
        <w:jc w:val="both"/>
        <w:rPr>
          <w:sz w:val="24"/>
          <w:szCs w:val="24"/>
          <w:lang w:val="en-US"/>
        </w:rPr>
      </w:pPr>
      <w:r w:rsidRPr="00BC35D2">
        <w:rPr>
          <w:rFonts w:ascii="Times New Roman" w:hAnsi="Times New Roman" w:cs="Times New Roman"/>
          <w:noProof/>
          <w:sz w:val="24"/>
          <w:szCs w:val="24"/>
          <w:lang w:val="en-US"/>
        </w:rPr>
        <w:t>T</w:t>
      </w:r>
      <w:r w:rsidR="002B590B" w:rsidRPr="00BC35D2">
        <w:rPr>
          <w:rFonts w:ascii="Times New Roman" w:hAnsi="Times New Roman" w:cs="Times New Roman"/>
          <w:noProof/>
          <w:sz w:val="24"/>
          <w:szCs w:val="24"/>
          <w:lang w:val="en-US"/>
        </w:rPr>
        <w:t xml:space="preserve">he </w:t>
      </w:r>
      <w:r w:rsidR="006867BA" w:rsidRPr="00BC35D2">
        <w:rPr>
          <w:rFonts w:ascii="Times New Roman" w:hAnsi="Times New Roman" w:cs="Times New Roman"/>
          <w:noProof/>
          <w:sz w:val="24"/>
          <w:szCs w:val="24"/>
          <w:lang w:val="en-US"/>
        </w:rPr>
        <w:t>forecasted decrease in battery pack cost (</w:t>
      </w:r>
      <w:r w:rsidR="006867BA" w:rsidRPr="00BC35D2">
        <w:rPr>
          <w:rFonts w:ascii="Times New Roman" w:hAnsi="Times New Roman" w:cs="Times New Roman"/>
          <w:noProof/>
          <w:sz w:val="24"/>
          <w:szCs w:val="24"/>
          <w:lang w:val="en-US"/>
        </w:rPr>
        <w:fldChar w:fldCharType="begin"/>
      </w:r>
      <w:r w:rsidR="006867BA" w:rsidRPr="00BC35D2">
        <w:rPr>
          <w:rFonts w:ascii="Times New Roman" w:hAnsi="Times New Roman" w:cs="Times New Roman"/>
          <w:noProof/>
          <w:sz w:val="24"/>
          <w:szCs w:val="24"/>
          <w:lang w:val="en-US"/>
        </w:rPr>
        <w:instrText xml:space="preserve"> REF _Ref528151118 \h  \* MERGEFORMAT </w:instrText>
      </w:r>
      <w:r w:rsidR="006867BA" w:rsidRPr="00BC35D2">
        <w:rPr>
          <w:rFonts w:ascii="Times New Roman" w:hAnsi="Times New Roman" w:cs="Times New Roman"/>
          <w:noProof/>
          <w:sz w:val="24"/>
          <w:szCs w:val="24"/>
          <w:lang w:val="en-US"/>
        </w:rPr>
      </w:r>
      <w:r w:rsidR="006867BA" w:rsidRPr="00BC35D2">
        <w:rPr>
          <w:rFonts w:ascii="Times New Roman" w:hAnsi="Times New Roman" w:cs="Times New Roman"/>
          <w:noProof/>
          <w:sz w:val="24"/>
          <w:szCs w:val="24"/>
          <w:lang w:val="en-US"/>
        </w:rPr>
        <w:fldChar w:fldCharType="separate"/>
      </w:r>
      <w:r w:rsidR="00E60026" w:rsidRPr="00E60026">
        <w:rPr>
          <w:rFonts w:ascii="Times New Roman" w:hAnsi="Times New Roman" w:cs="Times New Roman"/>
          <w:sz w:val="24"/>
          <w:szCs w:val="24"/>
          <w:lang w:val="en-US"/>
        </w:rPr>
        <w:t xml:space="preserve">Figure </w:t>
      </w:r>
      <w:r w:rsidR="00E60026" w:rsidRPr="00E60026">
        <w:rPr>
          <w:rFonts w:ascii="Times New Roman" w:hAnsi="Times New Roman" w:cs="Times New Roman"/>
          <w:noProof/>
          <w:sz w:val="24"/>
          <w:szCs w:val="24"/>
          <w:lang w:val="en-US"/>
        </w:rPr>
        <w:t>8</w:t>
      </w:r>
      <w:r w:rsidR="006867BA" w:rsidRPr="00BC35D2">
        <w:rPr>
          <w:rFonts w:ascii="Times New Roman" w:hAnsi="Times New Roman" w:cs="Times New Roman"/>
          <w:noProof/>
          <w:sz w:val="24"/>
          <w:szCs w:val="24"/>
          <w:lang w:val="en-US"/>
        </w:rPr>
        <w:fldChar w:fldCharType="end"/>
      </w:r>
      <w:r w:rsidR="006867BA" w:rsidRPr="00BC35D2">
        <w:rPr>
          <w:rFonts w:ascii="Times New Roman" w:hAnsi="Times New Roman" w:cs="Times New Roman"/>
          <w:noProof/>
          <w:sz w:val="24"/>
          <w:szCs w:val="24"/>
          <w:lang w:val="en-US"/>
        </w:rPr>
        <w:t>) and increase in production capacity (</w:t>
      </w:r>
      <w:r w:rsidR="006867BA" w:rsidRPr="00BC35D2">
        <w:rPr>
          <w:rFonts w:ascii="Times New Roman" w:hAnsi="Times New Roman" w:cs="Times New Roman"/>
          <w:noProof/>
          <w:sz w:val="24"/>
          <w:szCs w:val="24"/>
          <w:lang w:val="en-US"/>
        </w:rPr>
        <w:fldChar w:fldCharType="begin"/>
      </w:r>
      <w:r w:rsidR="006867BA" w:rsidRPr="00BC35D2">
        <w:rPr>
          <w:rFonts w:ascii="Times New Roman" w:hAnsi="Times New Roman" w:cs="Times New Roman"/>
          <w:noProof/>
          <w:sz w:val="24"/>
          <w:szCs w:val="24"/>
          <w:lang w:val="en-US"/>
        </w:rPr>
        <w:instrText xml:space="preserve"> REF _Ref528242929 \h  \* MERGEFORMAT </w:instrText>
      </w:r>
      <w:r w:rsidR="006867BA" w:rsidRPr="00BC35D2">
        <w:rPr>
          <w:rFonts w:ascii="Times New Roman" w:hAnsi="Times New Roman" w:cs="Times New Roman"/>
          <w:noProof/>
          <w:sz w:val="24"/>
          <w:szCs w:val="24"/>
          <w:lang w:val="en-US"/>
        </w:rPr>
      </w:r>
      <w:r w:rsidR="006867BA" w:rsidRPr="00BC35D2">
        <w:rPr>
          <w:rFonts w:ascii="Times New Roman" w:hAnsi="Times New Roman" w:cs="Times New Roman"/>
          <w:noProof/>
          <w:sz w:val="24"/>
          <w:szCs w:val="24"/>
          <w:lang w:val="en-US"/>
        </w:rPr>
        <w:fldChar w:fldCharType="separate"/>
      </w:r>
      <w:r w:rsidR="00E60026" w:rsidRPr="00E60026">
        <w:rPr>
          <w:rFonts w:ascii="Times New Roman" w:hAnsi="Times New Roman" w:cs="Times New Roman"/>
          <w:sz w:val="24"/>
          <w:szCs w:val="24"/>
          <w:lang w:val="en-US"/>
        </w:rPr>
        <w:t xml:space="preserve">Figure </w:t>
      </w:r>
      <w:r w:rsidR="00E60026" w:rsidRPr="00E60026">
        <w:rPr>
          <w:rFonts w:ascii="Times New Roman" w:hAnsi="Times New Roman" w:cs="Times New Roman"/>
          <w:noProof/>
          <w:sz w:val="24"/>
          <w:szCs w:val="24"/>
          <w:lang w:val="en-US"/>
        </w:rPr>
        <w:t>9</w:t>
      </w:r>
      <w:r w:rsidR="006867BA" w:rsidRPr="00BC35D2">
        <w:rPr>
          <w:rFonts w:ascii="Times New Roman" w:hAnsi="Times New Roman" w:cs="Times New Roman"/>
          <w:noProof/>
          <w:sz w:val="24"/>
          <w:szCs w:val="24"/>
          <w:lang w:val="en-US"/>
        </w:rPr>
        <w:fldChar w:fldCharType="end"/>
      </w:r>
      <w:r w:rsidR="006867BA" w:rsidRPr="00BC35D2">
        <w:rPr>
          <w:rFonts w:ascii="Times New Roman" w:hAnsi="Times New Roman" w:cs="Times New Roman"/>
          <w:noProof/>
          <w:sz w:val="24"/>
          <w:szCs w:val="24"/>
          <w:lang w:val="en-US"/>
        </w:rPr>
        <w:t xml:space="preserve">) aligns with a forecasted </w:t>
      </w:r>
      <w:r w:rsidR="007212D7" w:rsidRPr="00BC35D2">
        <w:rPr>
          <w:rFonts w:ascii="Times New Roman" w:hAnsi="Times New Roman" w:cs="Times New Roman"/>
          <w:sz w:val="24"/>
          <w:szCs w:val="24"/>
          <w:lang w:val="en-US"/>
        </w:rPr>
        <w:t>steep growth rate</w:t>
      </w:r>
      <w:r w:rsidRPr="00BC35D2">
        <w:rPr>
          <w:rFonts w:ascii="Times New Roman" w:hAnsi="Times New Roman" w:cs="Times New Roman"/>
          <w:sz w:val="24"/>
          <w:szCs w:val="24"/>
          <w:lang w:val="en-US"/>
        </w:rPr>
        <w:t xml:space="preserve"> </w:t>
      </w:r>
      <w:r w:rsidR="006867BA" w:rsidRPr="00BC35D2">
        <w:rPr>
          <w:rFonts w:ascii="Times New Roman" w:hAnsi="Times New Roman" w:cs="Times New Roman"/>
          <w:sz w:val="24"/>
          <w:szCs w:val="24"/>
          <w:lang w:val="en-US"/>
        </w:rPr>
        <w:t xml:space="preserve">of the </w:t>
      </w:r>
      <w:r w:rsidR="006867BA" w:rsidRPr="00BC35D2">
        <w:rPr>
          <w:rFonts w:ascii="Times New Roman" w:hAnsi="Times New Roman" w:cs="Times New Roman"/>
          <w:noProof/>
          <w:sz w:val="24"/>
          <w:szCs w:val="24"/>
          <w:lang w:val="en-US"/>
        </w:rPr>
        <w:t>utility-scale</w:t>
      </w:r>
      <w:r w:rsidR="006867BA" w:rsidRPr="00BC35D2">
        <w:rPr>
          <w:rFonts w:ascii="Times New Roman" w:hAnsi="Times New Roman" w:cs="Times New Roman"/>
          <w:sz w:val="24"/>
          <w:szCs w:val="24"/>
          <w:lang w:val="en-US"/>
        </w:rPr>
        <w:t xml:space="preserve"> application market as shown in </w:t>
      </w:r>
      <w:r w:rsidR="006867BA" w:rsidRPr="00BC35D2">
        <w:rPr>
          <w:rFonts w:ascii="Times New Roman" w:hAnsi="Times New Roman" w:cs="Times New Roman"/>
          <w:sz w:val="24"/>
          <w:szCs w:val="24"/>
          <w:lang w:val="en-US"/>
        </w:rPr>
        <w:fldChar w:fldCharType="begin"/>
      </w:r>
      <w:r w:rsidR="006867BA" w:rsidRPr="00BC35D2">
        <w:rPr>
          <w:rFonts w:ascii="Times New Roman" w:hAnsi="Times New Roman" w:cs="Times New Roman"/>
          <w:sz w:val="24"/>
          <w:szCs w:val="24"/>
          <w:lang w:val="en-US"/>
        </w:rPr>
        <w:instrText xml:space="preserve"> REF _Ref528564741 \h  \* MERGEFORMAT </w:instrText>
      </w:r>
      <w:r w:rsidR="006867BA" w:rsidRPr="00BC35D2">
        <w:rPr>
          <w:rFonts w:ascii="Times New Roman" w:hAnsi="Times New Roman" w:cs="Times New Roman"/>
          <w:sz w:val="24"/>
          <w:szCs w:val="24"/>
          <w:lang w:val="en-US"/>
        </w:rPr>
      </w:r>
      <w:r w:rsidR="006867BA" w:rsidRPr="00BC35D2">
        <w:rPr>
          <w:rFonts w:ascii="Times New Roman" w:hAnsi="Times New Roman" w:cs="Times New Roman"/>
          <w:sz w:val="24"/>
          <w:szCs w:val="24"/>
          <w:lang w:val="en-US"/>
        </w:rPr>
        <w:fldChar w:fldCharType="separate"/>
      </w:r>
      <w:r w:rsidR="00E60026" w:rsidRPr="00E60026">
        <w:rPr>
          <w:rFonts w:ascii="Times New Roman" w:hAnsi="Times New Roman" w:cs="Times New Roman"/>
          <w:sz w:val="24"/>
          <w:szCs w:val="24"/>
          <w:lang w:val="en-US"/>
        </w:rPr>
        <w:t xml:space="preserve">Figure </w:t>
      </w:r>
      <w:r w:rsidR="00E60026" w:rsidRPr="00E60026">
        <w:rPr>
          <w:rFonts w:ascii="Times New Roman" w:hAnsi="Times New Roman" w:cs="Times New Roman"/>
          <w:noProof/>
          <w:sz w:val="24"/>
          <w:szCs w:val="24"/>
          <w:lang w:val="en-US"/>
        </w:rPr>
        <w:t>10</w:t>
      </w:r>
      <w:r w:rsidR="006867BA" w:rsidRPr="00BC35D2">
        <w:rPr>
          <w:rFonts w:ascii="Times New Roman" w:hAnsi="Times New Roman" w:cs="Times New Roman"/>
          <w:sz w:val="24"/>
          <w:szCs w:val="24"/>
          <w:lang w:val="en-US"/>
        </w:rPr>
        <w:fldChar w:fldCharType="end"/>
      </w:r>
      <w:r w:rsidR="006867BA" w:rsidRPr="00BC35D2">
        <w:rPr>
          <w:rFonts w:ascii="Times New Roman" w:hAnsi="Times New Roman" w:cs="Times New Roman"/>
          <w:sz w:val="24"/>
          <w:szCs w:val="24"/>
          <w:lang w:val="en-US"/>
        </w:rPr>
        <w:t xml:space="preserve">. The installed capacity is estimated to </w:t>
      </w:r>
      <w:r w:rsidR="00AA4239" w:rsidRPr="00BC35D2">
        <w:rPr>
          <w:rFonts w:ascii="Times New Roman" w:hAnsi="Times New Roman" w:cs="Times New Roman"/>
          <w:sz w:val="24"/>
          <w:szCs w:val="24"/>
          <w:lang w:val="en-US"/>
        </w:rPr>
        <w:t>reach 14 GW in 2023</w:t>
      </w:r>
      <w:r w:rsidR="006867BA" w:rsidRPr="00BC35D2">
        <w:rPr>
          <w:rFonts w:ascii="Times New Roman" w:hAnsi="Times New Roman" w:cs="Times New Roman"/>
          <w:sz w:val="24"/>
          <w:szCs w:val="24"/>
          <w:lang w:val="en-US"/>
        </w:rPr>
        <w:t xml:space="preserve"> </w:t>
      </w:r>
      <w:r w:rsidR="00AA4239" w:rsidRPr="00BC35D2">
        <w:rPr>
          <w:rFonts w:ascii="Times New Roman" w:hAnsi="Times New Roman" w:cs="Times New Roman"/>
          <w:b/>
          <w:i/>
          <w:sz w:val="24"/>
          <w:szCs w:val="24"/>
        </w:rPr>
        <w:fldChar w:fldCharType="begin" w:fldLock="1"/>
      </w:r>
      <w:r w:rsidR="001A7298">
        <w:rPr>
          <w:rFonts w:ascii="Times New Roman" w:hAnsi="Times New Roman" w:cs="Times New Roman"/>
          <w:i/>
          <w:sz w:val="24"/>
          <w:szCs w:val="24"/>
          <w:lang w:val="en-US"/>
        </w:rPr>
        <w:instrText>ADDIN CSL_CITATION {"citationItems":[{"id":"ITEM-1","itemData":{"ISBN":"0065-4299","abstract":"Renewable energy","author":[{"dropping-particle":"","family":"International Renewable Energy Agency","given":"","non-dropping-particle":"","parse-names":false,"suffix":""}],"id":"ITEM-1","issue":"January","issued":{"date-parts":[["2015"]]},"number-of-pages":"1-60","title":"IRENA Battery Storage Report 2015","type":"report"},"uris":["http://www.mendeley.com/documents/?uuid=f37efa12-4f6d-4ea8-b094-05d3d7be7f5e"]}],"mendeley":{"formattedCitation":"[48]","plainTextFormattedCitation":"[48]","previouslyFormattedCitation":"[48]"},"properties":{"noteIndex":0},"schema":"https://github.com/citation-style-language/schema/raw/master/csl-citation.json"}</w:instrText>
      </w:r>
      <w:r w:rsidR="00AA4239" w:rsidRPr="00BC35D2">
        <w:rPr>
          <w:rFonts w:ascii="Times New Roman" w:hAnsi="Times New Roman" w:cs="Times New Roman"/>
          <w:b/>
          <w:i/>
          <w:sz w:val="24"/>
          <w:szCs w:val="24"/>
        </w:rPr>
        <w:fldChar w:fldCharType="separate"/>
      </w:r>
      <w:r w:rsidR="00B60186" w:rsidRPr="00B60186">
        <w:rPr>
          <w:rFonts w:ascii="Times New Roman" w:hAnsi="Times New Roman" w:cs="Times New Roman"/>
          <w:noProof/>
          <w:sz w:val="24"/>
          <w:szCs w:val="24"/>
          <w:lang w:val="en-US"/>
        </w:rPr>
        <w:t>[48]</w:t>
      </w:r>
      <w:r w:rsidR="00AA4239" w:rsidRPr="00BC35D2">
        <w:rPr>
          <w:rFonts w:ascii="Times New Roman" w:hAnsi="Times New Roman" w:cs="Times New Roman"/>
          <w:b/>
          <w:i/>
          <w:sz w:val="24"/>
          <w:szCs w:val="24"/>
        </w:rPr>
        <w:fldChar w:fldCharType="end"/>
      </w:r>
      <w:r w:rsidR="004D7228" w:rsidRPr="004D7228">
        <w:rPr>
          <w:rFonts w:ascii="Times New Roman" w:hAnsi="Times New Roman" w:cs="Times New Roman"/>
          <w:b/>
          <w:sz w:val="24"/>
          <w:szCs w:val="24"/>
          <w:lang w:val="en-US"/>
        </w:rPr>
        <w:t>.</w:t>
      </w:r>
      <w:r w:rsidR="006867BA" w:rsidRPr="00BC35D2">
        <w:rPr>
          <w:rFonts w:ascii="Times New Roman" w:hAnsi="Times New Roman" w:cs="Times New Roman"/>
          <w:sz w:val="24"/>
          <w:szCs w:val="24"/>
          <w:lang w:val="en-US"/>
        </w:rPr>
        <w:t xml:space="preserve"> </w:t>
      </w:r>
      <w:proofErr w:type="spellStart"/>
      <w:r w:rsidRPr="00BC35D2">
        <w:rPr>
          <w:rFonts w:ascii="Times New Roman" w:hAnsi="Times New Roman" w:cs="Times New Roman"/>
          <w:sz w:val="24"/>
          <w:szCs w:val="24"/>
          <w:lang w:val="en-US"/>
        </w:rPr>
        <w:t>Globaldata</w:t>
      </w:r>
      <w:proofErr w:type="spellEnd"/>
      <w:r w:rsidRPr="00BC35D2">
        <w:rPr>
          <w:rFonts w:ascii="Times New Roman" w:hAnsi="Times New Roman" w:cs="Times New Roman"/>
          <w:sz w:val="24"/>
          <w:szCs w:val="24"/>
          <w:lang w:val="en-US"/>
        </w:rPr>
        <w:t xml:space="preserve"> predicts</w:t>
      </w:r>
      <w:r w:rsidR="00AC3C33" w:rsidRPr="00BC35D2">
        <w:rPr>
          <w:rFonts w:ascii="Times New Roman" w:hAnsi="Times New Roman" w:cs="Times New Roman"/>
          <w:sz w:val="24"/>
          <w:szCs w:val="24"/>
          <w:lang w:val="en-US"/>
        </w:rPr>
        <w:t xml:space="preserve"> this capacity level could be reached already in 2020 </w:t>
      </w:r>
      <w:r w:rsidR="002303F5" w:rsidRPr="00BC35D2">
        <w:rPr>
          <w:rFonts w:ascii="Times New Roman" w:hAnsi="Times New Roman" w:cs="Times New Roman"/>
          <w:sz w:val="24"/>
          <w:szCs w:val="24"/>
          <w:lang w:val="en-US"/>
        </w:rPr>
        <w:fldChar w:fldCharType="begin" w:fldLock="1"/>
      </w:r>
      <w:r w:rsidR="001A7298">
        <w:rPr>
          <w:rFonts w:ascii="Times New Roman" w:hAnsi="Times New Roman" w:cs="Times New Roman"/>
          <w:sz w:val="24"/>
          <w:szCs w:val="24"/>
          <w:lang w:val="en-US"/>
        </w:rPr>
        <w:instrText>ADDIN CSL_CITATION {"citationItems":[{"id":"ITEM-1","itemData":{"URL":"https://www.windpowerengineering.com/business-news-projects/global-battery-energy-storage-system-installed-capacity-will-exceed-14-gw-2020/","accessed":{"date-parts":[["2018","10","26"]]},"id":"ITEM-1","issued":{"date-parts":[["0"]]},"title":"Global battery energy-storage system installed capacity will exceed 14 GW by 2020","type":"webpage"},"uris":["http://www.mendeley.com/documents/?uuid=9061e900-cb76-3aca-85c4-e20728ce31e9"]}],"mendeley":{"formattedCitation":"[49]","plainTextFormattedCitation":"[49]","previouslyFormattedCitation":"[49]"},"properties":{"noteIndex":0},"schema":"https://github.com/citation-style-language/schema/raw/master/csl-citation.json"}</w:instrText>
      </w:r>
      <w:r w:rsidR="002303F5" w:rsidRPr="00BC35D2">
        <w:rPr>
          <w:rFonts w:ascii="Times New Roman" w:hAnsi="Times New Roman" w:cs="Times New Roman"/>
          <w:sz w:val="24"/>
          <w:szCs w:val="24"/>
          <w:lang w:val="en-US"/>
        </w:rPr>
        <w:fldChar w:fldCharType="separate"/>
      </w:r>
      <w:r w:rsidR="00B60186" w:rsidRPr="00B60186">
        <w:rPr>
          <w:rFonts w:ascii="Times New Roman" w:hAnsi="Times New Roman" w:cs="Times New Roman"/>
          <w:noProof/>
          <w:sz w:val="24"/>
          <w:szCs w:val="24"/>
          <w:lang w:val="en-US"/>
        </w:rPr>
        <w:t>[49]</w:t>
      </w:r>
      <w:r w:rsidR="002303F5" w:rsidRPr="00BC35D2">
        <w:rPr>
          <w:rFonts w:ascii="Times New Roman" w:hAnsi="Times New Roman" w:cs="Times New Roman"/>
          <w:sz w:val="24"/>
          <w:szCs w:val="24"/>
          <w:lang w:val="en-US"/>
        </w:rPr>
        <w:fldChar w:fldCharType="end"/>
      </w:r>
      <w:r w:rsidR="002303F5" w:rsidRPr="00BC35D2">
        <w:rPr>
          <w:rFonts w:ascii="Times New Roman" w:hAnsi="Times New Roman" w:cs="Times New Roman"/>
          <w:sz w:val="24"/>
          <w:szCs w:val="24"/>
          <w:lang w:val="en-US"/>
        </w:rPr>
        <w:t>.</w:t>
      </w:r>
    </w:p>
    <w:p w14:paraId="6A9B95ED" w14:textId="77777777" w:rsidR="002303F5" w:rsidRPr="000A57F3" w:rsidRDefault="002303F5" w:rsidP="002B590B">
      <w:pPr>
        <w:jc w:val="both"/>
        <w:rPr>
          <w:rFonts w:ascii="Times New Roman" w:hAnsi="Times New Roman" w:cs="Times New Roman"/>
          <w:lang w:val="en-US"/>
        </w:rPr>
      </w:pPr>
    </w:p>
    <w:p w14:paraId="432A4813" w14:textId="77777777" w:rsidR="002B590B" w:rsidRPr="002303F5" w:rsidRDefault="002B590B" w:rsidP="002B590B">
      <w:pPr>
        <w:jc w:val="both"/>
        <w:rPr>
          <w:rFonts w:ascii="Times New Roman" w:hAnsi="Times New Roman" w:cs="Times New Roman"/>
          <w:lang w:val="en-US"/>
        </w:rPr>
      </w:pPr>
    </w:p>
    <w:p w14:paraId="481BCDB4" w14:textId="77777777" w:rsidR="002B590B" w:rsidRPr="00516B84" w:rsidRDefault="002B590B" w:rsidP="002B590B">
      <w:pPr>
        <w:keepNext/>
        <w:jc w:val="center"/>
        <w:rPr>
          <w:rFonts w:ascii="Times New Roman" w:hAnsi="Times New Roman" w:cs="Times New Roman"/>
        </w:rPr>
      </w:pPr>
      <w:r w:rsidRPr="00516B84">
        <w:rPr>
          <w:rFonts w:ascii="Times New Roman" w:hAnsi="Times New Roman" w:cs="Times New Roman"/>
          <w:noProof/>
          <w:lang w:eastAsia="da-DK"/>
        </w:rPr>
        <w:lastRenderedPageBreak/>
        <w:drawing>
          <wp:inline distT="0" distB="0" distL="0" distR="0" wp14:anchorId="7A179913" wp14:editId="51A2FBB3">
            <wp:extent cx="4336473" cy="2341418"/>
            <wp:effectExtent l="0" t="0" r="6985" b="1905"/>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51"/>
                    <a:srcRect l="5350" t="16497" r="6479" b="14634"/>
                    <a:stretch/>
                  </pic:blipFill>
                  <pic:spPr bwMode="auto">
                    <a:xfrm>
                      <a:off x="0" y="0"/>
                      <a:ext cx="4360174" cy="2354215"/>
                    </a:xfrm>
                    <a:prstGeom prst="rect">
                      <a:avLst/>
                    </a:prstGeom>
                    <a:ln>
                      <a:noFill/>
                    </a:ln>
                    <a:extLst>
                      <a:ext uri="{53640926-AAD7-44D8-BBD7-CCE9431645EC}">
                        <a14:shadowObscured xmlns:a14="http://schemas.microsoft.com/office/drawing/2010/main"/>
                      </a:ext>
                    </a:extLst>
                  </pic:spPr>
                </pic:pic>
              </a:graphicData>
            </a:graphic>
          </wp:inline>
        </w:drawing>
      </w:r>
    </w:p>
    <w:p w14:paraId="6DAF5332" w14:textId="4782DBAD" w:rsidR="002B590B" w:rsidRPr="004646E5" w:rsidRDefault="001944BB" w:rsidP="00E709D7">
      <w:pPr>
        <w:pStyle w:val="Caption"/>
        <w:rPr>
          <w:rFonts w:ascii="Times New Roman" w:hAnsi="Times New Roman" w:cs="Times New Roman"/>
          <w:i/>
          <w:color w:val="44546A" w:themeColor="text2"/>
          <w:sz w:val="22"/>
        </w:rPr>
      </w:pPr>
      <w:bookmarkStart w:id="89" w:name="_Ref528564741"/>
      <w:r w:rsidRPr="00827D48">
        <w:rPr>
          <w:rFonts w:ascii="Times New Roman" w:hAnsi="Times New Roman" w:cs="Times New Roman"/>
          <w:b w:val="0"/>
          <w:i/>
          <w:color w:val="44546A" w:themeColor="text2"/>
          <w:sz w:val="22"/>
        </w:rPr>
        <w:t xml:space="preserve">Figure </w:t>
      </w:r>
      <w:r w:rsidRPr="00827D48">
        <w:rPr>
          <w:rFonts w:ascii="Times New Roman" w:hAnsi="Times New Roman" w:cs="Times New Roman"/>
          <w:b w:val="0"/>
          <w:i/>
          <w:color w:val="44546A" w:themeColor="text2"/>
          <w:sz w:val="22"/>
        </w:rPr>
        <w:fldChar w:fldCharType="begin"/>
      </w:r>
      <w:r w:rsidRPr="00827D48">
        <w:rPr>
          <w:rFonts w:ascii="Times New Roman" w:hAnsi="Times New Roman" w:cs="Times New Roman"/>
          <w:b w:val="0"/>
          <w:i/>
          <w:color w:val="44546A" w:themeColor="text2"/>
          <w:sz w:val="22"/>
        </w:rPr>
        <w:instrText xml:space="preserve"> SEQ Figure \* ARABIC </w:instrText>
      </w:r>
      <w:r w:rsidRPr="00827D48">
        <w:rPr>
          <w:rFonts w:ascii="Times New Roman" w:hAnsi="Times New Roman" w:cs="Times New Roman"/>
          <w:b w:val="0"/>
          <w:i/>
          <w:color w:val="44546A" w:themeColor="text2"/>
          <w:sz w:val="22"/>
        </w:rPr>
        <w:fldChar w:fldCharType="separate"/>
      </w:r>
      <w:r w:rsidR="00E60026">
        <w:rPr>
          <w:rFonts w:ascii="Times New Roman" w:hAnsi="Times New Roman" w:cs="Times New Roman"/>
          <w:b w:val="0"/>
          <w:i/>
          <w:noProof/>
          <w:color w:val="44546A" w:themeColor="text2"/>
          <w:sz w:val="22"/>
        </w:rPr>
        <w:t>10</w:t>
      </w:r>
      <w:r w:rsidRPr="00827D48">
        <w:rPr>
          <w:rFonts w:ascii="Times New Roman" w:hAnsi="Times New Roman" w:cs="Times New Roman"/>
          <w:b w:val="0"/>
          <w:i/>
          <w:color w:val="44546A" w:themeColor="text2"/>
          <w:sz w:val="22"/>
        </w:rPr>
        <w:fldChar w:fldCharType="end"/>
      </w:r>
      <w:bookmarkEnd w:id="89"/>
      <w:r w:rsidR="002B590B" w:rsidRPr="004646E5">
        <w:rPr>
          <w:rFonts w:ascii="Times New Roman" w:hAnsi="Times New Roman" w:cs="Times New Roman"/>
          <w:b w:val="0"/>
          <w:i/>
          <w:color w:val="44546A" w:themeColor="text2"/>
          <w:sz w:val="22"/>
        </w:rPr>
        <w:t xml:space="preserve">: </w:t>
      </w:r>
      <w:r w:rsidR="002B590B" w:rsidRPr="004646E5">
        <w:rPr>
          <w:rFonts w:ascii="Times New Roman" w:hAnsi="Times New Roman" w:cs="Times New Roman"/>
          <w:b w:val="0"/>
          <w:i/>
          <w:noProof/>
          <w:color w:val="44546A" w:themeColor="text2"/>
          <w:sz w:val="22"/>
        </w:rPr>
        <w:t>Worldwide</w:t>
      </w:r>
      <w:r w:rsidR="002B590B" w:rsidRPr="004646E5">
        <w:rPr>
          <w:rFonts w:ascii="Times New Roman" w:hAnsi="Times New Roman" w:cs="Times New Roman"/>
          <w:b w:val="0"/>
          <w:i/>
          <w:color w:val="44546A" w:themeColor="text2"/>
          <w:sz w:val="22"/>
        </w:rPr>
        <w:t xml:space="preserve"> forecast of battery storage capacity (MW) and annual revenue (USD) for utility-scale applications</w:t>
      </w:r>
      <w:r w:rsidR="00300BC0">
        <w:rPr>
          <w:rFonts w:ascii="Times New Roman" w:hAnsi="Times New Roman" w:cs="Times New Roman"/>
          <w:b w:val="0"/>
          <w:i/>
          <w:color w:val="44546A" w:themeColor="text2"/>
          <w:sz w:val="22"/>
        </w:rPr>
        <w:t xml:space="preserve"> </w:t>
      </w:r>
      <w:r w:rsidR="00300BC0">
        <w:rPr>
          <w:rFonts w:ascii="Times New Roman" w:hAnsi="Times New Roman" w:cs="Times New Roman"/>
          <w:b w:val="0"/>
          <w:i/>
          <w:color w:val="44546A" w:themeColor="text2"/>
          <w:sz w:val="22"/>
        </w:rPr>
        <w:fldChar w:fldCharType="begin" w:fldLock="1"/>
      </w:r>
      <w:r w:rsidR="001A7298">
        <w:rPr>
          <w:rFonts w:ascii="Times New Roman" w:hAnsi="Times New Roman" w:cs="Times New Roman"/>
          <w:b w:val="0"/>
          <w:i/>
          <w:color w:val="44546A" w:themeColor="text2"/>
          <w:sz w:val="22"/>
        </w:rPr>
        <w:instrText>ADDIN CSL_CITATION {"citationItems":[{"id":"ITEM-1","itemData":{"ISBN":"0065-4299","abstract":"Renewable energy","author":[{"dropping-particle":"","family":"International Renewable Energy Agency","given":"","non-dropping-particle":"","parse-names":false,"suffix":""}],"id":"ITEM-1","issue":"January","issued":{"date-parts":[["2015"]]},"number-of-pages":"1-60","title":"IRENA Battery Storage Report 2015","type":"report"},"uris":["http://www.mendeley.com/documents/?uuid=f37efa12-4f6d-4ea8-b094-05d3d7be7f5e"]}],"mendeley":{"formattedCitation":"[48]","plainTextFormattedCitation":"[48]","previouslyFormattedCitation":"[48]"},"properties":{"noteIndex":0},"schema":"https://github.com/citation-style-language/schema/raw/master/csl-citation.json"}</w:instrText>
      </w:r>
      <w:r w:rsidR="00300BC0">
        <w:rPr>
          <w:rFonts w:ascii="Times New Roman" w:hAnsi="Times New Roman" w:cs="Times New Roman"/>
          <w:b w:val="0"/>
          <w:i/>
          <w:color w:val="44546A" w:themeColor="text2"/>
          <w:sz w:val="22"/>
        </w:rPr>
        <w:fldChar w:fldCharType="separate"/>
      </w:r>
      <w:r w:rsidR="00B60186" w:rsidRPr="00B60186">
        <w:rPr>
          <w:rFonts w:ascii="Times New Roman" w:hAnsi="Times New Roman" w:cs="Times New Roman"/>
          <w:b w:val="0"/>
          <w:noProof/>
          <w:color w:val="44546A" w:themeColor="text2"/>
          <w:sz w:val="22"/>
        </w:rPr>
        <w:t>[48]</w:t>
      </w:r>
      <w:r w:rsidR="00300BC0">
        <w:rPr>
          <w:rFonts w:ascii="Times New Roman" w:hAnsi="Times New Roman" w:cs="Times New Roman"/>
          <w:b w:val="0"/>
          <w:i/>
          <w:color w:val="44546A" w:themeColor="text2"/>
          <w:sz w:val="22"/>
        </w:rPr>
        <w:fldChar w:fldCharType="end"/>
      </w:r>
      <w:r w:rsidR="002B590B" w:rsidRPr="004646E5">
        <w:rPr>
          <w:rFonts w:ascii="Times New Roman" w:hAnsi="Times New Roman" w:cs="Times New Roman"/>
          <w:b w:val="0"/>
          <w:i/>
          <w:color w:val="44546A" w:themeColor="text2"/>
          <w:sz w:val="22"/>
        </w:rPr>
        <w:t xml:space="preserve">. </w:t>
      </w:r>
    </w:p>
    <w:p w14:paraId="29B8C852" w14:textId="14A55E8D" w:rsidR="00DF3B7D" w:rsidRPr="009A64AC" w:rsidRDefault="00DF3B7D" w:rsidP="00DF3B7D">
      <w:pPr>
        <w:pStyle w:val="Heading1"/>
        <w:rPr>
          <w:rFonts w:cs="Times New Roman"/>
          <w:lang w:val="en-US"/>
        </w:rPr>
      </w:pPr>
      <w:bookmarkStart w:id="90" w:name="_Toc528918115"/>
      <w:bookmarkStart w:id="91" w:name="_Toc529169841"/>
      <w:bookmarkStart w:id="92" w:name="_Toc529178840"/>
      <w:bookmarkStart w:id="93" w:name="_Toc529178955"/>
      <w:r w:rsidRPr="009A64AC">
        <w:rPr>
          <w:rFonts w:cs="Times New Roman"/>
          <w:lang w:val="en-US"/>
        </w:rPr>
        <w:t>Uncertainty</w:t>
      </w:r>
      <w:bookmarkEnd w:id="90"/>
      <w:bookmarkEnd w:id="91"/>
      <w:bookmarkEnd w:id="92"/>
      <w:bookmarkEnd w:id="93"/>
    </w:p>
    <w:p w14:paraId="6BDD5A16" w14:textId="5B2F0859" w:rsidR="006867BA" w:rsidRPr="00891450" w:rsidRDefault="00AC3C33" w:rsidP="0089514A">
      <w:pPr>
        <w:rPr>
          <w:rFonts w:ascii="Times New Roman" w:hAnsi="Times New Roman" w:cs="Times New Roman"/>
          <w:sz w:val="24"/>
          <w:lang w:val="en-US"/>
        </w:rPr>
      </w:pPr>
      <w:r w:rsidRPr="00891450">
        <w:rPr>
          <w:rFonts w:ascii="Times New Roman" w:hAnsi="Times New Roman" w:cs="Times New Roman"/>
          <w:sz w:val="24"/>
          <w:lang w:val="en-US"/>
        </w:rPr>
        <w:t xml:space="preserve">The LIB price forecasts </w:t>
      </w:r>
      <w:r w:rsidR="00BC35D2">
        <w:rPr>
          <w:rFonts w:ascii="Times New Roman" w:hAnsi="Times New Roman" w:cs="Times New Roman"/>
          <w:sz w:val="24"/>
          <w:lang w:val="en-US"/>
        </w:rPr>
        <w:t>imply</w:t>
      </w:r>
      <w:r w:rsidRPr="00891450">
        <w:rPr>
          <w:rFonts w:ascii="Times New Roman" w:hAnsi="Times New Roman" w:cs="Times New Roman"/>
          <w:sz w:val="24"/>
          <w:lang w:val="en-US"/>
        </w:rPr>
        <w:t xml:space="preserve"> a broad range of uncertainties. If the learning rate is not 18% as </w:t>
      </w:r>
      <w:r w:rsidR="00A22CE0" w:rsidRPr="00891450">
        <w:rPr>
          <w:rFonts w:ascii="Times New Roman" w:hAnsi="Times New Roman" w:cs="Times New Roman"/>
          <w:sz w:val="24"/>
          <w:lang w:val="en-US"/>
        </w:rPr>
        <w:t xml:space="preserve">estimated in Bloomberg’s New Energy Outlook 2018 </w:t>
      </w:r>
      <w:r w:rsidR="00A22CE0" w:rsidRPr="00891450">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mendeley":{"formattedCitation":"[44]","plainTextFormattedCitation":"[44]","previouslyFormattedCitation":"[44]"},"properties":{"noteIndex":0},"schema":"https://github.com/citation-style-language/schema/raw/master/csl-citation.json"}</w:instrText>
      </w:r>
      <w:r w:rsidR="00A22CE0" w:rsidRPr="00891450">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[44]</w:t>
      </w:r>
      <w:r w:rsidR="00A22CE0" w:rsidRPr="00891450">
        <w:rPr>
          <w:rFonts w:ascii="Times New Roman" w:hAnsi="Times New Roman" w:cs="Times New Roman"/>
          <w:sz w:val="24"/>
          <w:lang w:val="en-US"/>
        </w:rPr>
        <w:fldChar w:fldCharType="end"/>
      </w:r>
      <w:r w:rsidR="00A22CE0" w:rsidRPr="00891450">
        <w:rPr>
          <w:rFonts w:ascii="Times New Roman" w:hAnsi="Times New Roman" w:cs="Times New Roman"/>
          <w:sz w:val="24"/>
          <w:lang w:val="en-US"/>
        </w:rPr>
        <w:t xml:space="preserve">, but rather </w:t>
      </w:r>
      <w:r w:rsidR="00BF7599" w:rsidRPr="00891450">
        <w:rPr>
          <w:rFonts w:ascii="Times New Roman" w:hAnsi="Times New Roman" w:cs="Times New Roman"/>
          <w:sz w:val="24"/>
          <w:lang w:val="en-US"/>
        </w:rPr>
        <w:t>12-16%</w:t>
      </w:r>
      <w:r w:rsidR="007F2F6B" w:rsidRPr="00891450">
        <w:rPr>
          <w:rFonts w:ascii="Times New Roman" w:hAnsi="Times New Roman" w:cs="Times New Roman"/>
          <w:sz w:val="24"/>
          <w:lang w:val="en-US"/>
        </w:rPr>
        <w:t xml:space="preserve"> as estimated earlier</w:t>
      </w:r>
      <w:r w:rsidR="00BF7599" w:rsidRPr="00891450">
        <w:rPr>
          <w:rFonts w:ascii="Times New Roman" w:hAnsi="Times New Roman" w:cs="Times New Roman"/>
          <w:sz w:val="24"/>
          <w:lang w:val="en-US"/>
        </w:rPr>
        <w:t xml:space="preserve"> </w:t>
      </w:r>
      <w:r w:rsidR="00A22CE0" w:rsidRPr="00891450">
        <w:rPr>
          <w:rFonts w:ascii="Times New Roman" w:hAnsi="Times New Roman" w:cs="Times New Roman"/>
          <w:sz w:val="24"/>
          <w:lang w:val="en-US"/>
        </w:rPr>
        <w:fldChar w:fldCharType="begin" w:fldLock="1"/>
      </w:r>
      <w:r w:rsidR="001A7298">
        <w:rPr>
          <w:rFonts w:ascii="Times New Roman" w:hAnsi="Times New Roman" w:cs="Times New Roman"/>
          <w:sz w:val="24"/>
          <w:lang w:val="en-US"/>
        </w:rPr>
        <w:instrText>ADDIN CSL_CITATION {"citationItems":[{"id":"ITEM-1","itemData":{"ISBN":"9789292600389","author":[{"dropping-particle":"","family":"Renewable","given":"International","non-dropping-particle":"","parse-names":false,"suffix":""},{"dropping-particle":"","family":"Agency","given":"Energy","non-dropping-particle":"","parse-names":false,"suffix":""}],"id":"ITEM-1","issue":"October","issued":{"date-parts":[["2017"]]},"title":"Electricity Storage and Renewables : Costs and Markets To 2030","type":"book"},"uris":["http://www.mendeley.com/documents/?uuid=8a2d2ba7-3ad2-43f4-8df8-55e58801b19b"]}],"mendeley":{"formattedCitation":"[50]","plainTextFormattedCitation":"[50]","previouslyFormattedCitation":"[50]"},"properties":{"noteIndex":0},"schema":"https://github.com/citation-style-language/schema/raw/master/csl-citation.json"}</w:instrText>
      </w:r>
      <w:r w:rsidR="00A22CE0" w:rsidRPr="00891450">
        <w:rPr>
          <w:rFonts w:ascii="Times New Roman" w:hAnsi="Times New Roman" w:cs="Times New Roman"/>
          <w:sz w:val="24"/>
          <w:lang w:val="en-US"/>
        </w:rPr>
        <w:fldChar w:fldCharType="separate"/>
      </w:r>
      <w:r w:rsidR="00B60186" w:rsidRPr="00B60186">
        <w:rPr>
          <w:rFonts w:ascii="Times New Roman" w:hAnsi="Times New Roman" w:cs="Times New Roman"/>
          <w:noProof/>
          <w:sz w:val="24"/>
          <w:lang w:val="en-US"/>
        </w:rPr>
        <w:t>[50]</w:t>
      </w:r>
      <w:r w:rsidR="00A22CE0" w:rsidRPr="00891450">
        <w:rPr>
          <w:rFonts w:ascii="Times New Roman" w:hAnsi="Times New Roman" w:cs="Times New Roman"/>
          <w:sz w:val="24"/>
          <w:lang w:val="en-US"/>
        </w:rPr>
        <w:fldChar w:fldCharType="end"/>
      </w:r>
      <w:r w:rsidR="00A22CE0" w:rsidRPr="00891450">
        <w:rPr>
          <w:rFonts w:ascii="Times New Roman" w:hAnsi="Times New Roman" w:cs="Times New Roman"/>
          <w:sz w:val="24"/>
          <w:lang w:val="en-US"/>
        </w:rPr>
        <w:t xml:space="preserve">, the forecasted price reductions will be smaller. Having a 12% learning rate, the 2050 price ends at 70 $/kWh instead of 40 $/kWh. With a 14% and 16% learning rate the 2050 price ends respectively at 60 $/kWh and 50 $/kWh. </w:t>
      </w:r>
    </w:p>
    <w:p w14:paraId="2DEF623F" w14:textId="306670C5" w:rsidR="00BC35D2" w:rsidRDefault="006867BA" w:rsidP="0089514A">
      <w:pPr>
        <w:rPr>
          <w:rFonts w:ascii="Times New Roman" w:hAnsi="Times New Roman" w:cs="Times New Roman"/>
          <w:sz w:val="24"/>
          <w:lang w:val="en-US"/>
        </w:rPr>
      </w:pPr>
      <w:r w:rsidRPr="00891450">
        <w:rPr>
          <w:rFonts w:ascii="Times New Roman" w:hAnsi="Times New Roman" w:cs="Times New Roman"/>
          <w:sz w:val="24"/>
          <w:lang w:val="en-US"/>
        </w:rPr>
        <w:t xml:space="preserve">As </w:t>
      </w:r>
      <w:r w:rsidR="008A77C5" w:rsidRPr="00891450">
        <w:rPr>
          <w:rFonts w:ascii="Times New Roman" w:hAnsi="Times New Roman" w:cs="Times New Roman"/>
          <w:sz w:val="24"/>
          <w:lang w:val="en-US"/>
        </w:rPr>
        <w:t xml:space="preserve">shown in </w:t>
      </w:r>
      <w:r w:rsidR="008A77C5" w:rsidRPr="00891450">
        <w:rPr>
          <w:rFonts w:ascii="Times New Roman" w:hAnsi="Times New Roman" w:cs="Times New Roman"/>
          <w:sz w:val="24"/>
          <w:lang w:val="en-US"/>
        </w:rPr>
        <w:fldChar w:fldCharType="begin"/>
      </w:r>
      <w:r w:rsidR="008A77C5" w:rsidRPr="00891450">
        <w:rPr>
          <w:rFonts w:ascii="Times New Roman" w:hAnsi="Times New Roman" w:cs="Times New Roman"/>
          <w:sz w:val="24"/>
          <w:lang w:val="en-US"/>
        </w:rPr>
        <w:instrText xml:space="preserve"> REF _Ref528659327 \h  \* MERGEFORMAT </w:instrText>
      </w:r>
      <w:r w:rsidR="008A77C5" w:rsidRPr="00891450">
        <w:rPr>
          <w:rFonts w:ascii="Times New Roman" w:hAnsi="Times New Roman" w:cs="Times New Roman"/>
          <w:sz w:val="24"/>
          <w:lang w:val="en-US"/>
        </w:rPr>
      </w:r>
      <w:r w:rsidR="008A77C5" w:rsidRPr="00891450">
        <w:rPr>
          <w:rFonts w:ascii="Times New Roman" w:hAnsi="Times New Roman" w:cs="Times New Roman"/>
          <w:sz w:val="24"/>
          <w:lang w:val="en-US"/>
        </w:rPr>
        <w:fldChar w:fldCharType="separate"/>
      </w:r>
      <w:r w:rsidR="00E60026" w:rsidRPr="00E60026">
        <w:rPr>
          <w:rFonts w:ascii="Times New Roman" w:hAnsi="Times New Roman" w:cs="Times New Roman"/>
          <w:sz w:val="24"/>
          <w:lang w:val="en-US"/>
        </w:rPr>
        <w:t xml:space="preserve">Figure </w:t>
      </w:r>
      <w:r w:rsidR="00E60026" w:rsidRPr="00E60026">
        <w:rPr>
          <w:rFonts w:ascii="Times New Roman" w:hAnsi="Times New Roman" w:cs="Times New Roman"/>
          <w:noProof/>
          <w:sz w:val="24"/>
          <w:lang w:val="en-US"/>
        </w:rPr>
        <w:t>11</w:t>
      </w:r>
      <w:r w:rsidR="008A77C5" w:rsidRPr="00891450">
        <w:rPr>
          <w:rFonts w:ascii="Times New Roman" w:hAnsi="Times New Roman" w:cs="Times New Roman"/>
          <w:sz w:val="24"/>
          <w:lang w:val="en-US"/>
        </w:rPr>
        <w:fldChar w:fldCharType="end"/>
      </w:r>
      <w:r w:rsidR="008A77C5" w:rsidRPr="00891450">
        <w:rPr>
          <w:rFonts w:ascii="Times New Roman" w:hAnsi="Times New Roman" w:cs="Times New Roman"/>
          <w:sz w:val="24"/>
          <w:lang w:val="en-US"/>
        </w:rPr>
        <w:t xml:space="preserve"> </w:t>
      </w:r>
      <w:r w:rsidRPr="00891450">
        <w:rPr>
          <w:rFonts w:ascii="Times New Roman" w:hAnsi="Times New Roman" w:cs="Times New Roman"/>
          <w:sz w:val="24"/>
          <w:lang w:val="en-US"/>
        </w:rPr>
        <w:t>Tesla</w:t>
      </w:r>
      <w:r w:rsidR="008A77C5" w:rsidRPr="00891450">
        <w:rPr>
          <w:rFonts w:ascii="Times New Roman" w:hAnsi="Times New Roman" w:cs="Times New Roman"/>
          <w:sz w:val="24"/>
          <w:lang w:val="en-US"/>
        </w:rPr>
        <w:t>/Panasonic</w:t>
      </w:r>
      <w:r w:rsidRPr="00891450">
        <w:rPr>
          <w:rFonts w:ascii="Times New Roman" w:hAnsi="Times New Roman" w:cs="Times New Roman"/>
          <w:sz w:val="24"/>
          <w:lang w:val="en-US"/>
        </w:rPr>
        <w:t xml:space="preserve"> </w:t>
      </w:r>
      <w:r w:rsidR="007D441B">
        <w:rPr>
          <w:rFonts w:ascii="Times New Roman" w:hAnsi="Times New Roman" w:cs="Times New Roman"/>
          <w:sz w:val="24"/>
          <w:lang w:val="en-US"/>
        </w:rPr>
        <w:t xml:space="preserve">seems </w:t>
      </w:r>
      <w:r w:rsidR="008A77C5" w:rsidRPr="00891450">
        <w:rPr>
          <w:rFonts w:ascii="Times New Roman" w:hAnsi="Times New Roman" w:cs="Times New Roman"/>
          <w:sz w:val="24"/>
          <w:lang w:val="en-US"/>
        </w:rPr>
        <w:t xml:space="preserve">4 to 5 years ahead of the industry average cost per kWh. The figure also indicates differences in the forecasted </w:t>
      </w:r>
      <w:r w:rsidR="00A76CDF">
        <w:rPr>
          <w:rFonts w:ascii="Times New Roman" w:hAnsi="Times New Roman" w:cs="Times New Roman"/>
          <w:sz w:val="24"/>
          <w:lang w:val="en-US"/>
        </w:rPr>
        <w:t>cost reduction. T</w:t>
      </w:r>
      <w:r w:rsidR="008A77C5" w:rsidRPr="00891450">
        <w:rPr>
          <w:rFonts w:ascii="Times New Roman" w:hAnsi="Times New Roman" w:cs="Times New Roman"/>
          <w:sz w:val="24"/>
          <w:lang w:val="en-US"/>
        </w:rPr>
        <w:t>he Tesla forecast indicates pack prices as lo</w:t>
      </w:r>
      <w:r w:rsidR="00BC35D2">
        <w:rPr>
          <w:rFonts w:ascii="Times New Roman" w:hAnsi="Times New Roman" w:cs="Times New Roman"/>
          <w:sz w:val="24"/>
          <w:lang w:val="en-US"/>
        </w:rPr>
        <w:t>w as 50 $/kWh already in 2025.</w:t>
      </w:r>
    </w:p>
    <w:p w14:paraId="1BA58B70" w14:textId="76FCD029" w:rsidR="006867BA" w:rsidRDefault="00BC35D2" w:rsidP="0089514A">
      <w:pPr>
        <w:rPr>
          <w:lang w:val="en-US"/>
        </w:rPr>
      </w:pPr>
      <w:r>
        <w:rPr>
          <w:rFonts w:ascii="Times New Roman" w:hAnsi="Times New Roman" w:cs="Times New Roman"/>
          <w:sz w:val="24"/>
          <w:lang w:val="en-US"/>
        </w:rPr>
        <w:t xml:space="preserve"> </w:t>
      </w:r>
      <w:r w:rsidR="006867BA">
        <w:rPr>
          <w:noProof/>
          <w:lang w:eastAsia="da-DK"/>
        </w:rPr>
        <w:drawing>
          <wp:inline distT="0" distB="0" distL="0" distR="0" wp14:anchorId="50E1E9A2" wp14:editId="10270E12">
            <wp:extent cx="5731510" cy="2730823"/>
            <wp:effectExtent l="0" t="0" r="2540" b="0"/>
            <wp:docPr id="14" name="Picture 14" descr="https://i2.wp.com/evobsession.com/wp-content/uploads/2018/06/Battery-Cost-Curve-Chart-v.2.png?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i2.wp.com/evobsession.com/wp-content/uploads/2018/06/Battery-Cost-Curve-Chart-v.2.png?ssl=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1510" cy="2730823"/>
                    </a:xfrm>
                    <a:prstGeom prst="rect">
                      <a:avLst/>
                    </a:prstGeom>
                    <a:noFill/>
                    <a:ln>
                      <a:noFill/>
                    </a:ln>
                  </pic:spPr>
                </pic:pic>
              </a:graphicData>
            </a:graphic>
          </wp:inline>
        </w:drawing>
      </w:r>
    </w:p>
    <w:p w14:paraId="74FF4AB3" w14:textId="520245E2" w:rsidR="006867BA" w:rsidRPr="008A77C5" w:rsidRDefault="006867BA" w:rsidP="0089514A">
      <w:pPr>
        <w:rPr>
          <w:lang w:val="en-US"/>
        </w:rPr>
      </w:pPr>
      <w:bookmarkStart w:id="94" w:name="_Ref528659327"/>
      <w:r w:rsidRPr="008A77C5">
        <w:rPr>
          <w:rFonts w:ascii="Times New Roman" w:hAnsi="Times New Roman" w:cs="Times New Roman"/>
          <w:i/>
          <w:color w:val="44546A" w:themeColor="text2"/>
          <w:lang w:val="en-US"/>
        </w:rPr>
        <w:t xml:space="preserve">Figure </w:t>
      </w:r>
      <w:r w:rsidRPr="006867BA">
        <w:rPr>
          <w:rFonts w:ascii="Times New Roman" w:hAnsi="Times New Roman" w:cs="Times New Roman"/>
          <w:i/>
          <w:color w:val="44546A" w:themeColor="text2"/>
        </w:rPr>
        <w:fldChar w:fldCharType="begin"/>
      </w:r>
      <w:r w:rsidRPr="008A77C5">
        <w:rPr>
          <w:rFonts w:ascii="Times New Roman" w:hAnsi="Times New Roman" w:cs="Times New Roman"/>
          <w:i/>
          <w:color w:val="44546A" w:themeColor="text2"/>
          <w:lang w:val="en-US"/>
        </w:rPr>
        <w:instrText xml:space="preserve"> SEQ Figure \* ARABIC </w:instrText>
      </w:r>
      <w:r w:rsidRPr="006867BA">
        <w:rPr>
          <w:rFonts w:ascii="Times New Roman" w:hAnsi="Times New Roman" w:cs="Times New Roman"/>
          <w:i/>
          <w:color w:val="44546A" w:themeColor="text2"/>
        </w:rPr>
        <w:fldChar w:fldCharType="separate"/>
      </w:r>
      <w:r w:rsidR="00E60026">
        <w:rPr>
          <w:rFonts w:ascii="Times New Roman" w:hAnsi="Times New Roman" w:cs="Times New Roman"/>
          <w:i/>
          <w:noProof/>
          <w:color w:val="44546A" w:themeColor="text2"/>
          <w:lang w:val="en-US"/>
        </w:rPr>
        <w:t>11</w:t>
      </w:r>
      <w:r w:rsidRPr="006867BA">
        <w:rPr>
          <w:rFonts w:ascii="Times New Roman" w:hAnsi="Times New Roman" w:cs="Times New Roman"/>
          <w:i/>
          <w:color w:val="44546A" w:themeColor="text2"/>
        </w:rPr>
        <w:fldChar w:fldCharType="end"/>
      </w:r>
      <w:bookmarkEnd w:id="94"/>
      <w:r w:rsidRPr="008A77C5">
        <w:rPr>
          <w:rFonts w:ascii="Times New Roman" w:hAnsi="Times New Roman" w:cs="Times New Roman"/>
          <w:i/>
          <w:color w:val="44546A" w:themeColor="text2"/>
          <w:lang w:val="en-US"/>
        </w:rPr>
        <w:t xml:space="preserve">: </w:t>
      </w:r>
      <w:r w:rsidR="008A77C5" w:rsidRPr="008A77C5">
        <w:rPr>
          <w:rFonts w:ascii="Times New Roman" w:hAnsi="Times New Roman" w:cs="Times New Roman"/>
          <w:i/>
          <w:color w:val="44546A" w:themeColor="text2"/>
          <w:lang w:val="en-US"/>
        </w:rPr>
        <w:t xml:space="preserve">Trend data for Tesla/Panasonic </w:t>
      </w:r>
      <w:r w:rsidR="008A77C5">
        <w:rPr>
          <w:rFonts w:ascii="Times New Roman" w:hAnsi="Times New Roman" w:cs="Times New Roman"/>
          <w:i/>
          <w:color w:val="44546A" w:themeColor="text2"/>
          <w:lang w:val="en-US"/>
        </w:rPr>
        <w:t xml:space="preserve">vs. </w:t>
      </w:r>
      <w:proofErr w:type="spellStart"/>
      <w:r w:rsidR="008A77C5">
        <w:rPr>
          <w:rFonts w:ascii="Times New Roman" w:hAnsi="Times New Roman" w:cs="Times New Roman"/>
          <w:i/>
          <w:color w:val="44546A" w:themeColor="text2"/>
          <w:lang w:val="en-US"/>
        </w:rPr>
        <w:t>Bloombergs</w:t>
      </w:r>
      <w:proofErr w:type="spellEnd"/>
      <w:r w:rsidR="008A77C5">
        <w:rPr>
          <w:rFonts w:ascii="Times New Roman" w:hAnsi="Times New Roman" w:cs="Times New Roman"/>
          <w:i/>
          <w:color w:val="44546A" w:themeColor="text2"/>
          <w:lang w:val="en-US"/>
        </w:rPr>
        <w:t xml:space="preserve"> forecasts for LIB pack cost </w:t>
      </w:r>
      <w:r w:rsidR="008A77C5">
        <w:rPr>
          <w:rFonts w:ascii="Times New Roman" w:hAnsi="Times New Roman" w:cs="Times New Roman"/>
          <w:i/>
          <w:color w:val="44546A" w:themeColor="text2"/>
        </w:rPr>
        <w:fldChar w:fldCharType="begin" w:fldLock="1"/>
      </w:r>
      <w:r w:rsidR="001A7298">
        <w:rPr>
          <w:rFonts w:ascii="Times New Roman" w:hAnsi="Times New Roman" w:cs="Times New Roman"/>
          <w:i/>
          <w:color w:val="44546A" w:themeColor="text2"/>
          <w:lang w:val="en-US"/>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id":"ITEM-2","itemData":{"URL":"https://cleantechnica.com/2018/06/09/100-kwh-tesla-battery-cells-this-year-100-kwh-tesla-battery-packs-in-2020/","accessed":{"date-parts":[["2018","10","30"]]},"id":"ITEM-2","issued":{"date-parts":[["0"]]},"title":"$100/kWh Tesla Battery Cells This Year, $100/kWh Tesla Battery Packs In 2020 | CleanTechnica","type":"webpage"},"uris":["http://www.mendeley.com/documents/?uuid=4f291c6e-292a-34f6-a954-8e6faffe78d4"]}],"mendeley":{"formattedCitation":"[44,45]","plainTextFormattedCitation":"[44,45]","previouslyFormattedCitation":"[44,45]"},"properties":{"noteIndex":0},"schema":"https://github.com/citation-style-language/schema/raw/master/csl-citation.json"}</w:instrText>
      </w:r>
      <w:r w:rsidR="008A77C5">
        <w:rPr>
          <w:rFonts w:ascii="Times New Roman" w:hAnsi="Times New Roman" w:cs="Times New Roman"/>
          <w:i/>
          <w:color w:val="44546A" w:themeColor="text2"/>
        </w:rPr>
        <w:fldChar w:fldCharType="separate"/>
      </w:r>
      <w:r w:rsidR="00B60186" w:rsidRPr="00B60186">
        <w:rPr>
          <w:rFonts w:ascii="Times New Roman" w:hAnsi="Times New Roman" w:cs="Times New Roman"/>
          <w:noProof/>
          <w:color w:val="44546A" w:themeColor="text2"/>
          <w:lang w:val="en-US"/>
        </w:rPr>
        <w:t>[44,45]</w:t>
      </w:r>
      <w:r w:rsidR="008A77C5">
        <w:rPr>
          <w:rFonts w:ascii="Times New Roman" w:hAnsi="Times New Roman" w:cs="Times New Roman"/>
          <w:i/>
          <w:color w:val="44546A" w:themeColor="text2"/>
        </w:rPr>
        <w:fldChar w:fldCharType="end"/>
      </w:r>
      <w:r w:rsidR="008A77C5" w:rsidRPr="008A77C5">
        <w:rPr>
          <w:rFonts w:ascii="Times New Roman" w:hAnsi="Times New Roman" w:cs="Times New Roman"/>
          <w:color w:val="44546A" w:themeColor="text2"/>
          <w:lang w:val="en-US"/>
        </w:rPr>
        <w:t>.</w:t>
      </w:r>
      <w:r w:rsidR="008A77C5">
        <w:rPr>
          <w:rFonts w:ascii="Times New Roman" w:hAnsi="Times New Roman" w:cs="Times New Roman"/>
          <w:color w:val="44546A" w:themeColor="text2"/>
          <w:lang w:val="en-US"/>
        </w:rPr>
        <w:t xml:space="preserve"> </w:t>
      </w:r>
    </w:p>
    <w:p w14:paraId="7DDEEC1D" w14:textId="77777777" w:rsidR="00891450" w:rsidRDefault="00891450" w:rsidP="0089514A">
      <w:pPr>
        <w:rPr>
          <w:lang w:val="en-US"/>
        </w:rPr>
      </w:pPr>
    </w:p>
    <w:p w14:paraId="2900EA5D" w14:textId="15491F2F" w:rsidR="0089514A" w:rsidRPr="009A0C2D" w:rsidRDefault="00891450" w:rsidP="0089514A">
      <w:pPr>
        <w:rPr>
          <w:rFonts w:ascii="Times New Roman" w:hAnsi="Times New Roman" w:cs="Times New Roman"/>
          <w:sz w:val="24"/>
          <w:szCs w:val="24"/>
          <w:lang w:val="en-US"/>
        </w:rPr>
      </w:pPr>
      <w:r w:rsidRPr="009A0C2D">
        <w:rPr>
          <w:rFonts w:ascii="Times New Roman" w:hAnsi="Times New Roman" w:cs="Times New Roman"/>
          <w:sz w:val="24"/>
          <w:szCs w:val="24"/>
          <w:lang w:val="en-US"/>
        </w:rPr>
        <w:lastRenderedPageBreak/>
        <w:t xml:space="preserve">The spread in the current and predicted price shown in </w:t>
      </w:r>
      <w:r w:rsidRPr="009A0C2D">
        <w:rPr>
          <w:rFonts w:ascii="Times New Roman" w:hAnsi="Times New Roman" w:cs="Times New Roman"/>
          <w:sz w:val="24"/>
          <w:szCs w:val="24"/>
          <w:lang w:val="en-US"/>
        </w:rPr>
        <w:fldChar w:fldCharType="begin"/>
      </w:r>
      <w:r w:rsidRPr="009A0C2D">
        <w:rPr>
          <w:rFonts w:ascii="Times New Roman" w:hAnsi="Times New Roman" w:cs="Times New Roman"/>
          <w:sz w:val="24"/>
          <w:szCs w:val="24"/>
          <w:lang w:val="en-US"/>
        </w:rPr>
        <w:instrText xml:space="preserve"> REF _Ref528659327 \h  \* MERGEFORMAT </w:instrText>
      </w:r>
      <w:r w:rsidRPr="009A0C2D">
        <w:rPr>
          <w:rFonts w:ascii="Times New Roman" w:hAnsi="Times New Roman" w:cs="Times New Roman"/>
          <w:sz w:val="24"/>
          <w:szCs w:val="24"/>
          <w:lang w:val="en-US"/>
        </w:rPr>
      </w:r>
      <w:r w:rsidRPr="009A0C2D">
        <w:rPr>
          <w:rFonts w:ascii="Times New Roman" w:hAnsi="Times New Roman" w:cs="Times New Roman"/>
          <w:sz w:val="24"/>
          <w:szCs w:val="24"/>
          <w:lang w:val="en-US"/>
        </w:rPr>
        <w:fldChar w:fldCharType="separate"/>
      </w:r>
      <w:r w:rsidR="00E60026" w:rsidRPr="00E60026">
        <w:rPr>
          <w:rFonts w:ascii="Times New Roman" w:hAnsi="Times New Roman" w:cs="Times New Roman"/>
          <w:sz w:val="24"/>
          <w:szCs w:val="24"/>
          <w:lang w:val="en-US"/>
        </w:rPr>
        <w:t xml:space="preserve">Figure </w:t>
      </w:r>
      <w:r w:rsidR="00E60026" w:rsidRPr="00E60026">
        <w:rPr>
          <w:rFonts w:ascii="Times New Roman" w:hAnsi="Times New Roman" w:cs="Times New Roman"/>
          <w:noProof/>
          <w:sz w:val="24"/>
          <w:szCs w:val="24"/>
          <w:lang w:val="en-US"/>
        </w:rPr>
        <w:t>11</w:t>
      </w:r>
      <w:r w:rsidRPr="009A0C2D">
        <w:rPr>
          <w:rFonts w:ascii="Times New Roman" w:hAnsi="Times New Roman" w:cs="Times New Roman"/>
          <w:sz w:val="24"/>
          <w:szCs w:val="24"/>
          <w:lang w:val="en-US"/>
        </w:rPr>
        <w:fldChar w:fldCharType="end"/>
      </w:r>
      <w:r w:rsidRPr="009A0C2D">
        <w:rPr>
          <w:rFonts w:ascii="Times New Roman" w:hAnsi="Times New Roman" w:cs="Times New Roman"/>
          <w:sz w:val="24"/>
          <w:szCs w:val="24"/>
          <w:lang w:val="en-US"/>
        </w:rPr>
        <w:t xml:space="preserve"> indicates a substantial uncertainty in the current and forecasted cost. </w:t>
      </w:r>
      <w:r w:rsidR="007C7FCE" w:rsidRPr="009A0C2D">
        <w:rPr>
          <w:rFonts w:ascii="Times New Roman" w:hAnsi="Times New Roman" w:cs="Times New Roman"/>
          <w:sz w:val="24"/>
          <w:szCs w:val="24"/>
          <w:lang w:val="en-US"/>
        </w:rPr>
        <w:t xml:space="preserve">The estimated 90% </w:t>
      </w:r>
      <w:r w:rsidR="00A22CE0" w:rsidRPr="009A0C2D">
        <w:rPr>
          <w:rFonts w:ascii="Times New Roman" w:hAnsi="Times New Roman" w:cs="Times New Roman"/>
          <w:sz w:val="24"/>
          <w:szCs w:val="24"/>
          <w:lang w:val="en-US"/>
        </w:rPr>
        <w:t xml:space="preserve">confidence interval </w:t>
      </w:r>
      <w:r w:rsidR="007C7FCE" w:rsidRPr="009A0C2D">
        <w:rPr>
          <w:rFonts w:ascii="Times New Roman" w:hAnsi="Times New Roman" w:cs="Times New Roman"/>
          <w:sz w:val="24"/>
          <w:szCs w:val="24"/>
          <w:lang w:val="en-US"/>
        </w:rPr>
        <w:t xml:space="preserve">is </w:t>
      </w:r>
      <w:r w:rsidR="00BC35D2">
        <w:rPr>
          <w:rFonts w:ascii="Times New Roman" w:hAnsi="Times New Roman" w:cs="Times New Roman"/>
          <w:sz w:val="24"/>
          <w:szCs w:val="24"/>
          <w:lang w:val="en-US"/>
        </w:rPr>
        <w:t>1</w:t>
      </w:r>
      <w:r w:rsidR="00351DB6">
        <w:rPr>
          <w:rFonts w:ascii="Times New Roman" w:hAnsi="Times New Roman" w:cs="Times New Roman"/>
          <w:sz w:val="24"/>
          <w:szCs w:val="24"/>
          <w:lang w:val="en-US"/>
        </w:rPr>
        <w:t>7</w:t>
      </w:r>
      <w:r w:rsidR="00BC35D2">
        <w:rPr>
          <w:rFonts w:ascii="Times New Roman" w:hAnsi="Times New Roman" w:cs="Times New Roman"/>
          <w:sz w:val="24"/>
          <w:szCs w:val="24"/>
          <w:lang w:val="en-US"/>
        </w:rPr>
        <w:t>0-</w:t>
      </w:r>
      <w:r w:rsidR="00351DB6">
        <w:rPr>
          <w:rFonts w:ascii="Times New Roman" w:hAnsi="Times New Roman" w:cs="Times New Roman"/>
          <w:sz w:val="24"/>
          <w:szCs w:val="24"/>
          <w:lang w:val="en-US"/>
        </w:rPr>
        <w:t>8</w:t>
      </w:r>
      <w:r w:rsidR="007C7FCE" w:rsidRPr="009A0C2D">
        <w:rPr>
          <w:rFonts w:ascii="Times New Roman" w:hAnsi="Times New Roman" w:cs="Times New Roman"/>
          <w:sz w:val="24"/>
          <w:szCs w:val="24"/>
          <w:lang w:val="en-US"/>
        </w:rPr>
        <w:t xml:space="preserve">0 $/kWh in 2020 and </w:t>
      </w:r>
      <w:r w:rsidR="00A22CE0" w:rsidRPr="009A0C2D">
        <w:rPr>
          <w:rFonts w:ascii="Times New Roman" w:hAnsi="Times New Roman" w:cs="Times New Roman"/>
          <w:sz w:val="24"/>
          <w:szCs w:val="24"/>
          <w:lang w:val="en-US"/>
        </w:rPr>
        <w:t xml:space="preserve">for the 2050 </w:t>
      </w:r>
      <w:r w:rsidR="00E373C1" w:rsidRPr="009A0C2D">
        <w:rPr>
          <w:rFonts w:ascii="Times New Roman" w:hAnsi="Times New Roman" w:cs="Times New Roman"/>
          <w:sz w:val="24"/>
          <w:szCs w:val="24"/>
          <w:lang w:val="en-US"/>
        </w:rPr>
        <w:t xml:space="preserve">LIB </w:t>
      </w:r>
      <w:r w:rsidR="00A22CE0" w:rsidRPr="009A0C2D">
        <w:rPr>
          <w:rFonts w:ascii="Times New Roman" w:hAnsi="Times New Roman" w:cs="Times New Roman"/>
          <w:sz w:val="24"/>
          <w:szCs w:val="24"/>
          <w:lang w:val="en-US"/>
        </w:rPr>
        <w:t xml:space="preserve">price is estimated to be </w:t>
      </w:r>
      <w:r w:rsidR="00BC35D2">
        <w:rPr>
          <w:rFonts w:ascii="Times New Roman" w:hAnsi="Times New Roman" w:cs="Times New Roman"/>
          <w:sz w:val="24"/>
          <w:szCs w:val="24"/>
          <w:lang w:val="en-US"/>
        </w:rPr>
        <w:t>30-</w:t>
      </w:r>
      <w:r w:rsidR="00351DB6">
        <w:rPr>
          <w:rFonts w:ascii="Times New Roman" w:hAnsi="Times New Roman" w:cs="Times New Roman"/>
          <w:sz w:val="24"/>
          <w:szCs w:val="24"/>
          <w:lang w:val="en-US"/>
        </w:rPr>
        <w:t>75</w:t>
      </w:r>
      <w:r w:rsidR="00A22CE0" w:rsidRPr="009A0C2D">
        <w:rPr>
          <w:rFonts w:ascii="Times New Roman" w:hAnsi="Times New Roman" w:cs="Times New Roman"/>
          <w:sz w:val="24"/>
          <w:szCs w:val="24"/>
          <w:lang w:val="en-US"/>
        </w:rPr>
        <w:t xml:space="preserve"> $/kWh. </w:t>
      </w:r>
    </w:p>
    <w:p w14:paraId="29D8A2B8" w14:textId="77777777" w:rsidR="00684C45" w:rsidRPr="009A64AC" w:rsidRDefault="00684C45" w:rsidP="00684C45">
      <w:pPr>
        <w:pStyle w:val="Heading1"/>
        <w:rPr>
          <w:rFonts w:cs="Times New Roman"/>
          <w:lang w:val="en-US"/>
        </w:rPr>
      </w:pPr>
      <w:bookmarkStart w:id="95" w:name="_Toc528242927"/>
      <w:bookmarkStart w:id="96" w:name="_Toc528918116"/>
      <w:bookmarkStart w:id="97" w:name="_Toc529169842"/>
      <w:bookmarkStart w:id="98" w:name="_Toc529178841"/>
      <w:bookmarkStart w:id="99" w:name="_Toc529178956"/>
      <w:r w:rsidRPr="009A64AC">
        <w:rPr>
          <w:rFonts w:cs="Times New Roman"/>
          <w:lang w:val="en-US"/>
        </w:rPr>
        <w:t>Data sheet</w:t>
      </w:r>
      <w:bookmarkEnd w:id="95"/>
      <w:bookmarkEnd w:id="96"/>
      <w:bookmarkEnd w:id="97"/>
      <w:bookmarkEnd w:id="98"/>
      <w:bookmarkEnd w:id="99"/>
    </w:p>
    <w:p w14:paraId="76E745C8" w14:textId="463639FD" w:rsidR="00684C45" w:rsidRPr="004D7228" w:rsidRDefault="00A76CDF" w:rsidP="00684C45">
      <w:pPr>
        <w:rPr>
          <w:rFonts w:ascii="Times New Roman" w:hAnsi="Times New Roman" w:cs="Times New Roman"/>
          <w:sz w:val="24"/>
          <w:lang w:val="en-US"/>
        </w:rPr>
      </w:pPr>
      <w:r w:rsidRPr="004D7228">
        <w:rPr>
          <w:rFonts w:ascii="Times New Roman" w:hAnsi="Times New Roman" w:cs="Times New Roman"/>
          <w:sz w:val="24"/>
          <w:lang w:val="en-US"/>
        </w:rPr>
        <w:t xml:space="preserve">The </w:t>
      </w:r>
      <w:r w:rsidR="004D7228" w:rsidRPr="004D7228">
        <w:rPr>
          <w:rFonts w:ascii="Times New Roman" w:hAnsi="Times New Roman" w:cs="Times New Roman"/>
          <w:sz w:val="24"/>
          <w:lang w:val="en-US"/>
        </w:rPr>
        <w:t xml:space="preserve">data sheet </w:t>
      </w:r>
      <w:r w:rsidRPr="004D7228">
        <w:rPr>
          <w:rFonts w:ascii="Times New Roman" w:hAnsi="Times New Roman" w:cs="Times New Roman"/>
          <w:sz w:val="24"/>
          <w:lang w:val="en-US"/>
        </w:rPr>
        <w:t xml:space="preserve">table summarizes the </w:t>
      </w:r>
      <w:r w:rsidR="00684C45" w:rsidRPr="004D7228">
        <w:rPr>
          <w:rFonts w:ascii="Times New Roman" w:hAnsi="Times New Roman" w:cs="Times New Roman"/>
          <w:sz w:val="24"/>
          <w:lang w:val="en-US"/>
        </w:rPr>
        <w:t xml:space="preserve">development </w:t>
      </w:r>
      <w:r w:rsidRPr="004D7228">
        <w:rPr>
          <w:rFonts w:ascii="Times New Roman" w:hAnsi="Times New Roman" w:cs="Times New Roman"/>
          <w:sz w:val="24"/>
          <w:lang w:val="en-US"/>
        </w:rPr>
        <w:t xml:space="preserve">predictions. The assumptions for the predictions are </w:t>
      </w:r>
      <w:r w:rsidR="00684C45" w:rsidRPr="004D7228">
        <w:rPr>
          <w:rFonts w:ascii="Times New Roman" w:hAnsi="Times New Roman" w:cs="Times New Roman"/>
          <w:noProof/>
          <w:sz w:val="24"/>
          <w:lang w:val="en-US"/>
        </w:rPr>
        <w:t>discussed</w:t>
      </w:r>
      <w:r w:rsidR="00684C45" w:rsidRPr="004D7228">
        <w:rPr>
          <w:rFonts w:ascii="Times New Roman" w:hAnsi="Times New Roman" w:cs="Times New Roman"/>
          <w:sz w:val="24"/>
          <w:lang w:val="en-US"/>
        </w:rPr>
        <w:t xml:space="preserve"> </w:t>
      </w:r>
      <w:r w:rsidRPr="004D7228">
        <w:rPr>
          <w:rFonts w:ascii="Times New Roman" w:hAnsi="Times New Roman" w:cs="Times New Roman"/>
          <w:sz w:val="24"/>
          <w:lang w:val="en-US"/>
        </w:rPr>
        <w:t xml:space="preserve">in the sections </w:t>
      </w:r>
      <w:r w:rsidR="00684C45" w:rsidRPr="004D7228">
        <w:rPr>
          <w:rFonts w:ascii="Times New Roman" w:hAnsi="Times New Roman" w:cs="Times New Roman"/>
          <w:sz w:val="24"/>
          <w:lang w:val="en-US"/>
        </w:rPr>
        <w:t>above.</w:t>
      </w:r>
    </w:p>
    <w:tbl>
      <w:tblPr>
        <w:tblW w:w="8871" w:type="dxa"/>
        <w:tblInd w:w="-72" w:type="dxa"/>
        <w:tblLayout w:type="fixed"/>
        <w:tblCellMar>
          <w:left w:w="70" w:type="dxa"/>
          <w:right w:w="70" w:type="dxa"/>
        </w:tblCellMar>
        <w:tblLook w:val="04A0" w:firstRow="1" w:lastRow="0" w:firstColumn="1" w:lastColumn="0" w:noHBand="0" w:noVBand="1"/>
      </w:tblPr>
      <w:tblGrid>
        <w:gridCol w:w="565"/>
        <w:gridCol w:w="1562"/>
        <w:gridCol w:w="567"/>
        <w:gridCol w:w="566"/>
        <w:gridCol w:w="191"/>
        <w:gridCol w:w="565"/>
        <w:gridCol w:w="566"/>
        <w:gridCol w:w="567"/>
        <w:gridCol w:w="566"/>
        <w:gridCol w:w="566"/>
        <w:gridCol w:w="566"/>
        <w:gridCol w:w="566"/>
        <w:gridCol w:w="566"/>
        <w:gridCol w:w="892"/>
      </w:tblGrid>
      <w:tr w:rsidR="008A6A4E" w:rsidRPr="00724C1F" w14:paraId="0397A001" w14:textId="77777777" w:rsidTr="00162AEC">
        <w:trPr>
          <w:trHeight w:hRule="exact" w:val="402"/>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216CFACD" w14:textId="77777777" w:rsidR="008A6A4E" w:rsidRPr="007D5B8E"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Technology</w:t>
            </w:r>
          </w:p>
        </w:tc>
        <w:tc>
          <w:tcPr>
            <w:tcW w:w="567" w:type="dxa"/>
            <w:tcBorders>
              <w:top w:val="single" w:sz="4" w:space="0" w:color="auto"/>
              <w:left w:val="nil"/>
              <w:bottom w:val="single" w:sz="4" w:space="0" w:color="auto"/>
              <w:right w:val="nil"/>
            </w:tcBorders>
            <w:shd w:val="clear" w:color="auto" w:fill="FFFFFF"/>
            <w:vAlign w:val="center"/>
          </w:tcPr>
          <w:p w14:paraId="6CDE48BC" w14:textId="77777777" w:rsidR="008A6A4E" w:rsidRPr="007D5B8E" w:rsidRDefault="008A6A4E" w:rsidP="00C86EA6">
            <w:pPr>
              <w:spacing w:after="0" w:line="240" w:lineRule="auto"/>
              <w:jc w:val="center"/>
              <w:rPr>
                <w:rFonts w:ascii="Arial" w:eastAsia="Times New Roman" w:hAnsi="Arial" w:cs="Arial"/>
                <w:b/>
                <w:bCs/>
                <w:sz w:val="12"/>
                <w:szCs w:val="12"/>
              </w:rPr>
            </w:pPr>
          </w:p>
        </w:tc>
        <w:tc>
          <w:tcPr>
            <w:tcW w:w="566" w:type="dxa"/>
            <w:tcBorders>
              <w:top w:val="single" w:sz="4" w:space="0" w:color="auto"/>
              <w:left w:val="nil"/>
              <w:bottom w:val="single" w:sz="4" w:space="0" w:color="auto"/>
              <w:right w:val="nil"/>
            </w:tcBorders>
            <w:shd w:val="clear" w:color="auto" w:fill="FFFFFF"/>
          </w:tcPr>
          <w:p w14:paraId="26995254" w14:textId="77777777" w:rsidR="008A6A4E" w:rsidRPr="002B590B" w:rsidRDefault="008A6A4E" w:rsidP="00C86EA6">
            <w:pPr>
              <w:spacing w:after="0" w:line="240" w:lineRule="auto"/>
              <w:jc w:val="center"/>
              <w:rPr>
                <w:rFonts w:ascii="Arial" w:eastAsia="Times New Roman" w:hAnsi="Arial" w:cs="Arial"/>
                <w:b/>
                <w:bCs/>
                <w:noProof/>
                <w:sz w:val="12"/>
                <w:szCs w:val="12"/>
                <w:lang w:val="en-US"/>
              </w:rPr>
            </w:pPr>
          </w:p>
        </w:tc>
        <w:tc>
          <w:tcPr>
            <w:tcW w:w="5611" w:type="dxa"/>
            <w:gridSpan w:val="10"/>
            <w:tcBorders>
              <w:top w:val="single" w:sz="4" w:space="0" w:color="auto"/>
              <w:left w:val="nil"/>
              <w:bottom w:val="single" w:sz="4" w:space="0" w:color="auto"/>
              <w:right w:val="single" w:sz="4" w:space="0" w:color="auto"/>
            </w:tcBorders>
            <w:shd w:val="clear" w:color="auto" w:fill="FFFFFF"/>
            <w:vAlign w:val="center"/>
            <w:hideMark/>
          </w:tcPr>
          <w:p w14:paraId="62F82812" w14:textId="77777777" w:rsidR="008A6A4E" w:rsidRPr="002B590B" w:rsidRDefault="008A6A4E" w:rsidP="00C86EA6">
            <w:pPr>
              <w:spacing w:after="0" w:line="240" w:lineRule="auto"/>
              <w:jc w:val="center"/>
              <w:rPr>
                <w:rFonts w:ascii="Arial" w:eastAsia="Times New Roman" w:hAnsi="Arial" w:cs="Arial"/>
                <w:b/>
                <w:bCs/>
                <w:sz w:val="12"/>
                <w:szCs w:val="12"/>
                <w:lang w:val="en-US"/>
              </w:rPr>
            </w:pPr>
            <w:r w:rsidRPr="002B590B">
              <w:rPr>
                <w:rFonts w:ascii="Arial" w:eastAsia="Times New Roman" w:hAnsi="Arial" w:cs="Arial"/>
                <w:b/>
                <w:bCs/>
                <w:noProof/>
                <w:sz w:val="12"/>
                <w:szCs w:val="12"/>
                <w:lang w:val="en-US"/>
              </w:rPr>
              <w:t>Lithium-ion</w:t>
            </w:r>
            <w:r w:rsidRPr="002B590B">
              <w:rPr>
                <w:rFonts w:ascii="Arial" w:eastAsia="Times New Roman" w:hAnsi="Arial" w:cs="Arial"/>
                <w:b/>
                <w:bCs/>
                <w:sz w:val="12"/>
                <w:szCs w:val="12"/>
                <w:lang w:val="en-US"/>
              </w:rPr>
              <w:t xml:space="preserve"> battery (</w:t>
            </w:r>
            <w:r w:rsidRPr="002B590B">
              <w:rPr>
                <w:rFonts w:ascii="Arial" w:eastAsia="Times New Roman" w:hAnsi="Arial" w:cs="Arial"/>
                <w:b/>
                <w:bCs/>
                <w:noProof/>
                <w:sz w:val="12"/>
                <w:szCs w:val="12"/>
                <w:lang w:val="en-US"/>
              </w:rPr>
              <w:t>Utility-scale</w:t>
            </w:r>
            <w:r w:rsidRPr="002B590B">
              <w:rPr>
                <w:rFonts w:ascii="Arial" w:eastAsia="Times New Roman" w:hAnsi="Arial" w:cs="Arial"/>
                <w:b/>
                <w:bCs/>
                <w:sz w:val="12"/>
                <w:szCs w:val="12"/>
                <w:lang w:val="en-US"/>
              </w:rPr>
              <w:t>)</w:t>
            </w:r>
          </w:p>
        </w:tc>
      </w:tr>
      <w:tr w:rsidR="008A6A4E" w:rsidRPr="007D5B8E" w14:paraId="2B014F15" w14:textId="77777777" w:rsidTr="00162AEC">
        <w:trPr>
          <w:trHeight w:hRule="exact" w:val="432"/>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6AE205E6" w14:textId="77777777" w:rsidR="008A6A4E" w:rsidRPr="002B590B" w:rsidRDefault="008A6A4E" w:rsidP="00C86EA6">
            <w:pPr>
              <w:spacing w:after="0" w:line="240" w:lineRule="auto"/>
              <w:jc w:val="center"/>
              <w:rPr>
                <w:rFonts w:ascii="Arial" w:eastAsia="Times New Roman" w:hAnsi="Arial" w:cs="Arial"/>
                <w:sz w:val="12"/>
                <w:szCs w:val="12"/>
                <w:lang w:val="en-US"/>
              </w:rPr>
            </w:pPr>
          </w:p>
        </w:tc>
        <w:tc>
          <w:tcPr>
            <w:tcW w:w="567" w:type="dxa"/>
            <w:tcBorders>
              <w:top w:val="nil"/>
              <w:left w:val="nil"/>
              <w:bottom w:val="single" w:sz="4" w:space="0" w:color="auto"/>
              <w:right w:val="single" w:sz="4" w:space="0" w:color="auto"/>
            </w:tcBorders>
            <w:shd w:val="clear" w:color="auto" w:fill="FFFFFF"/>
            <w:vAlign w:val="center"/>
            <w:hideMark/>
          </w:tcPr>
          <w:p w14:paraId="7C0949F4" w14:textId="77777777" w:rsidR="008A6A4E" w:rsidRPr="00F51423"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2015</w:t>
            </w:r>
          </w:p>
        </w:tc>
        <w:tc>
          <w:tcPr>
            <w:tcW w:w="757" w:type="dxa"/>
            <w:gridSpan w:val="2"/>
            <w:tcBorders>
              <w:top w:val="nil"/>
              <w:left w:val="nil"/>
              <w:bottom w:val="single" w:sz="4" w:space="0" w:color="auto"/>
              <w:right w:val="single" w:sz="4" w:space="0" w:color="auto"/>
            </w:tcBorders>
            <w:shd w:val="clear" w:color="auto" w:fill="FFFFFF"/>
            <w:vAlign w:val="center"/>
            <w:hideMark/>
          </w:tcPr>
          <w:p w14:paraId="0B670A28" w14:textId="77777777" w:rsidR="008A6A4E" w:rsidRPr="007D5B8E"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2020</w:t>
            </w:r>
          </w:p>
        </w:tc>
        <w:tc>
          <w:tcPr>
            <w:tcW w:w="565" w:type="dxa"/>
            <w:tcBorders>
              <w:top w:val="nil"/>
              <w:left w:val="nil"/>
              <w:bottom w:val="single" w:sz="4" w:space="0" w:color="auto"/>
              <w:right w:val="single" w:sz="4" w:space="0" w:color="auto"/>
            </w:tcBorders>
            <w:shd w:val="clear" w:color="auto" w:fill="FFFFFF"/>
            <w:vAlign w:val="center"/>
            <w:hideMark/>
          </w:tcPr>
          <w:p w14:paraId="0AFD6565" w14:textId="77777777" w:rsidR="008A6A4E" w:rsidRPr="007D5B8E"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2030</w:t>
            </w:r>
          </w:p>
        </w:tc>
        <w:tc>
          <w:tcPr>
            <w:tcW w:w="566" w:type="dxa"/>
            <w:tcBorders>
              <w:top w:val="nil"/>
              <w:left w:val="nil"/>
              <w:bottom w:val="single" w:sz="4" w:space="0" w:color="auto"/>
              <w:right w:val="nil"/>
            </w:tcBorders>
            <w:shd w:val="clear" w:color="auto" w:fill="FFFFFF"/>
          </w:tcPr>
          <w:p w14:paraId="36278465" w14:textId="77777777" w:rsidR="008A6A4E" w:rsidRDefault="008A6A4E" w:rsidP="00C86EA6">
            <w:pPr>
              <w:spacing w:after="0" w:line="240" w:lineRule="auto"/>
              <w:jc w:val="center"/>
              <w:rPr>
                <w:rFonts w:ascii="Arial" w:eastAsia="Times New Roman" w:hAnsi="Arial" w:cs="Arial"/>
                <w:b/>
                <w:bCs/>
                <w:sz w:val="12"/>
                <w:szCs w:val="12"/>
              </w:rPr>
            </w:pPr>
          </w:p>
          <w:p w14:paraId="250EF314" w14:textId="77777777" w:rsidR="008A6A4E" w:rsidRPr="007D5B8E" w:rsidRDefault="008A6A4E" w:rsidP="00C86EA6">
            <w:pPr>
              <w:spacing w:after="0" w:line="240" w:lineRule="auto"/>
              <w:jc w:val="center"/>
              <w:rPr>
                <w:rFonts w:ascii="Arial" w:eastAsia="Times New Roman" w:hAnsi="Arial" w:cs="Arial"/>
                <w:b/>
                <w:bCs/>
                <w:sz w:val="12"/>
                <w:szCs w:val="12"/>
              </w:rPr>
            </w:pPr>
            <w:r>
              <w:rPr>
                <w:rFonts w:ascii="Arial" w:eastAsia="Times New Roman" w:hAnsi="Arial" w:cs="Arial"/>
                <w:b/>
                <w:bCs/>
                <w:sz w:val="12"/>
                <w:szCs w:val="12"/>
              </w:rPr>
              <w:t>2040</w:t>
            </w:r>
          </w:p>
        </w:tc>
        <w:tc>
          <w:tcPr>
            <w:tcW w:w="567" w:type="dxa"/>
            <w:tcBorders>
              <w:top w:val="nil"/>
              <w:left w:val="nil"/>
              <w:bottom w:val="single" w:sz="4" w:space="0" w:color="auto"/>
              <w:right w:val="single" w:sz="4" w:space="0" w:color="auto"/>
            </w:tcBorders>
            <w:shd w:val="clear" w:color="auto" w:fill="FFFFFF"/>
            <w:vAlign w:val="center"/>
            <w:hideMark/>
          </w:tcPr>
          <w:p w14:paraId="49901EAE" w14:textId="77777777" w:rsidR="008A6A4E" w:rsidRPr="007D5B8E"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2050</w:t>
            </w:r>
          </w:p>
        </w:tc>
        <w:tc>
          <w:tcPr>
            <w:tcW w:w="1132" w:type="dxa"/>
            <w:gridSpan w:val="2"/>
            <w:tcBorders>
              <w:top w:val="single" w:sz="4" w:space="0" w:color="auto"/>
              <w:left w:val="nil"/>
              <w:bottom w:val="single" w:sz="4" w:space="0" w:color="auto"/>
              <w:right w:val="single" w:sz="4" w:space="0" w:color="000000"/>
            </w:tcBorders>
            <w:shd w:val="clear" w:color="auto" w:fill="FFFFFF"/>
            <w:vAlign w:val="center"/>
            <w:hideMark/>
          </w:tcPr>
          <w:p w14:paraId="38F5DFF0" w14:textId="77777777" w:rsidR="008A6A4E" w:rsidRPr="007D5B8E" w:rsidRDefault="008A6A4E" w:rsidP="00C86EA6">
            <w:pPr>
              <w:spacing w:after="0" w:line="240" w:lineRule="auto"/>
              <w:jc w:val="center"/>
              <w:rPr>
                <w:rFonts w:ascii="Arial" w:eastAsia="Times New Roman" w:hAnsi="Arial" w:cs="Arial"/>
                <w:b/>
                <w:bCs/>
                <w:sz w:val="12"/>
                <w:szCs w:val="12"/>
              </w:rPr>
            </w:pPr>
            <w:proofErr w:type="spellStart"/>
            <w:r w:rsidRPr="007D5B8E">
              <w:rPr>
                <w:rFonts w:ascii="Arial" w:eastAsia="Times New Roman" w:hAnsi="Arial" w:cs="Arial"/>
                <w:b/>
                <w:bCs/>
                <w:sz w:val="12"/>
                <w:szCs w:val="12"/>
              </w:rPr>
              <w:t>Uncertainty</w:t>
            </w:r>
            <w:proofErr w:type="spellEnd"/>
            <w:r w:rsidRPr="007D5B8E">
              <w:rPr>
                <w:rFonts w:ascii="Arial" w:eastAsia="Times New Roman" w:hAnsi="Arial" w:cs="Arial"/>
                <w:b/>
                <w:bCs/>
                <w:sz w:val="12"/>
                <w:szCs w:val="12"/>
              </w:rPr>
              <w:t xml:space="preserve"> (2020)</w:t>
            </w:r>
          </w:p>
        </w:tc>
        <w:tc>
          <w:tcPr>
            <w:tcW w:w="1132" w:type="dxa"/>
            <w:gridSpan w:val="2"/>
            <w:tcBorders>
              <w:top w:val="single" w:sz="4" w:space="0" w:color="auto"/>
              <w:left w:val="nil"/>
              <w:bottom w:val="single" w:sz="4" w:space="0" w:color="auto"/>
              <w:right w:val="single" w:sz="4" w:space="0" w:color="000000"/>
            </w:tcBorders>
            <w:shd w:val="clear" w:color="auto" w:fill="FFFFFF"/>
            <w:vAlign w:val="center"/>
            <w:hideMark/>
          </w:tcPr>
          <w:p w14:paraId="4B9CD526" w14:textId="77777777" w:rsidR="008A6A4E" w:rsidRPr="007D5B8E" w:rsidRDefault="008A6A4E" w:rsidP="00C86EA6">
            <w:pPr>
              <w:spacing w:after="0" w:line="240" w:lineRule="auto"/>
              <w:jc w:val="center"/>
              <w:rPr>
                <w:rFonts w:ascii="Arial" w:eastAsia="Times New Roman" w:hAnsi="Arial" w:cs="Arial"/>
                <w:b/>
                <w:bCs/>
                <w:sz w:val="12"/>
                <w:szCs w:val="12"/>
              </w:rPr>
            </w:pPr>
            <w:proofErr w:type="spellStart"/>
            <w:r w:rsidRPr="007D5B8E">
              <w:rPr>
                <w:rFonts w:ascii="Arial" w:eastAsia="Times New Roman" w:hAnsi="Arial" w:cs="Arial"/>
                <w:b/>
                <w:bCs/>
                <w:sz w:val="12"/>
                <w:szCs w:val="12"/>
              </w:rPr>
              <w:t>Uncertainty</w:t>
            </w:r>
            <w:proofErr w:type="spellEnd"/>
          </w:p>
          <w:p w14:paraId="5AAA0046" w14:textId="77777777" w:rsidR="008A6A4E" w:rsidRPr="007D5B8E"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(2050)</w:t>
            </w:r>
          </w:p>
        </w:tc>
        <w:tc>
          <w:tcPr>
            <w:tcW w:w="566" w:type="dxa"/>
            <w:tcBorders>
              <w:top w:val="nil"/>
              <w:left w:val="nil"/>
              <w:bottom w:val="single" w:sz="4" w:space="0" w:color="auto"/>
              <w:right w:val="single" w:sz="4" w:space="0" w:color="auto"/>
            </w:tcBorders>
            <w:shd w:val="clear" w:color="auto" w:fill="FFFFFF"/>
            <w:vAlign w:val="center"/>
            <w:hideMark/>
          </w:tcPr>
          <w:p w14:paraId="46D965BB" w14:textId="77777777" w:rsidR="008A6A4E" w:rsidRPr="007D5B8E"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Note</w:t>
            </w:r>
          </w:p>
        </w:tc>
        <w:tc>
          <w:tcPr>
            <w:tcW w:w="892" w:type="dxa"/>
            <w:tcBorders>
              <w:top w:val="single" w:sz="4" w:space="0" w:color="auto"/>
              <w:left w:val="nil"/>
              <w:bottom w:val="single" w:sz="4" w:space="0" w:color="auto"/>
              <w:right w:val="single" w:sz="4" w:space="0" w:color="auto"/>
            </w:tcBorders>
            <w:shd w:val="clear" w:color="auto" w:fill="FFFFFF"/>
            <w:vAlign w:val="center"/>
            <w:hideMark/>
          </w:tcPr>
          <w:p w14:paraId="1D208AC8" w14:textId="77777777" w:rsidR="008A6A4E" w:rsidRPr="007D5B8E" w:rsidRDefault="008A6A4E" w:rsidP="00C86EA6">
            <w:pPr>
              <w:spacing w:after="0" w:line="240" w:lineRule="auto"/>
              <w:jc w:val="center"/>
              <w:rPr>
                <w:rFonts w:ascii="Arial" w:eastAsia="Times New Roman" w:hAnsi="Arial" w:cs="Arial"/>
                <w:b/>
                <w:bCs/>
                <w:sz w:val="12"/>
                <w:szCs w:val="12"/>
              </w:rPr>
            </w:pPr>
            <w:proofErr w:type="spellStart"/>
            <w:r w:rsidRPr="007D5B8E">
              <w:rPr>
                <w:rFonts w:ascii="Arial" w:eastAsia="Times New Roman" w:hAnsi="Arial" w:cs="Arial"/>
                <w:b/>
                <w:bCs/>
                <w:sz w:val="12"/>
                <w:szCs w:val="12"/>
              </w:rPr>
              <w:t>Ref</w:t>
            </w:r>
            <w:proofErr w:type="spellEnd"/>
          </w:p>
        </w:tc>
      </w:tr>
      <w:tr w:rsidR="008A6A4E" w:rsidRPr="007D5B8E" w14:paraId="3BA22CC3" w14:textId="77777777" w:rsidTr="00162AEC">
        <w:trPr>
          <w:trHeight w:hRule="exact" w:val="424"/>
        </w:trPr>
        <w:tc>
          <w:tcPr>
            <w:tcW w:w="2127" w:type="dxa"/>
            <w:gridSpan w:val="2"/>
            <w:tcBorders>
              <w:top w:val="nil"/>
              <w:left w:val="single" w:sz="4" w:space="0" w:color="auto"/>
              <w:bottom w:val="single" w:sz="4" w:space="0" w:color="auto"/>
              <w:right w:val="nil"/>
            </w:tcBorders>
            <w:shd w:val="clear" w:color="auto" w:fill="FFFFFF"/>
            <w:vAlign w:val="center"/>
            <w:hideMark/>
          </w:tcPr>
          <w:p w14:paraId="6C43AF3E" w14:textId="77777777" w:rsidR="008A6A4E" w:rsidRPr="007D5B8E"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Energy/</w:t>
            </w:r>
            <w:proofErr w:type="spellStart"/>
            <w:r w:rsidRPr="007D5B8E">
              <w:rPr>
                <w:rFonts w:ascii="Arial" w:eastAsia="Times New Roman" w:hAnsi="Arial" w:cs="Arial"/>
                <w:b/>
                <w:bCs/>
                <w:sz w:val="12"/>
                <w:szCs w:val="12"/>
              </w:rPr>
              <w:t>technical</w:t>
            </w:r>
            <w:proofErr w:type="spellEnd"/>
            <w:r w:rsidRPr="007D5B8E">
              <w:rPr>
                <w:rFonts w:ascii="Arial" w:eastAsia="Times New Roman" w:hAnsi="Arial" w:cs="Arial"/>
                <w:b/>
                <w:bCs/>
                <w:sz w:val="12"/>
                <w:szCs w:val="12"/>
              </w:rPr>
              <w:t xml:space="preserve"> data</w:t>
            </w:r>
          </w:p>
        </w:tc>
        <w:tc>
          <w:tcPr>
            <w:tcW w:w="567" w:type="dxa"/>
            <w:tcBorders>
              <w:top w:val="nil"/>
              <w:left w:val="nil"/>
              <w:bottom w:val="single" w:sz="4" w:space="0" w:color="auto"/>
              <w:right w:val="nil"/>
            </w:tcBorders>
            <w:shd w:val="clear" w:color="auto" w:fill="FFFFFF"/>
            <w:vAlign w:val="center"/>
            <w:hideMark/>
          </w:tcPr>
          <w:p w14:paraId="7BA6DCD3" w14:textId="77777777" w:rsidR="008A6A4E" w:rsidRPr="007D5B8E" w:rsidRDefault="008A6A4E" w:rsidP="00C86EA6">
            <w:pPr>
              <w:spacing w:after="0" w:line="240" w:lineRule="auto"/>
              <w:jc w:val="center"/>
              <w:rPr>
                <w:rFonts w:ascii="Arial" w:eastAsia="Times New Roman" w:hAnsi="Arial" w:cs="Arial"/>
                <w:b/>
                <w:bCs/>
                <w:sz w:val="12"/>
                <w:szCs w:val="12"/>
              </w:rPr>
            </w:pPr>
          </w:p>
        </w:tc>
        <w:tc>
          <w:tcPr>
            <w:tcW w:w="757" w:type="dxa"/>
            <w:gridSpan w:val="2"/>
            <w:tcBorders>
              <w:top w:val="nil"/>
              <w:left w:val="nil"/>
              <w:bottom w:val="single" w:sz="4" w:space="0" w:color="auto"/>
              <w:right w:val="nil"/>
            </w:tcBorders>
            <w:shd w:val="clear" w:color="auto" w:fill="FFFFFF"/>
            <w:vAlign w:val="center"/>
            <w:hideMark/>
          </w:tcPr>
          <w:p w14:paraId="4B727BDE" w14:textId="77777777" w:rsidR="008A6A4E" w:rsidRPr="007D5B8E" w:rsidRDefault="008A6A4E" w:rsidP="00C86EA6">
            <w:pPr>
              <w:spacing w:after="0" w:line="240" w:lineRule="auto"/>
              <w:jc w:val="center"/>
              <w:rPr>
                <w:rFonts w:ascii="Arial" w:eastAsia="Times New Roman" w:hAnsi="Arial" w:cs="Arial"/>
                <w:b/>
                <w:bCs/>
                <w:sz w:val="12"/>
                <w:szCs w:val="12"/>
              </w:rPr>
            </w:pPr>
          </w:p>
        </w:tc>
        <w:tc>
          <w:tcPr>
            <w:tcW w:w="565" w:type="dxa"/>
            <w:tcBorders>
              <w:top w:val="nil"/>
              <w:left w:val="nil"/>
              <w:bottom w:val="single" w:sz="4" w:space="0" w:color="auto"/>
              <w:right w:val="nil"/>
            </w:tcBorders>
            <w:shd w:val="clear" w:color="auto" w:fill="FFFFFF"/>
            <w:vAlign w:val="center"/>
            <w:hideMark/>
          </w:tcPr>
          <w:p w14:paraId="0206DF2D" w14:textId="77777777" w:rsidR="008A6A4E" w:rsidRPr="007D5B8E" w:rsidRDefault="008A6A4E" w:rsidP="00C86EA6">
            <w:pPr>
              <w:spacing w:after="0" w:line="240" w:lineRule="auto"/>
              <w:jc w:val="center"/>
              <w:rPr>
                <w:rFonts w:ascii="Arial" w:eastAsia="Times New Roman" w:hAnsi="Arial" w:cs="Arial"/>
                <w:b/>
                <w:bCs/>
                <w:sz w:val="12"/>
                <w:szCs w:val="12"/>
              </w:rPr>
            </w:pPr>
          </w:p>
        </w:tc>
        <w:tc>
          <w:tcPr>
            <w:tcW w:w="566" w:type="dxa"/>
            <w:tcBorders>
              <w:top w:val="nil"/>
              <w:left w:val="nil"/>
              <w:bottom w:val="single" w:sz="4" w:space="0" w:color="auto"/>
              <w:right w:val="nil"/>
            </w:tcBorders>
            <w:shd w:val="clear" w:color="auto" w:fill="FFFFFF"/>
          </w:tcPr>
          <w:p w14:paraId="5CAC678F" w14:textId="77777777" w:rsidR="008A6A4E" w:rsidRPr="007D5B8E" w:rsidRDefault="008A6A4E" w:rsidP="00C86EA6">
            <w:pPr>
              <w:spacing w:after="0" w:line="240" w:lineRule="auto"/>
              <w:jc w:val="center"/>
              <w:rPr>
                <w:rFonts w:ascii="Arial" w:eastAsia="Times New Roman" w:hAnsi="Arial" w:cs="Arial"/>
                <w:b/>
                <w:bCs/>
                <w:sz w:val="12"/>
                <w:szCs w:val="12"/>
              </w:rPr>
            </w:pPr>
          </w:p>
        </w:tc>
        <w:tc>
          <w:tcPr>
            <w:tcW w:w="567" w:type="dxa"/>
            <w:tcBorders>
              <w:top w:val="nil"/>
              <w:left w:val="nil"/>
              <w:bottom w:val="single" w:sz="4" w:space="0" w:color="auto"/>
              <w:right w:val="nil"/>
            </w:tcBorders>
            <w:shd w:val="clear" w:color="auto" w:fill="FFFFFF"/>
            <w:vAlign w:val="center"/>
            <w:hideMark/>
          </w:tcPr>
          <w:p w14:paraId="5D0DCB37" w14:textId="77777777" w:rsidR="008A6A4E" w:rsidRPr="007D5B8E" w:rsidRDefault="008A6A4E" w:rsidP="00C86EA6">
            <w:pPr>
              <w:spacing w:after="0" w:line="240" w:lineRule="auto"/>
              <w:jc w:val="center"/>
              <w:rPr>
                <w:rFonts w:ascii="Arial" w:eastAsia="Times New Roman" w:hAnsi="Arial" w:cs="Arial"/>
                <w:b/>
                <w:bCs/>
                <w:sz w:val="12"/>
                <w:szCs w:val="12"/>
              </w:rPr>
            </w:pPr>
          </w:p>
        </w:tc>
        <w:tc>
          <w:tcPr>
            <w:tcW w:w="566" w:type="dxa"/>
            <w:tcBorders>
              <w:top w:val="nil"/>
              <w:left w:val="nil"/>
              <w:bottom w:val="single" w:sz="4" w:space="0" w:color="auto"/>
              <w:right w:val="nil"/>
            </w:tcBorders>
            <w:shd w:val="clear" w:color="auto" w:fill="FFFFFF"/>
            <w:vAlign w:val="center"/>
            <w:hideMark/>
          </w:tcPr>
          <w:p w14:paraId="7539EDE5" w14:textId="77777777" w:rsidR="008A6A4E" w:rsidRPr="007D5B8E" w:rsidRDefault="008A6A4E" w:rsidP="00C86EA6">
            <w:pPr>
              <w:spacing w:after="0" w:line="240" w:lineRule="auto"/>
              <w:jc w:val="center"/>
              <w:rPr>
                <w:rFonts w:ascii="Arial" w:eastAsia="Times New Roman" w:hAnsi="Arial" w:cs="Arial"/>
                <w:b/>
                <w:bCs/>
                <w:sz w:val="12"/>
                <w:szCs w:val="12"/>
              </w:rPr>
            </w:pPr>
            <w:proofErr w:type="spellStart"/>
            <w:r w:rsidRPr="007D5B8E">
              <w:rPr>
                <w:rFonts w:ascii="Arial" w:eastAsia="Times New Roman" w:hAnsi="Arial" w:cs="Arial"/>
                <w:b/>
                <w:bCs/>
                <w:sz w:val="12"/>
                <w:szCs w:val="12"/>
              </w:rPr>
              <w:t>Lower</w:t>
            </w:r>
            <w:proofErr w:type="spellEnd"/>
          </w:p>
        </w:tc>
        <w:tc>
          <w:tcPr>
            <w:tcW w:w="566" w:type="dxa"/>
            <w:tcBorders>
              <w:top w:val="nil"/>
              <w:left w:val="nil"/>
              <w:bottom w:val="single" w:sz="4" w:space="0" w:color="auto"/>
              <w:right w:val="nil"/>
            </w:tcBorders>
            <w:shd w:val="clear" w:color="auto" w:fill="FFFFFF"/>
            <w:vAlign w:val="center"/>
            <w:hideMark/>
          </w:tcPr>
          <w:p w14:paraId="4A686021" w14:textId="77777777" w:rsidR="008A6A4E" w:rsidRPr="007D5B8E"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Upper</w:t>
            </w:r>
          </w:p>
        </w:tc>
        <w:tc>
          <w:tcPr>
            <w:tcW w:w="566" w:type="dxa"/>
            <w:tcBorders>
              <w:top w:val="nil"/>
              <w:left w:val="nil"/>
              <w:bottom w:val="single" w:sz="4" w:space="0" w:color="auto"/>
              <w:right w:val="nil"/>
            </w:tcBorders>
            <w:shd w:val="clear" w:color="auto" w:fill="FFFFFF"/>
            <w:vAlign w:val="center"/>
            <w:hideMark/>
          </w:tcPr>
          <w:p w14:paraId="213CA83C" w14:textId="77777777" w:rsidR="008A6A4E" w:rsidRPr="007D5B8E" w:rsidRDefault="008A6A4E" w:rsidP="00C86EA6">
            <w:pPr>
              <w:spacing w:after="0" w:line="240" w:lineRule="auto"/>
              <w:jc w:val="center"/>
              <w:rPr>
                <w:rFonts w:ascii="Arial" w:eastAsia="Times New Roman" w:hAnsi="Arial" w:cs="Arial"/>
                <w:b/>
                <w:bCs/>
                <w:sz w:val="12"/>
                <w:szCs w:val="12"/>
              </w:rPr>
            </w:pPr>
            <w:proofErr w:type="spellStart"/>
            <w:r w:rsidRPr="007D5B8E">
              <w:rPr>
                <w:rFonts w:ascii="Arial" w:eastAsia="Times New Roman" w:hAnsi="Arial" w:cs="Arial"/>
                <w:b/>
                <w:bCs/>
                <w:sz w:val="12"/>
                <w:szCs w:val="12"/>
              </w:rPr>
              <w:t>Lower</w:t>
            </w:r>
            <w:proofErr w:type="spellEnd"/>
          </w:p>
        </w:tc>
        <w:tc>
          <w:tcPr>
            <w:tcW w:w="566" w:type="dxa"/>
            <w:tcBorders>
              <w:top w:val="nil"/>
              <w:left w:val="nil"/>
              <w:bottom w:val="single" w:sz="4" w:space="0" w:color="auto"/>
              <w:right w:val="nil"/>
            </w:tcBorders>
            <w:shd w:val="clear" w:color="auto" w:fill="FFFFFF"/>
            <w:vAlign w:val="center"/>
            <w:hideMark/>
          </w:tcPr>
          <w:p w14:paraId="2F0EBBE5" w14:textId="77777777" w:rsidR="008A6A4E" w:rsidRPr="007D5B8E" w:rsidRDefault="008A6A4E" w:rsidP="00C86EA6">
            <w:pPr>
              <w:spacing w:after="0" w:line="240" w:lineRule="auto"/>
              <w:jc w:val="center"/>
              <w:rPr>
                <w:rFonts w:ascii="Arial" w:eastAsia="Times New Roman" w:hAnsi="Arial" w:cs="Arial"/>
                <w:b/>
                <w:bCs/>
                <w:sz w:val="12"/>
                <w:szCs w:val="12"/>
              </w:rPr>
            </w:pPr>
            <w:r w:rsidRPr="007D5B8E">
              <w:rPr>
                <w:rFonts w:ascii="Arial" w:eastAsia="Times New Roman" w:hAnsi="Arial" w:cs="Arial"/>
                <w:b/>
                <w:bCs/>
                <w:sz w:val="12"/>
                <w:szCs w:val="12"/>
              </w:rPr>
              <w:t>Upper</w:t>
            </w:r>
          </w:p>
        </w:tc>
        <w:tc>
          <w:tcPr>
            <w:tcW w:w="566" w:type="dxa"/>
            <w:tcBorders>
              <w:top w:val="nil"/>
              <w:left w:val="nil"/>
              <w:bottom w:val="single" w:sz="4" w:space="0" w:color="auto"/>
              <w:right w:val="nil"/>
            </w:tcBorders>
            <w:shd w:val="clear" w:color="auto" w:fill="FFFFFF"/>
            <w:vAlign w:val="center"/>
            <w:hideMark/>
          </w:tcPr>
          <w:p w14:paraId="634B1F93" w14:textId="77777777" w:rsidR="008A6A4E" w:rsidRPr="007D5B8E" w:rsidRDefault="008A6A4E" w:rsidP="00C86EA6">
            <w:pPr>
              <w:spacing w:after="0" w:line="240" w:lineRule="auto"/>
              <w:jc w:val="center"/>
              <w:rPr>
                <w:rFonts w:ascii="Arial" w:eastAsia="Times New Roman" w:hAnsi="Arial" w:cs="Arial"/>
                <w:b/>
                <w:bCs/>
                <w:sz w:val="12"/>
                <w:szCs w:val="12"/>
              </w:rPr>
            </w:pPr>
          </w:p>
        </w:tc>
        <w:tc>
          <w:tcPr>
            <w:tcW w:w="892" w:type="dxa"/>
            <w:tcBorders>
              <w:top w:val="nil"/>
              <w:left w:val="nil"/>
              <w:bottom w:val="single" w:sz="4" w:space="0" w:color="auto"/>
              <w:right w:val="single" w:sz="4" w:space="0" w:color="auto"/>
            </w:tcBorders>
            <w:shd w:val="clear" w:color="auto" w:fill="FFFFFF"/>
            <w:vAlign w:val="center"/>
          </w:tcPr>
          <w:p w14:paraId="54072D02" w14:textId="77777777" w:rsidR="008A6A4E" w:rsidRPr="007D5B8E" w:rsidRDefault="008A6A4E" w:rsidP="00C86EA6">
            <w:pPr>
              <w:spacing w:after="0" w:line="240" w:lineRule="auto"/>
              <w:jc w:val="center"/>
              <w:rPr>
                <w:rFonts w:ascii="Arial" w:eastAsia="Times New Roman" w:hAnsi="Arial" w:cs="Arial"/>
                <w:b/>
                <w:bCs/>
                <w:sz w:val="12"/>
                <w:szCs w:val="12"/>
              </w:rPr>
            </w:pPr>
          </w:p>
        </w:tc>
      </w:tr>
      <w:tr w:rsidR="008A6A4E" w:rsidRPr="007D5B8E" w14:paraId="4738707C" w14:textId="77777777" w:rsidTr="00162AEC">
        <w:trPr>
          <w:trHeight w:hRule="exact" w:val="255"/>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79C0889" w14:textId="77777777" w:rsidR="008A6A4E" w:rsidRPr="00EB15B2" w:rsidRDefault="008A6A4E" w:rsidP="00C86EA6">
            <w:pPr>
              <w:spacing w:after="0" w:line="240" w:lineRule="auto"/>
              <w:jc w:val="center"/>
              <w:rPr>
                <w:rFonts w:ascii="Arial" w:eastAsia="Times New Roman" w:hAnsi="Arial" w:cs="Arial"/>
                <w:sz w:val="12"/>
                <w:szCs w:val="12"/>
              </w:rPr>
            </w:pPr>
            <w:r w:rsidRPr="00EB15B2">
              <w:rPr>
                <w:rFonts w:ascii="Arial" w:eastAsia="Times New Roman" w:hAnsi="Arial" w:cs="Arial"/>
                <w:noProof/>
                <w:sz w:val="12"/>
                <w:szCs w:val="12"/>
              </w:rPr>
              <w:t>Form</w:t>
            </w:r>
            <w:r w:rsidRPr="00EB15B2">
              <w:rPr>
                <w:rFonts w:ascii="Arial" w:eastAsia="Times New Roman" w:hAnsi="Arial" w:cs="Arial"/>
                <w:sz w:val="12"/>
                <w:szCs w:val="12"/>
              </w:rPr>
              <w:t xml:space="preserve"> of </w:t>
            </w:r>
            <w:proofErr w:type="spellStart"/>
            <w:r w:rsidRPr="00EB15B2">
              <w:rPr>
                <w:rFonts w:ascii="Arial" w:eastAsia="Times New Roman" w:hAnsi="Arial" w:cs="Arial"/>
                <w:sz w:val="12"/>
                <w:szCs w:val="12"/>
              </w:rPr>
              <w:t>energy</w:t>
            </w:r>
            <w:proofErr w:type="spellEnd"/>
            <w:r w:rsidRPr="00EB15B2">
              <w:rPr>
                <w:rFonts w:ascii="Arial" w:eastAsia="Times New Roman" w:hAnsi="Arial" w:cs="Arial"/>
                <w:sz w:val="12"/>
                <w:szCs w:val="12"/>
              </w:rPr>
              <w:t xml:space="preserve"> </w:t>
            </w:r>
            <w:proofErr w:type="spellStart"/>
            <w:r w:rsidRPr="00EB15B2">
              <w:rPr>
                <w:rFonts w:ascii="Arial" w:eastAsia="Times New Roman" w:hAnsi="Arial" w:cs="Arial"/>
                <w:sz w:val="12"/>
                <w:szCs w:val="12"/>
              </w:rPr>
              <w:t>stored</w:t>
            </w:r>
            <w:proofErr w:type="spellEnd"/>
          </w:p>
        </w:tc>
        <w:tc>
          <w:tcPr>
            <w:tcW w:w="567" w:type="dxa"/>
            <w:tcBorders>
              <w:top w:val="nil"/>
              <w:left w:val="nil"/>
              <w:bottom w:val="single" w:sz="4" w:space="0" w:color="auto"/>
              <w:right w:val="nil"/>
            </w:tcBorders>
            <w:shd w:val="clear" w:color="auto" w:fill="FFFFFF"/>
          </w:tcPr>
          <w:p w14:paraId="1800457E" w14:textId="77777777" w:rsidR="008A6A4E" w:rsidRPr="00EB15B2" w:rsidRDefault="008A6A4E" w:rsidP="00C86EA6">
            <w:pPr>
              <w:jc w:val="center"/>
              <w:rPr>
                <w:rFonts w:ascii="Arial" w:hAnsi="Arial" w:cs="Arial"/>
                <w:sz w:val="12"/>
                <w:szCs w:val="12"/>
              </w:rPr>
            </w:pPr>
          </w:p>
        </w:tc>
        <w:tc>
          <w:tcPr>
            <w:tcW w:w="2455" w:type="dxa"/>
            <w:gridSpan w:val="5"/>
            <w:tcBorders>
              <w:top w:val="nil"/>
              <w:left w:val="nil"/>
              <w:bottom w:val="single" w:sz="4" w:space="0" w:color="auto"/>
              <w:right w:val="single" w:sz="4" w:space="0" w:color="auto"/>
            </w:tcBorders>
            <w:shd w:val="clear" w:color="auto" w:fill="FFFFFF"/>
            <w:vAlign w:val="center"/>
          </w:tcPr>
          <w:p w14:paraId="5D769E75" w14:textId="77777777" w:rsidR="008A6A4E" w:rsidRPr="00EB15B2" w:rsidRDefault="008A6A4E" w:rsidP="00C86EA6">
            <w:pPr>
              <w:jc w:val="center"/>
              <w:rPr>
                <w:rFonts w:ascii="Arial" w:hAnsi="Arial" w:cs="Arial"/>
                <w:sz w:val="12"/>
                <w:szCs w:val="12"/>
              </w:rPr>
            </w:pPr>
            <w:proofErr w:type="spellStart"/>
            <w:r w:rsidRPr="00EB15B2">
              <w:rPr>
                <w:rFonts w:ascii="Arial" w:hAnsi="Arial" w:cs="Arial"/>
                <w:sz w:val="12"/>
                <w:szCs w:val="12"/>
              </w:rPr>
              <w:t>Electricity</w:t>
            </w:r>
            <w:proofErr w:type="spellEnd"/>
          </w:p>
          <w:p w14:paraId="2AA9C460" w14:textId="77777777" w:rsidR="008A6A4E" w:rsidRPr="00EB15B2" w:rsidRDefault="008A6A4E" w:rsidP="00C86EA6">
            <w:pPr>
              <w:spacing w:after="0"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4DDF507F" w14:textId="77777777" w:rsidR="008A6A4E" w:rsidRPr="00EB15B2" w:rsidRDefault="008A6A4E" w:rsidP="00C86EA6">
            <w:pPr>
              <w:spacing w:after="0"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0B1FE5C4" w14:textId="77777777" w:rsidR="008A6A4E" w:rsidRPr="00EB15B2" w:rsidRDefault="008A6A4E" w:rsidP="00C86EA6">
            <w:pPr>
              <w:spacing w:after="0"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61BE4A92" w14:textId="77777777" w:rsidR="008A6A4E" w:rsidRPr="00EB15B2" w:rsidRDefault="008A6A4E" w:rsidP="00C86EA6">
            <w:pPr>
              <w:spacing w:after="0"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5C3FAFFC" w14:textId="77777777" w:rsidR="008A6A4E" w:rsidRPr="00EB15B2" w:rsidRDefault="008A6A4E" w:rsidP="00C86EA6">
            <w:pPr>
              <w:spacing w:after="0"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124F346F" w14:textId="77777777" w:rsidR="008A6A4E" w:rsidRPr="00EB15B2" w:rsidRDefault="008A6A4E" w:rsidP="00C86EA6">
            <w:pPr>
              <w:spacing w:after="0" w:line="240" w:lineRule="auto"/>
              <w:jc w:val="center"/>
              <w:rPr>
                <w:rFonts w:ascii="Arial" w:eastAsia="Times New Roman" w:hAnsi="Arial" w:cs="Arial"/>
                <w:sz w:val="12"/>
                <w:szCs w:val="12"/>
              </w:rPr>
            </w:pPr>
          </w:p>
        </w:tc>
        <w:tc>
          <w:tcPr>
            <w:tcW w:w="892" w:type="dxa"/>
            <w:tcBorders>
              <w:top w:val="single" w:sz="4" w:space="0" w:color="auto"/>
              <w:left w:val="nil"/>
              <w:bottom w:val="single" w:sz="4" w:space="0" w:color="auto"/>
              <w:right w:val="single" w:sz="4" w:space="0" w:color="auto"/>
            </w:tcBorders>
            <w:shd w:val="clear" w:color="auto" w:fill="FFFFFF"/>
            <w:vAlign w:val="center"/>
          </w:tcPr>
          <w:p w14:paraId="039B50A8" w14:textId="77777777" w:rsidR="008A6A4E" w:rsidRPr="00EB15B2" w:rsidRDefault="008A6A4E" w:rsidP="00C86EA6">
            <w:pPr>
              <w:spacing w:after="0" w:line="240" w:lineRule="auto"/>
              <w:jc w:val="center"/>
              <w:rPr>
                <w:rFonts w:ascii="Arial" w:eastAsia="Times New Roman" w:hAnsi="Arial" w:cs="Arial"/>
                <w:sz w:val="12"/>
                <w:szCs w:val="12"/>
              </w:rPr>
            </w:pPr>
          </w:p>
        </w:tc>
      </w:tr>
      <w:tr w:rsidR="008A6A4E" w:rsidRPr="002B590B" w14:paraId="5E00DB20" w14:textId="77777777" w:rsidTr="00162AEC">
        <w:trPr>
          <w:trHeight w:hRule="exact" w:val="339"/>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B401299" w14:textId="77777777" w:rsidR="008A6A4E" w:rsidRPr="008F5458" w:rsidRDefault="008A6A4E" w:rsidP="00C86EA6">
            <w:pPr>
              <w:spacing w:after="0" w:line="240" w:lineRule="auto"/>
              <w:jc w:val="center"/>
              <w:rPr>
                <w:rFonts w:ascii="Arial" w:eastAsia="Times New Roman" w:hAnsi="Arial" w:cs="Arial"/>
                <w:sz w:val="12"/>
                <w:szCs w:val="12"/>
              </w:rPr>
            </w:pPr>
            <w:r w:rsidRPr="008F5458">
              <w:rPr>
                <w:rFonts w:ascii="Arial" w:eastAsia="Times New Roman" w:hAnsi="Arial" w:cs="Arial"/>
                <w:sz w:val="12"/>
                <w:szCs w:val="12"/>
              </w:rPr>
              <w:t>Application</w:t>
            </w:r>
          </w:p>
        </w:tc>
        <w:tc>
          <w:tcPr>
            <w:tcW w:w="567" w:type="dxa"/>
            <w:tcBorders>
              <w:top w:val="nil"/>
              <w:left w:val="nil"/>
              <w:bottom w:val="single" w:sz="4" w:space="0" w:color="auto"/>
              <w:right w:val="nil"/>
            </w:tcBorders>
            <w:shd w:val="clear" w:color="auto" w:fill="FFFFFF"/>
          </w:tcPr>
          <w:p w14:paraId="44165159" w14:textId="77777777" w:rsidR="008A6A4E" w:rsidRPr="008F5458" w:rsidRDefault="008A6A4E" w:rsidP="00C86EA6">
            <w:pPr>
              <w:jc w:val="center"/>
              <w:rPr>
                <w:rFonts w:ascii="Arial" w:hAnsi="Arial" w:cs="Arial"/>
                <w:sz w:val="12"/>
                <w:szCs w:val="12"/>
              </w:rPr>
            </w:pPr>
          </w:p>
        </w:tc>
        <w:tc>
          <w:tcPr>
            <w:tcW w:w="2455" w:type="dxa"/>
            <w:gridSpan w:val="5"/>
            <w:tcBorders>
              <w:top w:val="nil"/>
              <w:left w:val="nil"/>
              <w:bottom w:val="single" w:sz="4" w:space="0" w:color="auto"/>
              <w:right w:val="single" w:sz="4" w:space="0" w:color="auto"/>
            </w:tcBorders>
            <w:shd w:val="clear" w:color="auto" w:fill="FFFFFF"/>
            <w:vAlign w:val="center"/>
          </w:tcPr>
          <w:p w14:paraId="273B8E0A" w14:textId="77777777" w:rsidR="008A6A4E" w:rsidRPr="008F5458" w:rsidRDefault="008A6A4E" w:rsidP="00C86EA6">
            <w:pPr>
              <w:jc w:val="center"/>
              <w:rPr>
                <w:rFonts w:ascii="Arial" w:hAnsi="Arial" w:cs="Arial"/>
                <w:sz w:val="12"/>
                <w:szCs w:val="12"/>
                <w:lang w:val="en-US"/>
              </w:rPr>
            </w:pPr>
            <w:r w:rsidRPr="008F5458">
              <w:rPr>
                <w:rFonts w:ascii="Arial" w:hAnsi="Arial" w:cs="Arial"/>
                <w:sz w:val="12"/>
                <w:szCs w:val="12"/>
                <w:lang w:val="en-US"/>
              </w:rPr>
              <w:t>System, power- and energy-intensive</w:t>
            </w:r>
          </w:p>
          <w:p w14:paraId="32C4CCC8" w14:textId="77777777" w:rsidR="008A6A4E" w:rsidRPr="008F5458" w:rsidRDefault="008A6A4E" w:rsidP="00C86EA6">
            <w:pPr>
              <w:spacing w:after="0"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42F0E282" w14:textId="77777777" w:rsidR="008A6A4E" w:rsidRPr="008F5458" w:rsidRDefault="008A6A4E" w:rsidP="00C86EA6">
            <w:pPr>
              <w:spacing w:after="0"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2E2E6481" w14:textId="77777777" w:rsidR="008A6A4E" w:rsidRPr="008F5458" w:rsidRDefault="008A6A4E" w:rsidP="00C86EA6">
            <w:pPr>
              <w:spacing w:after="0"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44D26315" w14:textId="77777777" w:rsidR="008A6A4E" w:rsidRPr="008F5458" w:rsidRDefault="008A6A4E" w:rsidP="00C86EA6">
            <w:pPr>
              <w:spacing w:after="0"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562FFBA3" w14:textId="77777777" w:rsidR="008A6A4E" w:rsidRPr="008F5458" w:rsidRDefault="008A6A4E" w:rsidP="00C86EA6">
            <w:pPr>
              <w:spacing w:after="0"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09D58259" w14:textId="77777777" w:rsidR="008A6A4E" w:rsidRPr="008F5458" w:rsidRDefault="008A6A4E" w:rsidP="00C86EA6">
            <w:pPr>
              <w:spacing w:after="0" w:line="240" w:lineRule="auto"/>
              <w:jc w:val="center"/>
              <w:rPr>
                <w:rFonts w:ascii="Arial" w:eastAsia="Times New Roman" w:hAnsi="Arial" w:cs="Arial"/>
                <w:sz w:val="12"/>
                <w:szCs w:val="12"/>
                <w:lang w:val="en-US"/>
              </w:rPr>
            </w:pPr>
          </w:p>
        </w:tc>
        <w:tc>
          <w:tcPr>
            <w:tcW w:w="892" w:type="dxa"/>
            <w:tcBorders>
              <w:top w:val="nil"/>
              <w:left w:val="nil"/>
              <w:bottom w:val="single" w:sz="4" w:space="0" w:color="auto"/>
              <w:right w:val="single" w:sz="4" w:space="0" w:color="auto"/>
            </w:tcBorders>
            <w:shd w:val="clear" w:color="auto" w:fill="FFFFFF"/>
            <w:vAlign w:val="center"/>
          </w:tcPr>
          <w:p w14:paraId="5EF6338C" w14:textId="77777777" w:rsidR="008A6A4E" w:rsidRPr="008F5458" w:rsidRDefault="008A6A4E" w:rsidP="00C86EA6">
            <w:pPr>
              <w:spacing w:after="0" w:line="240" w:lineRule="auto"/>
              <w:jc w:val="center"/>
              <w:rPr>
                <w:rFonts w:ascii="Arial" w:eastAsia="Times New Roman" w:hAnsi="Arial" w:cs="Arial"/>
                <w:sz w:val="12"/>
                <w:szCs w:val="12"/>
                <w:highlight w:val="yellow"/>
                <w:lang w:val="en-US"/>
              </w:rPr>
            </w:pPr>
          </w:p>
        </w:tc>
      </w:tr>
      <w:tr w:rsidR="008A6A4E" w:rsidRPr="007D5B8E" w14:paraId="364BD23A" w14:textId="77777777" w:rsidTr="008F5458">
        <w:trPr>
          <w:trHeight w:hRule="exact" w:val="351"/>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61E34AA4"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Energy storage capacity for one unit (MWh)</w:t>
            </w:r>
          </w:p>
        </w:tc>
        <w:tc>
          <w:tcPr>
            <w:tcW w:w="567" w:type="dxa"/>
            <w:tcBorders>
              <w:top w:val="nil"/>
              <w:left w:val="nil"/>
              <w:bottom w:val="single" w:sz="4" w:space="0" w:color="auto"/>
              <w:right w:val="single" w:sz="4" w:space="0" w:color="auto"/>
            </w:tcBorders>
            <w:shd w:val="clear" w:color="auto" w:fill="FFFFFF"/>
            <w:vAlign w:val="center"/>
            <w:hideMark/>
          </w:tcPr>
          <w:p w14:paraId="67B3649F"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3.2</w:t>
            </w:r>
          </w:p>
        </w:tc>
        <w:tc>
          <w:tcPr>
            <w:tcW w:w="757" w:type="dxa"/>
            <w:gridSpan w:val="2"/>
            <w:tcBorders>
              <w:top w:val="nil"/>
              <w:left w:val="nil"/>
              <w:bottom w:val="single" w:sz="4" w:space="0" w:color="auto"/>
              <w:right w:val="single" w:sz="4" w:space="0" w:color="auto"/>
            </w:tcBorders>
            <w:shd w:val="clear" w:color="auto" w:fill="FFFFFF"/>
            <w:vAlign w:val="center"/>
            <w:hideMark/>
          </w:tcPr>
          <w:p w14:paraId="682808F1"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6</w:t>
            </w:r>
          </w:p>
        </w:tc>
        <w:tc>
          <w:tcPr>
            <w:tcW w:w="565" w:type="dxa"/>
            <w:tcBorders>
              <w:top w:val="nil"/>
              <w:left w:val="nil"/>
              <w:bottom w:val="single" w:sz="4" w:space="0" w:color="auto"/>
              <w:right w:val="single" w:sz="4" w:space="0" w:color="auto"/>
            </w:tcBorders>
            <w:shd w:val="clear" w:color="auto" w:fill="FFFFFF"/>
            <w:vAlign w:val="center"/>
            <w:hideMark/>
          </w:tcPr>
          <w:p w14:paraId="62EBF5F1"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7</w:t>
            </w:r>
          </w:p>
        </w:tc>
        <w:tc>
          <w:tcPr>
            <w:tcW w:w="566" w:type="dxa"/>
            <w:tcBorders>
              <w:top w:val="nil"/>
              <w:left w:val="nil"/>
              <w:bottom w:val="single" w:sz="4" w:space="0" w:color="auto"/>
              <w:right w:val="single" w:sz="4" w:space="0" w:color="auto"/>
            </w:tcBorders>
            <w:shd w:val="clear" w:color="auto" w:fill="FFFFFF"/>
            <w:vAlign w:val="center"/>
          </w:tcPr>
          <w:p w14:paraId="6D5A477A"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8</w:t>
            </w:r>
          </w:p>
        </w:tc>
        <w:tc>
          <w:tcPr>
            <w:tcW w:w="567" w:type="dxa"/>
            <w:tcBorders>
              <w:top w:val="nil"/>
              <w:left w:val="single" w:sz="4" w:space="0" w:color="auto"/>
              <w:bottom w:val="single" w:sz="4" w:space="0" w:color="auto"/>
              <w:right w:val="single" w:sz="4" w:space="0" w:color="auto"/>
            </w:tcBorders>
            <w:shd w:val="clear" w:color="auto" w:fill="FFFFFF"/>
            <w:vAlign w:val="center"/>
          </w:tcPr>
          <w:p w14:paraId="3B750596"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8</w:t>
            </w:r>
          </w:p>
        </w:tc>
        <w:tc>
          <w:tcPr>
            <w:tcW w:w="566" w:type="dxa"/>
            <w:tcBorders>
              <w:top w:val="nil"/>
              <w:left w:val="nil"/>
              <w:bottom w:val="single" w:sz="4" w:space="0" w:color="auto"/>
              <w:right w:val="single" w:sz="4" w:space="0" w:color="auto"/>
            </w:tcBorders>
            <w:shd w:val="clear" w:color="auto" w:fill="FFFFFF"/>
            <w:vAlign w:val="center"/>
          </w:tcPr>
          <w:p w14:paraId="1364257C" w14:textId="0A0DB820" w:rsidR="008A6A4E"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5</w:t>
            </w:r>
          </w:p>
        </w:tc>
        <w:tc>
          <w:tcPr>
            <w:tcW w:w="566" w:type="dxa"/>
            <w:tcBorders>
              <w:top w:val="nil"/>
              <w:left w:val="nil"/>
              <w:bottom w:val="single" w:sz="4" w:space="0" w:color="auto"/>
              <w:right w:val="single" w:sz="4" w:space="0" w:color="auto"/>
            </w:tcBorders>
            <w:shd w:val="clear" w:color="auto" w:fill="FFFFFF"/>
            <w:vAlign w:val="center"/>
          </w:tcPr>
          <w:p w14:paraId="03FEBF4C" w14:textId="4B5D4D23" w:rsidR="008A6A4E"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w:t>
            </w:r>
          </w:p>
        </w:tc>
        <w:tc>
          <w:tcPr>
            <w:tcW w:w="566" w:type="dxa"/>
            <w:tcBorders>
              <w:top w:val="nil"/>
              <w:left w:val="nil"/>
              <w:bottom w:val="single" w:sz="4" w:space="0" w:color="auto"/>
              <w:right w:val="single" w:sz="4" w:space="0" w:color="auto"/>
            </w:tcBorders>
            <w:shd w:val="clear" w:color="auto" w:fill="FFFFFF"/>
            <w:vAlign w:val="center"/>
          </w:tcPr>
          <w:p w14:paraId="5EFD7164" w14:textId="55650351" w:rsidR="008A6A4E"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7</w:t>
            </w:r>
          </w:p>
        </w:tc>
        <w:tc>
          <w:tcPr>
            <w:tcW w:w="566" w:type="dxa"/>
            <w:tcBorders>
              <w:top w:val="nil"/>
              <w:left w:val="nil"/>
              <w:bottom w:val="single" w:sz="4" w:space="0" w:color="auto"/>
              <w:right w:val="single" w:sz="4" w:space="0" w:color="auto"/>
            </w:tcBorders>
            <w:shd w:val="clear" w:color="auto" w:fill="FFFFFF"/>
            <w:vAlign w:val="center"/>
          </w:tcPr>
          <w:p w14:paraId="3BF3FEAB" w14:textId="1F3D1ED5" w:rsidR="008A6A4E"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12</w:t>
            </w:r>
          </w:p>
        </w:tc>
        <w:tc>
          <w:tcPr>
            <w:tcW w:w="566" w:type="dxa"/>
            <w:tcBorders>
              <w:top w:val="nil"/>
              <w:left w:val="nil"/>
              <w:bottom w:val="single" w:sz="4" w:space="0" w:color="auto"/>
              <w:right w:val="single" w:sz="4" w:space="0" w:color="auto"/>
            </w:tcBorders>
            <w:shd w:val="clear" w:color="auto" w:fill="FFFFFF"/>
            <w:vAlign w:val="center"/>
          </w:tcPr>
          <w:p w14:paraId="1A7DAAD5" w14:textId="7D8463FB"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_Ref528590632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A</w:t>
            </w:r>
            <w:r w:rsidRPr="008F5458">
              <w:rPr>
                <w:rFonts w:ascii="Arial" w:eastAsia="Times New Roman" w:hAnsi="Arial" w:cs="Arial"/>
                <w:sz w:val="12"/>
                <w:szCs w:val="12"/>
              </w:rPr>
              <w:fldChar w:fldCharType="end"/>
            </w:r>
          </w:p>
        </w:tc>
        <w:tc>
          <w:tcPr>
            <w:tcW w:w="892" w:type="dxa"/>
            <w:tcBorders>
              <w:top w:val="nil"/>
              <w:left w:val="nil"/>
              <w:bottom w:val="single" w:sz="4" w:space="0" w:color="auto"/>
              <w:right w:val="single" w:sz="4" w:space="0" w:color="auto"/>
            </w:tcBorders>
            <w:shd w:val="clear" w:color="auto" w:fill="FFFFFF"/>
            <w:vAlign w:val="center"/>
          </w:tcPr>
          <w:p w14:paraId="620F7682" w14:textId="53A57667" w:rsidR="008A6A4E" w:rsidRPr="008F5458" w:rsidRDefault="00C828CC"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fldLock="1"/>
            </w:r>
            <w:r>
              <w:rPr>
                <w:rFonts w:ascii="Arial" w:eastAsia="Times New Roman" w:hAnsi="Arial" w:cs="Arial"/>
                <w:sz w:val="12"/>
                <w:szCs w:val="12"/>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Solutions","type":"webpage"},"uris":["http://www.mendeley.com/documents/?uuid=8daf1546-d22a-4e17-b6ef-d1d6ad53c301"]},{"id":"ITEM-2","itemData":{"URL":"http://www.samsungsdi.com/upload/ess_brochure/Samsung SDI brochure_EN.pdf","author":[{"dropping-particle":"","family":"Samsung","given":"","non-dropping-particle":"","parse-names":false,"suffix":""}],"id":"ITEM-2","issued":{"date-parts":[["2016"]]},"title":"Smart Battery Systems for Energy Storage","type":"webpage"},"uris":["http://www.mendeley.com/documents/?uuid=aa5734ba-3c56-47bf-9618-c8840e938469"]}],"mendeley":{"formattedCitation":"[2,14]","plainTextFormattedCitation":"[2,14]","previouslyFormattedCitation":"[2,14]"},"properties":{"noteIndex":0},"schema":"https://github.com/citation-style-language/schema/raw/master/csl-citation.json"}</w:instrText>
            </w:r>
            <w:r w:rsidRPr="008F5458">
              <w:rPr>
                <w:rFonts w:ascii="Arial" w:eastAsia="Times New Roman" w:hAnsi="Arial" w:cs="Arial"/>
                <w:sz w:val="12"/>
                <w:szCs w:val="12"/>
              </w:rPr>
              <w:fldChar w:fldCharType="separate"/>
            </w:r>
            <w:r w:rsidRPr="00C828CC">
              <w:rPr>
                <w:rFonts w:ascii="Arial" w:eastAsia="Times New Roman" w:hAnsi="Arial" w:cs="Arial"/>
                <w:noProof/>
                <w:sz w:val="12"/>
                <w:szCs w:val="12"/>
              </w:rPr>
              <w:t>[2,14]</w:t>
            </w:r>
            <w:r w:rsidRPr="008F5458">
              <w:rPr>
                <w:rFonts w:ascii="Arial" w:eastAsia="Times New Roman" w:hAnsi="Arial" w:cs="Arial"/>
                <w:sz w:val="12"/>
                <w:szCs w:val="12"/>
              </w:rPr>
              <w:fldChar w:fldCharType="end"/>
            </w:r>
          </w:p>
        </w:tc>
      </w:tr>
      <w:tr w:rsidR="008A6A4E" w:rsidRPr="007D5B8E" w14:paraId="1B0C1543" w14:textId="77777777" w:rsidTr="008F5458">
        <w:trPr>
          <w:trHeight w:hRule="exact" w:val="255"/>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5CCC27B"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Output capacity for one unit (MW)</w:t>
            </w:r>
          </w:p>
        </w:tc>
        <w:tc>
          <w:tcPr>
            <w:tcW w:w="567" w:type="dxa"/>
            <w:tcBorders>
              <w:top w:val="nil"/>
              <w:left w:val="nil"/>
              <w:bottom w:val="single" w:sz="4" w:space="0" w:color="auto"/>
              <w:right w:val="single" w:sz="4" w:space="0" w:color="auto"/>
            </w:tcBorders>
            <w:shd w:val="clear" w:color="auto" w:fill="FFFFFF"/>
            <w:vAlign w:val="center"/>
            <w:hideMark/>
          </w:tcPr>
          <w:p w14:paraId="6B4DA021"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9.6</w:t>
            </w:r>
          </w:p>
        </w:tc>
        <w:tc>
          <w:tcPr>
            <w:tcW w:w="757" w:type="dxa"/>
            <w:gridSpan w:val="2"/>
            <w:tcBorders>
              <w:top w:val="nil"/>
              <w:left w:val="nil"/>
              <w:bottom w:val="single" w:sz="4" w:space="0" w:color="auto"/>
              <w:right w:val="single" w:sz="4" w:space="0" w:color="auto"/>
            </w:tcBorders>
            <w:shd w:val="clear" w:color="auto" w:fill="FFFFFF"/>
            <w:vAlign w:val="center"/>
            <w:hideMark/>
          </w:tcPr>
          <w:p w14:paraId="1C04FBB7"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18</w:t>
            </w:r>
          </w:p>
        </w:tc>
        <w:tc>
          <w:tcPr>
            <w:tcW w:w="565" w:type="dxa"/>
            <w:tcBorders>
              <w:top w:val="nil"/>
              <w:left w:val="nil"/>
              <w:bottom w:val="single" w:sz="4" w:space="0" w:color="auto"/>
              <w:right w:val="single" w:sz="4" w:space="0" w:color="auto"/>
            </w:tcBorders>
            <w:shd w:val="clear" w:color="auto" w:fill="FFFFFF"/>
            <w:vAlign w:val="center"/>
            <w:hideMark/>
          </w:tcPr>
          <w:p w14:paraId="06395A59"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21</w:t>
            </w:r>
          </w:p>
        </w:tc>
        <w:tc>
          <w:tcPr>
            <w:tcW w:w="566" w:type="dxa"/>
            <w:tcBorders>
              <w:top w:val="nil"/>
              <w:left w:val="nil"/>
              <w:bottom w:val="single" w:sz="4" w:space="0" w:color="auto"/>
              <w:right w:val="single" w:sz="4" w:space="0" w:color="auto"/>
            </w:tcBorders>
            <w:shd w:val="clear" w:color="auto" w:fill="FFFFFF"/>
            <w:vAlign w:val="center"/>
          </w:tcPr>
          <w:p w14:paraId="614BCB04"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24</w:t>
            </w:r>
          </w:p>
        </w:tc>
        <w:tc>
          <w:tcPr>
            <w:tcW w:w="567" w:type="dxa"/>
            <w:tcBorders>
              <w:top w:val="nil"/>
              <w:left w:val="single" w:sz="4" w:space="0" w:color="auto"/>
              <w:bottom w:val="single" w:sz="4" w:space="0" w:color="auto"/>
              <w:right w:val="single" w:sz="4" w:space="0" w:color="auto"/>
            </w:tcBorders>
            <w:shd w:val="clear" w:color="auto" w:fill="FFFFFF"/>
            <w:vAlign w:val="center"/>
          </w:tcPr>
          <w:p w14:paraId="33B84B9E" w14:textId="77777777"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24</w:t>
            </w:r>
          </w:p>
        </w:tc>
        <w:tc>
          <w:tcPr>
            <w:tcW w:w="566" w:type="dxa"/>
            <w:tcBorders>
              <w:top w:val="nil"/>
              <w:left w:val="nil"/>
              <w:bottom w:val="single" w:sz="4" w:space="0" w:color="auto"/>
              <w:right w:val="single" w:sz="4" w:space="0" w:color="auto"/>
            </w:tcBorders>
            <w:shd w:val="clear" w:color="auto" w:fill="FFFFFF"/>
            <w:vAlign w:val="center"/>
          </w:tcPr>
          <w:p w14:paraId="4039CD35" w14:textId="0FDC96EB" w:rsidR="008A6A4E"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16</w:t>
            </w:r>
          </w:p>
        </w:tc>
        <w:tc>
          <w:tcPr>
            <w:tcW w:w="566" w:type="dxa"/>
            <w:tcBorders>
              <w:top w:val="nil"/>
              <w:left w:val="nil"/>
              <w:bottom w:val="single" w:sz="4" w:space="0" w:color="auto"/>
              <w:right w:val="single" w:sz="4" w:space="0" w:color="auto"/>
            </w:tcBorders>
            <w:shd w:val="clear" w:color="auto" w:fill="FFFFFF"/>
            <w:vAlign w:val="center"/>
          </w:tcPr>
          <w:p w14:paraId="048237CF" w14:textId="4F5C74AF" w:rsidR="008A6A4E"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21</w:t>
            </w:r>
          </w:p>
        </w:tc>
        <w:tc>
          <w:tcPr>
            <w:tcW w:w="566" w:type="dxa"/>
            <w:tcBorders>
              <w:top w:val="nil"/>
              <w:left w:val="nil"/>
              <w:bottom w:val="single" w:sz="4" w:space="0" w:color="auto"/>
              <w:right w:val="single" w:sz="4" w:space="0" w:color="auto"/>
            </w:tcBorders>
            <w:shd w:val="clear" w:color="auto" w:fill="FFFFFF"/>
            <w:vAlign w:val="center"/>
          </w:tcPr>
          <w:p w14:paraId="12A3B39A" w14:textId="1C9664BA" w:rsidR="008A6A4E"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22</w:t>
            </w:r>
          </w:p>
        </w:tc>
        <w:tc>
          <w:tcPr>
            <w:tcW w:w="566" w:type="dxa"/>
            <w:tcBorders>
              <w:top w:val="nil"/>
              <w:left w:val="nil"/>
              <w:bottom w:val="single" w:sz="4" w:space="0" w:color="auto"/>
              <w:right w:val="single" w:sz="4" w:space="0" w:color="auto"/>
            </w:tcBorders>
            <w:shd w:val="clear" w:color="auto" w:fill="FFFFFF"/>
            <w:vAlign w:val="center"/>
          </w:tcPr>
          <w:p w14:paraId="2D2DE5A6" w14:textId="50A3059E" w:rsidR="008A6A4E"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28</w:t>
            </w:r>
          </w:p>
        </w:tc>
        <w:tc>
          <w:tcPr>
            <w:tcW w:w="566" w:type="dxa"/>
            <w:tcBorders>
              <w:top w:val="nil"/>
              <w:left w:val="nil"/>
              <w:bottom w:val="single" w:sz="4" w:space="0" w:color="auto"/>
              <w:right w:val="single" w:sz="4" w:space="0" w:color="auto"/>
            </w:tcBorders>
            <w:shd w:val="clear" w:color="auto" w:fill="FFFFFF"/>
            <w:vAlign w:val="center"/>
          </w:tcPr>
          <w:p w14:paraId="54CFEED0" w14:textId="25E116A2"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_Ref528590632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A</w:t>
            </w:r>
            <w:r w:rsidRPr="008F5458">
              <w:rPr>
                <w:rFonts w:ascii="Arial" w:eastAsia="Times New Roman" w:hAnsi="Arial" w:cs="Arial"/>
                <w:sz w:val="12"/>
                <w:szCs w:val="12"/>
              </w:rPr>
              <w:fldChar w:fldCharType="end"/>
            </w:r>
            <w:r w:rsidRPr="008F5458">
              <w:rPr>
                <w:rFonts w:ascii="Arial" w:eastAsia="Times New Roman" w:hAnsi="Arial" w:cs="Arial"/>
                <w:sz w:val="12"/>
                <w:szCs w:val="12"/>
              </w:rPr>
              <w:t>,</w:t>
            </w: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_Ref528590707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B</w:t>
            </w:r>
            <w:r w:rsidRPr="008F5458">
              <w:rPr>
                <w:rFonts w:ascii="Arial" w:eastAsia="Times New Roman" w:hAnsi="Arial" w:cs="Arial"/>
                <w:sz w:val="12"/>
                <w:szCs w:val="12"/>
              </w:rPr>
              <w:fldChar w:fldCharType="end"/>
            </w:r>
          </w:p>
        </w:tc>
        <w:tc>
          <w:tcPr>
            <w:tcW w:w="892" w:type="dxa"/>
            <w:tcBorders>
              <w:top w:val="nil"/>
              <w:left w:val="nil"/>
              <w:bottom w:val="single" w:sz="4" w:space="0" w:color="auto"/>
              <w:right w:val="single" w:sz="4" w:space="0" w:color="auto"/>
            </w:tcBorders>
            <w:shd w:val="clear" w:color="auto" w:fill="FFFFFF"/>
            <w:vAlign w:val="center"/>
          </w:tcPr>
          <w:p w14:paraId="480995C7" w14:textId="076241E9" w:rsidR="008A6A4E" w:rsidRPr="008F5458" w:rsidRDefault="008A6A4E"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fldLock="1"/>
            </w:r>
            <w:r w:rsidR="00C828CC">
              <w:rPr>
                <w:rFonts w:ascii="Arial" w:eastAsia="Times New Roman" w:hAnsi="Arial" w:cs="Arial"/>
                <w:sz w:val="12"/>
                <w:szCs w:val="12"/>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Solutions","type":"webpage"},"uris":["http://www.mendeley.com/documents/?uuid=8daf1546-d22a-4e17-b6ef-d1d6ad53c301"]},{"id":"ITEM-2","itemData":{"URL":"http://www.samsungsdi.com/upload/ess_brochure/Samsung SDI brochure_EN.pdf","author":[{"dropping-particle":"","family":"Samsung","given":"","non-dropping-particle":"","parse-names":false,"suffix":""}],"id":"ITEM-2","issued":{"date-parts":[["2016"]]},"title":"Smart Battery Systems for Energy Storage","type":"webpage"},"uris":["http://www.mendeley.com/documents/?uuid=aa5734ba-3c56-47bf-9618-c8840e938469"]}],"mendeley":{"formattedCitation":"[2,14]","plainTextFormattedCitation":"[2,14]","previouslyFormattedCitation":"[2,14]"},"properties":{"noteIndex":0},"schema":"https://github.com/citation-style-language/schema/raw/master/csl-citation.json"}</w:instrText>
            </w:r>
            <w:r w:rsidRPr="008F5458">
              <w:rPr>
                <w:rFonts w:ascii="Arial" w:eastAsia="Times New Roman" w:hAnsi="Arial" w:cs="Arial"/>
                <w:sz w:val="12"/>
                <w:szCs w:val="12"/>
              </w:rPr>
              <w:fldChar w:fldCharType="separate"/>
            </w:r>
            <w:r w:rsidR="00C828CC" w:rsidRPr="00C828CC">
              <w:rPr>
                <w:rFonts w:ascii="Arial" w:eastAsia="Times New Roman" w:hAnsi="Arial" w:cs="Arial"/>
                <w:noProof/>
                <w:sz w:val="12"/>
                <w:szCs w:val="12"/>
              </w:rPr>
              <w:t>[2,14]</w:t>
            </w:r>
            <w:r w:rsidRPr="008F5458">
              <w:rPr>
                <w:rFonts w:ascii="Arial" w:eastAsia="Times New Roman" w:hAnsi="Arial" w:cs="Arial"/>
                <w:sz w:val="12"/>
                <w:szCs w:val="12"/>
              </w:rPr>
              <w:fldChar w:fldCharType="end"/>
            </w:r>
          </w:p>
        </w:tc>
      </w:tr>
      <w:tr w:rsidR="00194111" w:rsidRPr="007D5B8E" w14:paraId="76C00CF0" w14:textId="77777777" w:rsidTr="008F5458">
        <w:trPr>
          <w:trHeight w:hRule="exact" w:val="255"/>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99863FD"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Input capacity for one unit (MW)</w:t>
            </w:r>
          </w:p>
        </w:tc>
        <w:tc>
          <w:tcPr>
            <w:tcW w:w="567" w:type="dxa"/>
            <w:tcBorders>
              <w:top w:val="nil"/>
              <w:left w:val="nil"/>
              <w:bottom w:val="single" w:sz="4" w:space="0" w:color="auto"/>
              <w:right w:val="single" w:sz="4" w:space="0" w:color="auto"/>
            </w:tcBorders>
            <w:shd w:val="clear" w:color="auto" w:fill="FFFFFF"/>
            <w:vAlign w:val="center"/>
            <w:hideMark/>
          </w:tcPr>
          <w:p w14:paraId="2640A0AD"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9.6</w:t>
            </w:r>
          </w:p>
        </w:tc>
        <w:tc>
          <w:tcPr>
            <w:tcW w:w="757" w:type="dxa"/>
            <w:gridSpan w:val="2"/>
            <w:tcBorders>
              <w:top w:val="nil"/>
              <w:left w:val="nil"/>
              <w:bottom w:val="single" w:sz="4" w:space="0" w:color="auto"/>
              <w:right w:val="single" w:sz="4" w:space="0" w:color="auto"/>
            </w:tcBorders>
            <w:shd w:val="clear" w:color="auto" w:fill="FFFFFF"/>
            <w:vAlign w:val="center"/>
            <w:hideMark/>
          </w:tcPr>
          <w:p w14:paraId="1860D66E"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18</w:t>
            </w:r>
          </w:p>
        </w:tc>
        <w:tc>
          <w:tcPr>
            <w:tcW w:w="565" w:type="dxa"/>
            <w:tcBorders>
              <w:top w:val="nil"/>
              <w:left w:val="nil"/>
              <w:bottom w:val="single" w:sz="4" w:space="0" w:color="auto"/>
              <w:right w:val="single" w:sz="4" w:space="0" w:color="auto"/>
            </w:tcBorders>
            <w:shd w:val="clear" w:color="auto" w:fill="FFFFFF"/>
            <w:vAlign w:val="center"/>
            <w:hideMark/>
          </w:tcPr>
          <w:p w14:paraId="560EFBAC"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21</w:t>
            </w:r>
          </w:p>
        </w:tc>
        <w:tc>
          <w:tcPr>
            <w:tcW w:w="566" w:type="dxa"/>
            <w:tcBorders>
              <w:top w:val="nil"/>
              <w:left w:val="nil"/>
              <w:bottom w:val="single" w:sz="4" w:space="0" w:color="auto"/>
              <w:right w:val="single" w:sz="4" w:space="0" w:color="auto"/>
            </w:tcBorders>
            <w:shd w:val="clear" w:color="auto" w:fill="FFFFFF"/>
            <w:vAlign w:val="center"/>
          </w:tcPr>
          <w:p w14:paraId="17D9DACA"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24</w:t>
            </w:r>
          </w:p>
        </w:tc>
        <w:tc>
          <w:tcPr>
            <w:tcW w:w="567" w:type="dxa"/>
            <w:tcBorders>
              <w:top w:val="nil"/>
              <w:left w:val="single" w:sz="4" w:space="0" w:color="auto"/>
              <w:bottom w:val="single" w:sz="4" w:space="0" w:color="auto"/>
              <w:right w:val="single" w:sz="4" w:space="0" w:color="auto"/>
            </w:tcBorders>
            <w:shd w:val="clear" w:color="auto" w:fill="FFFFFF"/>
            <w:vAlign w:val="center"/>
          </w:tcPr>
          <w:p w14:paraId="1BAB410A"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24</w:t>
            </w:r>
          </w:p>
        </w:tc>
        <w:tc>
          <w:tcPr>
            <w:tcW w:w="566" w:type="dxa"/>
            <w:tcBorders>
              <w:top w:val="nil"/>
              <w:left w:val="nil"/>
              <w:bottom w:val="single" w:sz="4" w:space="0" w:color="auto"/>
              <w:right w:val="single" w:sz="4" w:space="0" w:color="auto"/>
            </w:tcBorders>
            <w:shd w:val="clear" w:color="auto" w:fill="FFFFFF"/>
            <w:vAlign w:val="center"/>
          </w:tcPr>
          <w:p w14:paraId="13EAE551" w14:textId="45228041"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16</w:t>
            </w:r>
          </w:p>
        </w:tc>
        <w:tc>
          <w:tcPr>
            <w:tcW w:w="566" w:type="dxa"/>
            <w:tcBorders>
              <w:top w:val="nil"/>
              <w:left w:val="nil"/>
              <w:bottom w:val="single" w:sz="4" w:space="0" w:color="auto"/>
              <w:right w:val="single" w:sz="4" w:space="0" w:color="auto"/>
            </w:tcBorders>
            <w:shd w:val="clear" w:color="auto" w:fill="FFFFFF"/>
            <w:vAlign w:val="center"/>
          </w:tcPr>
          <w:p w14:paraId="356C0F3F" w14:textId="579F1BDF"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21</w:t>
            </w:r>
          </w:p>
        </w:tc>
        <w:tc>
          <w:tcPr>
            <w:tcW w:w="566" w:type="dxa"/>
            <w:tcBorders>
              <w:top w:val="nil"/>
              <w:left w:val="nil"/>
              <w:bottom w:val="single" w:sz="4" w:space="0" w:color="auto"/>
              <w:right w:val="single" w:sz="4" w:space="0" w:color="auto"/>
            </w:tcBorders>
            <w:shd w:val="clear" w:color="auto" w:fill="FFFFFF"/>
            <w:vAlign w:val="center"/>
          </w:tcPr>
          <w:p w14:paraId="0D91ADEB" w14:textId="0DFD2730"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22</w:t>
            </w:r>
          </w:p>
        </w:tc>
        <w:tc>
          <w:tcPr>
            <w:tcW w:w="566" w:type="dxa"/>
            <w:tcBorders>
              <w:top w:val="nil"/>
              <w:left w:val="nil"/>
              <w:bottom w:val="single" w:sz="4" w:space="0" w:color="auto"/>
              <w:right w:val="single" w:sz="4" w:space="0" w:color="auto"/>
            </w:tcBorders>
            <w:shd w:val="clear" w:color="auto" w:fill="FFFFFF"/>
            <w:vAlign w:val="center"/>
          </w:tcPr>
          <w:p w14:paraId="28C9D588" w14:textId="43D50280"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28</w:t>
            </w:r>
          </w:p>
        </w:tc>
        <w:tc>
          <w:tcPr>
            <w:tcW w:w="566" w:type="dxa"/>
            <w:tcBorders>
              <w:top w:val="nil"/>
              <w:left w:val="nil"/>
              <w:bottom w:val="single" w:sz="4" w:space="0" w:color="auto"/>
              <w:right w:val="single" w:sz="4" w:space="0" w:color="auto"/>
            </w:tcBorders>
            <w:shd w:val="clear" w:color="auto" w:fill="FFFFFF"/>
            <w:vAlign w:val="center"/>
          </w:tcPr>
          <w:p w14:paraId="62118EFB" w14:textId="4A4BD84C"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_Ref528590632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A</w:t>
            </w:r>
            <w:r w:rsidRPr="008F5458">
              <w:rPr>
                <w:rFonts w:ascii="Arial" w:eastAsia="Times New Roman" w:hAnsi="Arial" w:cs="Arial"/>
                <w:sz w:val="12"/>
                <w:szCs w:val="12"/>
              </w:rPr>
              <w:fldChar w:fldCharType="end"/>
            </w:r>
            <w:r w:rsidRPr="008F5458">
              <w:rPr>
                <w:rFonts w:ascii="Arial" w:eastAsia="Times New Roman" w:hAnsi="Arial" w:cs="Arial"/>
                <w:sz w:val="12"/>
                <w:szCs w:val="12"/>
              </w:rPr>
              <w:t>,</w:t>
            </w: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_Ref528590707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B</w:t>
            </w:r>
            <w:r w:rsidRPr="008F5458">
              <w:rPr>
                <w:rFonts w:ascii="Arial" w:eastAsia="Times New Roman" w:hAnsi="Arial" w:cs="Arial"/>
                <w:sz w:val="12"/>
                <w:szCs w:val="12"/>
              </w:rPr>
              <w:fldChar w:fldCharType="end"/>
            </w:r>
          </w:p>
        </w:tc>
        <w:tc>
          <w:tcPr>
            <w:tcW w:w="892" w:type="dxa"/>
            <w:tcBorders>
              <w:top w:val="nil"/>
              <w:left w:val="nil"/>
              <w:bottom w:val="single" w:sz="4" w:space="0" w:color="auto"/>
              <w:right w:val="single" w:sz="4" w:space="0" w:color="auto"/>
            </w:tcBorders>
            <w:shd w:val="clear" w:color="auto" w:fill="FFFFFF"/>
            <w:vAlign w:val="center"/>
          </w:tcPr>
          <w:p w14:paraId="56A72573" w14:textId="10F053A0"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fldLock="1"/>
            </w:r>
            <w:r w:rsidR="00C828CC">
              <w:rPr>
                <w:rFonts w:ascii="Arial" w:eastAsia="Times New Roman" w:hAnsi="Arial" w:cs="Arial"/>
                <w:sz w:val="12"/>
                <w:szCs w:val="12"/>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Solutions","type":"webpage"},"uris":["http://www.mendeley.com/documents/?uuid=8daf1546-d22a-4e17-b6ef-d1d6ad53c301"]},{"id":"ITEM-2","itemData":{"URL":"http://www.samsungsdi.com/upload/ess_brochure/Samsung SDI brochure_EN.pdf","author":[{"dropping-particle":"","family":"Samsung","given":"","non-dropping-particle":"","parse-names":false,"suffix":""}],"id":"ITEM-2","issued":{"date-parts":[["2016"]]},"title":"Smart Battery Systems for Energy Storage","type":"webpage"},"uris":["http://www.mendeley.com/documents/?uuid=aa5734ba-3c56-47bf-9618-c8840e938469"]}],"mendeley":{"formattedCitation":"[2,14]","plainTextFormattedCitation":"[2,14]","previouslyFormattedCitation":"[2,14]"},"properties":{"noteIndex":0},"schema":"https://github.com/citation-style-language/schema/raw/master/csl-citation.json"}</w:instrText>
            </w:r>
            <w:r w:rsidRPr="008F5458">
              <w:rPr>
                <w:rFonts w:ascii="Arial" w:eastAsia="Times New Roman" w:hAnsi="Arial" w:cs="Arial"/>
                <w:sz w:val="12"/>
                <w:szCs w:val="12"/>
              </w:rPr>
              <w:fldChar w:fldCharType="separate"/>
            </w:r>
            <w:r w:rsidR="00C828CC" w:rsidRPr="00C828CC">
              <w:rPr>
                <w:rFonts w:ascii="Arial" w:eastAsia="Times New Roman" w:hAnsi="Arial" w:cs="Arial"/>
                <w:noProof/>
                <w:sz w:val="12"/>
                <w:szCs w:val="12"/>
              </w:rPr>
              <w:t>[2,14]</w:t>
            </w:r>
            <w:r w:rsidRPr="008F5458">
              <w:rPr>
                <w:rFonts w:ascii="Arial" w:eastAsia="Times New Roman" w:hAnsi="Arial" w:cs="Arial"/>
                <w:sz w:val="12"/>
                <w:szCs w:val="12"/>
              </w:rPr>
              <w:fldChar w:fldCharType="end"/>
            </w:r>
          </w:p>
        </w:tc>
      </w:tr>
      <w:tr w:rsidR="00BD75BC" w:rsidRPr="007D5B8E" w14:paraId="01994B02" w14:textId="77777777" w:rsidTr="008F5458">
        <w:trPr>
          <w:trHeight w:hRule="exact" w:val="255"/>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B9D3F06" w14:textId="68EB3374" w:rsidR="00BD75BC" w:rsidRPr="008F5458" w:rsidRDefault="00BD75BC" w:rsidP="00D35F9A">
            <w:pPr>
              <w:spacing w:before="100" w:beforeAutospacing="1" w:after="100" w:afterAutospacing="1" w:line="240" w:lineRule="auto"/>
              <w:jc w:val="center"/>
              <w:rPr>
                <w:rFonts w:ascii="Arial" w:eastAsia="Times New Roman" w:hAnsi="Arial" w:cs="Arial"/>
                <w:sz w:val="12"/>
                <w:szCs w:val="12"/>
                <w:lang w:val="en-US"/>
              </w:rPr>
            </w:pPr>
            <w:r>
              <w:rPr>
                <w:rFonts w:ascii="Arial" w:eastAsia="Times New Roman" w:hAnsi="Arial" w:cs="Arial"/>
                <w:sz w:val="12"/>
                <w:szCs w:val="12"/>
                <w:lang w:val="en-US"/>
              </w:rPr>
              <w:t>Roun</w:t>
            </w:r>
            <w:r w:rsidR="00D35F9A">
              <w:rPr>
                <w:rFonts w:ascii="Arial" w:eastAsia="Times New Roman" w:hAnsi="Arial" w:cs="Arial"/>
                <w:sz w:val="12"/>
                <w:szCs w:val="12"/>
                <w:lang w:val="en-US"/>
              </w:rPr>
              <w:t>d</w:t>
            </w:r>
            <w:r>
              <w:rPr>
                <w:rFonts w:ascii="Arial" w:eastAsia="Times New Roman" w:hAnsi="Arial" w:cs="Arial"/>
                <w:sz w:val="12"/>
                <w:szCs w:val="12"/>
                <w:lang w:val="en-US"/>
              </w:rPr>
              <w:t xml:space="preserve"> trip efficiency (%) AC</w:t>
            </w:r>
          </w:p>
        </w:tc>
        <w:tc>
          <w:tcPr>
            <w:tcW w:w="567" w:type="dxa"/>
            <w:tcBorders>
              <w:top w:val="nil"/>
              <w:left w:val="nil"/>
              <w:bottom w:val="single" w:sz="4" w:space="0" w:color="auto"/>
              <w:right w:val="single" w:sz="4" w:space="0" w:color="auto"/>
            </w:tcBorders>
            <w:shd w:val="clear" w:color="auto" w:fill="FFFFFF"/>
            <w:vAlign w:val="center"/>
          </w:tcPr>
          <w:p w14:paraId="1A87923D" w14:textId="34C6A694" w:rsidR="00BD75BC" w:rsidRPr="008F5458" w:rsidRDefault="00BD75BC"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t>91</w:t>
            </w:r>
          </w:p>
        </w:tc>
        <w:tc>
          <w:tcPr>
            <w:tcW w:w="757" w:type="dxa"/>
            <w:gridSpan w:val="2"/>
            <w:tcBorders>
              <w:top w:val="nil"/>
              <w:left w:val="nil"/>
              <w:bottom w:val="single" w:sz="4" w:space="0" w:color="auto"/>
              <w:right w:val="single" w:sz="4" w:space="0" w:color="auto"/>
            </w:tcBorders>
            <w:shd w:val="clear" w:color="auto" w:fill="FFFFFF"/>
            <w:vAlign w:val="center"/>
          </w:tcPr>
          <w:p w14:paraId="5E01E575" w14:textId="2221CD66" w:rsidR="00BD75BC" w:rsidRPr="008F5458" w:rsidRDefault="00D35F9A"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t>91</w:t>
            </w:r>
          </w:p>
        </w:tc>
        <w:tc>
          <w:tcPr>
            <w:tcW w:w="565" w:type="dxa"/>
            <w:tcBorders>
              <w:top w:val="nil"/>
              <w:left w:val="nil"/>
              <w:bottom w:val="single" w:sz="4" w:space="0" w:color="auto"/>
              <w:right w:val="single" w:sz="4" w:space="0" w:color="auto"/>
            </w:tcBorders>
            <w:shd w:val="clear" w:color="auto" w:fill="FFFFFF"/>
            <w:vAlign w:val="center"/>
          </w:tcPr>
          <w:p w14:paraId="09CC954B" w14:textId="05D176E2" w:rsidR="00BD75BC" w:rsidRPr="008F5458" w:rsidRDefault="00D35F9A"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t>92</w:t>
            </w:r>
          </w:p>
        </w:tc>
        <w:tc>
          <w:tcPr>
            <w:tcW w:w="566" w:type="dxa"/>
            <w:tcBorders>
              <w:top w:val="nil"/>
              <w:left w:val="nil"/>
              <w:bottom w:val="single" w:sz="4" w:space="0" w:color="auto"/>
              <w:right w:val="single" w:sz="4" w:space="0" w:color="auto"/>
            </w:tcBorders>
            <w:shd w:val="clear" w:color="auto" w:fill="FFFFFF"/>
            <w:vAlign w:val="center"/>
          </w:tcPr>
          <w:p w14:paraId="08882548" w14:textId="4FCA71C0" w:rsidR="00BD75BC" w:rsidRPr="008F5458" w:rsidRDefault="00D35F9A"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t>92</w:t>
            </w:r>
          </w:p>
        </w:tc>
        <w:tc>
          <w:tcPr>
            <w:tcW w:w="567" w:type="dxa"/>
            <w:tcBorders>
              <w:top w:val="nil"/>
              <w:left w:val="single" w:sz="4" w:space="0" w:color="auto"/>
              <w:bottom w:val="single" w:sz="4" w:space="0" w:color="auto"/>
              <w:right w:val="single" w:sz="4" w:space="0" w:color="auto"/>
            </w:tcBorders>
            <w:shd w:val="clear" w:color="auto" w:fill="FFFFFF"/>
            <w:vAlign w:val="center"/>
          </w:tcPr>
          <w:p w14:paraId="6A0AF61F" w14:textId="247AAEB0" w:rsidR="00BD75BC" w:rsidRPr="008F5458" w:rsidRDefault="00D35F9A"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t>92</w:t>
            </w:r>
          </w:p>
        </w:tc>
        <w:tc>
          <w:tcPr>
            <w:tcW w:w="566" w:type="dxa"/>
            <w:tcBorders>
              <w:top w:val="nil"/>
              <w:left w:val="nil"/>
              <w:bottom w:val="single" w:sz="4" w:space="0" w:color="auto"/>
              <w:right w:val="single" w:sz="4" w:space="0" w:color="auto"/>
            </w:tcBorders>
            <w:shd w:val="clear" w:color="auto" w:fill="FFFFFF"/>
            <w:vAlign w:val="center"/>
          </w:tcPr>
          <w:p w14:paraId="41910197" w14:textId="1F78DA29" w:rsidR="00BD75BC" w:rsidRPr="008F5458" w:rsidRDefault="00D35F9A"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t>90</w:t>
            </w:r>
          </w:p>
        </w:tc>
        <w:tc>
          <w:tcPr>
            <w:tcW w:w="566" w:type="dxa"/>
            <w:tcBorders>
              <w:top w:val="nil"/>
              <w:left w:val="nil"/>
              <w:bottom w:val="single" w:sz="4" w:space="0" w:color="auto"/>
              <w:right w:val="single" w:sz="4" w:space="0" w:color="auto"/>
            </w:tcBorders>
            <w:shd w:val="clear" w:color="auto" w:fill="FFFFFF"/>
            <w:vAlign w:val="center"/>
          </w:tcPr>
          <w:p w14:paraId="72F6E122" w14:textId="7A561109" w:rsidR="00BD75BC" w:rsidRPr="008F5458" w:rsidRDefault="00D35F9A"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t>92</w:t>
            </w:r>
          </w:p>
        </w:tc>
        <w:tc>
          <w:tcPr>
            <w:tcW w:w="566" w:type="dxa"/>
            <w:tcBorders>
              <w:top w:val="nil"/>
              <w:left w:val="nil"/>
              <w:bottom w:val="single" w:sz="4" w:space="0" w:color="auto"/>
              <w:right w:val="single" w:sz="4" w:space="0" w:color="auto"/>
            </w:tcBorders>
            <w:shd w:val="clear" w:color="auto" w:fill="FFFFFF"/>
            <w:vAlign w:val="center"/>
          </w:tcPr>
          <w:p w14:paraId="0427C90B" w14:textId="52D884AC" w:rsidR="00BD75BC" w:rsidRPr="008F5458" w:rsidRDefault="00D35F9A"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t>91</w:t>
            </w:r>
          </w:p>
        </w:tc>
        <w:tc>
          <w:tcPr>
            <w:tcW w:w="566" w:type="dxa"/>
            <w:tcBorders>
              <w:top w:val="nil"/>
              <w:left w:val="nil"/>
              <w:bottom w:val="single" w:sz="4" w:space="0" w:color="auto"/>
              <w:right w:val="single" w:sz="4" w:space="0" w:color="auto"/>
            </w:tcBorders>
            <w:shd w:val="clear" w:color="auto" w:fill="FFFFFF"/>
            <w:vAlign w:val="center"/>
          </w:tcPr>
          <w:p w14:paraId="05586FDC" w14:textId="3E5048FD" w:rsidR="00BD75BC" w:rsidRPr="008F5458" w:rsidRDefault="00D35F9A" w:rsidP="00D35F9A">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t>94</w:t>
            </w:r>
          </w:p>
        </w:tc>
        <w:tc>
          <w:tcPr>
            <w:tcW w:w="566" w:type="dxa"/>
            <w:tcBorders>
              <w:top w:val="nil"/>
              <w:left w:val="nil"/>
              <w:bottom w:val="single" w:sz="4" w:space="0" w:color="auto"/>
              <w:right w:val="single" w:sz="4" w:space="0" w:color="auto"/>
            </w:tcBorders>
            <w:shd w:val="clear" w:color="auto" w:fill="FFFFFF"/>
            <w:vAlign w:val="center"/>
          </w:tcPr>
          <w:p w14:paraId="2CC7FBA0" w14:textId="60A1A1BD" w:rsidR="00BD75BC" w:rsidRPr="008F5458" w:rsidRDefault="00D35F9A"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C</w:t>
            </w:r>
          </w:p>
        </w:tc>
        <w:tc>
          <w:tcPr>
            <w:tcW w:w="892" w:type="dxa"/>
            <w:tcBorders>
              <w:top w:val="nil"/>
              <w:left w:val="nil"/>
              <w:bottom w:val="single" w:sz="4" w:space="0" w:color="auto"/>
              <w:right w:val="single" w:sz="4" w:space="0" w:color="auto"/>
            </w:tcBorders>
            <w:shd w:val="clear" w:color="auto" w:fill="FFFFFF"/>
            <w:vAlign w:val="center"/>
          </w:tcPr>
          <w:p w14:paraId="0F0D0584" w14:textId="1BE575E2" w:rsidR="00BD75BC" w:rsidRPr="008F5458" w:rsidRDefault="00D35F9A"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fldChar w:fldCharType="begin" w:fldLock="1"/>
            </w:r>
            <w:r w:rsidR="00674516">
              <w:rPr>
                <w:rFonts w:ascii="Arial" w:eastAsia="Times New Roman" w:hAnsi="Arial" w:cs="Arial"/>
                <w:sz w:val="12"/>
                <w:szCs w:val="12"/>
              </w:rPr>
              <w:instrText>ADDIN CSL_CITATION {"citationItems":[{"id":"ITEM-1","itemData":{"author":[{"dropping-particle":"","family":"Kokam Co.","given":"Ltd.","non-dropping-particle":"","parse-names":false,"suffix":""}],"id":"ITEM-1","issued":{"date-parts":[["2018"]]},"title":"Total Energy Storage Solution Provider","type":"article-journal"},"uris":["http://www.mendeley.com/documents/?uuid=6292833a-db6b-4e5f-a323-c417fd09c817"]},{"id":"ITEM-2","itemData":{"author":[{"dropping-particle":"","family":"Danish Technological Institute","given":"","non-dropping-particle":"","parse-names":false,"suffix":""}],"id":"ITEM-2","issue":"10739","issued":{"date-parts":[["2017"]]},"number-of-pages":"1-123","title":"BESS project Smart grid ready Battery Energy Storage System for future grid","type":"report"},"uris":["http://www.mendeley.com/documents/?uuid=439f66b3-466a-48bd-a7e3-70cf05d85bc9"]},{"id":"ITEM-3","itemData":{"ISBN":"0081024940","abstract":"Cover; Title Page; Copyright Page; Contents; List of Contributors; 1 -- Hybrid PV-wind renewable energy sources for microgrid application: an overview; 1 -- Introduction; 2 -- Hybrid renewable energy system and its benefit; 3 -- Hybrid renewable energy system configuration; 4 -- Optimization of hybrid system; 4.1 -- Optimization objectives; 4.2 -- Optimization practices in HRES; 5 -- Energy storage system in MG; 6 -- Stability concerns in a HRES MG system; 7 -- Simulation; 7.1 -- Load generator with PV only; 7.2 -- Load generator with wind only; 7.3 -- Load generator with PV-wind 7.4 -- Comparison of voltages with different combinations of PV/wind8 -- Conclusion; References; 2 -- Microgrid architecture, control, and operation; 1 -- Introduction; 2 -- Microgrid architecture; 3 -- Mathematical analysis of microgrid structure; 3.1 -- AC microgrid; 3.2 -- DC microgrid; 3.3 -- AC-DC hybrid microgrid; 4 -- Microgrid control and operation; 4.1 -- Hierarchical control of microgrid; 5 -- Mathematical model of hierarchical control; 5.1 -- Droop-based control of microgrid; 6 -- Simulation study; 7 -- Conclusion; References 3 -- Integrated renewable energy sources with droop control techniques-based microgrid operation1 -- Introduction; 2 -- Framework of microgrid technology; 2.1 -- Physical equipment; 2.2 -- Protection and control; 2.3 -- Automation and control; 2.4 -- Monitoring, scheduling, optimization, and dispatch; 2.5 -- Energy market and coordinating the response of smart grid operation; 3 -- DC microgrid and AC microgrid; 3.1 -- DC microgrid; 3.2 -- AC microgrid; 4 -- Proposed structure of grid connected microgrid system; 5 -- Characteristics and modeling of renewable energy sources; 5.1 -- Solar PV 5.2 -- Battery modeling6 -- Concept of droop control; 6.1 -- Droop control techniques in microgrid; 6.1.1 -- Virtual impedance droop control; 7 -- Case study of solar PV and BESS with P/Q and V/f droop control; 7.1 -- Results and discussion; 8 -- Conclusion; References; Further reading; 4 -- Multilevel inverters: an enabling technology; 1 -- Introduction; 2 -- Multilevel inverter topologies; 2.1 -- Diode-clamped inverter; 2.2 -- Capacitor-clamped inverter; 2.2.1 -- Advantages; 2.2.2 -- Disadvantages; 2.3 -- Cascaded H bridge inverters; 2.4 -- Comparison of different multilevel inverters 3 -- Matlab/Simulink modeling and simulation of multilevel inverters3.1 -- Single phase three level CMLI; 4 -- Applications of multilevel inverters; 4.1 -- Energy and power syst…","author":[{"dropping-particle":"","family":"Fathima","given":"A. Hina","non-dropping-particle":"","parse-names":false,"suffix":""},{"dropping-particle":"","family":"N","given":"Prabaharan","non-dropping-particle":"","parse-names":false,"suffix":""},{"dropping-particle":"","family":"K","given":"Palanisamy","non-dropping-particle":"","parse-names":false,"suffix":""},{"dropping-particle":"","family":"Kalam","given":"Akhtar","non-dropping-particle":"","parse-names":false,"suffix":""},{"dropping-particle":"","family":"Mekhilef","given":"Saad","non-dropping-particle":"","parse-names":false,"suffix":""},{"dropping-particle":"","family":"Justo","given":"Jackson J.","non-dropping-particle":"","parse-names":false,"suffix":""}],"id":"ITEM-3","issued":{"date-parts":[["0"]]},"title":"Hybrid-renewable energy systems in microgrids : integration, developments and control","type":"book"},"uris":["http://www.mendeley.com/documents/?uuid=ec60c7e3-c666-3ba5-992c-79cb30b51588","http://www.mendeley.com/documents/?uuid=c7658074-579c-401b-b6af-f39559047cb1"]},{"id":"ITEM-4","itemData":{"author":[{"dropping-particle":"","family":"Lazard","given":"","non-dropping-particle":"","parse-names":false,"suffix":""}],"id":"ITEM-4","issued":{"date-parts":[["2017"]]},"title":"Lazard.com | Levelized Cost of Storage 2017","type":"report"},"uris":["http://www.mendeley.com/documents/?uuid=56d03985-97ee-3fc7-9728-f80c5cd919c9"]}],"mendeley":{"formattedCitation":"[3,21,22,51]","plainTextFormattedCitation":"[3,21,22,51]","previouslyFormattedCitation":"[3,21,22,51]"},"properties":{"noteIndex":0},"schema":"https://github.com/citation-style-language/schema/raw/master/csl-citation.json"}</w:instrText>
            </w:r>
            <w:r>
              <w:rPr>
                <w:rFonts w:ascii="Arial" w:eastAsia="Times New Roman" w:hAnsi="Arial" w:cs="Arial"/>
                <w:sz w:val="12"/>
                <w:szCs w:val="12"/>
              </w:rPr>
              <w:fldChar w:fldCharType="separate"/>
            </w:r>
            <w:r w:rsidRPr="00D35F9A">
              <w:rPr>
                <w:rFonts w:ascii="Arial" w:eastAsia="Times New Roman" w:hAnsi="Arial" w:cs="Arial"/>
                <w:noProof/>
                <w:sz w:val="12"/>
                <w:szCs w:val="12"/>
              </w:rPr>
              <w:t>[3,21,22,51]</w:t>
            </w:r>
            <w:r>
              <w:rPr>
                <w:rFonts w:ascii="Arial" w:eastAsia="Times New Roman" w:hAnsi="Arial" w:cs="Arial"/>
                <w:sz w:val="12"/>
                <w:szCs w:val="12"/>
              </w:rPr>
              <w:fldChar w:fldCharType="end"/>
            </w:r>
          </w:p>
        </w:tc>
      </w:tr>
      <w:tr w:rsidR="00194111" w:rsidRPr="007D5B8E" w14:paraId="08741FB1" w14:textId="77777777" w:rsidTr="008F5458">
        <w:trPr>
          <w:trHeight w:hRule="exact" w:val="242"/>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40BD4ED2"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spellStart"/>
            <w:r w:rsidRPr="008F5458">
              <w:rPr>
                <w:rFonts w:ascii="Arial" w:eastAsia="Times New Roman" w:hAnsi="Arial" w:cs="Arial"/>
                <w:sz w:val="12"/>
                <w:szCs w:val="12"/>
              </w:rPr>
              <w:t>Round</w:t>
            </w:r>
            <w:proofErr w:type="spellEnd"/>
            <w:r w:rsidRPr="008F5458">
              <w:rPr>
                <w:rFonts w:ascii="Arial" w:eastAsia="Times New Roman" w:hAnsi="Arial" w:cs="Arial"/>
                <w:sz w:val="12"/>
                <w:szCs w:val="12"/>
              </w:rPr>
              <w:t xml:space="preserve"> trip </w:t>
            </w:r>
            <w:proofErr w:type="spellStart"/>
            <w:r w:rsidRPr="008F5458">
              <w:rPr>
                <w:rFonts w:ascii="Arial" w:eastAsia="Times New Roman" w:hAnsi="Arial" w:cs="Arial"/>
                <w:sz w:val="12"/>
                <w:szCs w:val="12"/>
              </w:rPr>
              <w:t>efficiency</w:t>
            </w:r>
            <w:proofErr w:type="spellEnd"/>
            <w:r w:rsidRPr="008F5458">
              <w:rPr>
                <w:rFonts w:ascii="Arial" w:eastAsia="Times New Roman" w:hAnsi="Arial" w:cs="Arial"/>
                <w:sz w:val="12"/>
                <w:szCs w:val="12"/>
              </w:rPr>
              <w:t xml:space="preserve"> (%) DC</w:t>
            </w:r>
          </w:p>
        </w:tc>
        <w:tc>
          <w:tcPr>
            <w:tcW w:w="567" w:type="dxa"/>
            <w:tcBorders>
              <w:top w:val="nil"/>
              <w:left w:val="nil"/>
              <w:bottom w:val="single" w:sz="4" w:space="0" w:color="auto"/>
              <w:right w:val="single" w:sz="4" w:space="0" w:color="auto"/>
            </w:tcBorders>
            <w:shd w:val="clear" w:color="auto" w:fill="FFFFFF"/>
            <w:vAlign w:val="center"/>
            <w:hideMark/>
          </w:tcPr>
          <w:p w14:paraId="39859D0A"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highlight w:val="yellow"/>
              </w:rPr>
            </w:pPr>
            <w:r w:rsidRPr="008F5458">
              <w:rPr>
                <w:rFonts w:ascii="Arial" w:eastAsia="Times New Roman" w:hAnsi="Arial" w:cs="Arial"/>
                <w:sz w:val="12"/>
                <w:szCs w:val="12"/>
              </w:rPr>
              <w:t>95</w:t>
            </w:r>
          </w:p>
        </w:tc>
        <w:tc>
          <w:tcPr>
            <w:tcW w:w="757" w:type="dxa"/>
            <w:gridSpan w:val="2"/>
            <w:tcBorders>
              <w:top w:val="nil"/>
              <w:left w:val="nil"/>
              <w:bottom w:val="single" w:sz="4" w:space="0" w:color="auto"/>
              <w:right w:val="single" w:sz="4" w:space="0" w:color="auto"/>
            </w:tcBorders>
            <w:shd w:val="clear" w:color="auto" w:fill="FFFFFF"/>
            <w:vAlign w:val="center"/>
            <w:hideMark/>
          </w:tcPr>
          <w:p w14:paraId="55E65ECD"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95</w:t>
            </w:r>
          </w:p>
        </w:tc>
        <w:tc>
          <w:tcPr>
            <w:tcW w:w="565" w:type="dxa"/>
            <w:tcBorders>
              <w:top w:val="nil"/>
              <w:left w:val="nil"/>
              <w:bottom w:val="single" w:sz="4" w:space="0" w:color="auto"/>
              <w:right w:val="single" w:sz="4" w:space="0" w:color="auto"/>
            </w:tcBorders>
            <w:shd w:val="clear" w:color="auto" w:fill="FFFFFF"/>
            <w:vAlign w:val="center"/>
            <w:hideMark/>
          </w:tcPr>
          <w:p w14:paraId="01CFB3F8" w14:textId="6F9E416B"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96</w:t>
            </w:r>
          </w:p>
        </w:tc>
        <w:tc>
          <w:tcPr>
            <w:tcW w:w="566" w:type="dxa"/>
            <w:tcBorders>
              <w:top w:val="nil"/>
              <w:left w:val="nil"/>
              <w:bottom w:val="single" w:sz="4" w:space="0" w:color="auto"/>
              <w:right w:val="single" w:sz="4" w:space="0" w:color="auto"/>
            </w:tcBorders>
            <w:shd w:val="clear" w:color="auto" w:fill="FFFFFF"/>
            <w:vAlign w:val="center"/>
          </w:tcPr>
          <w:p w14:paraId="1837EE3D" w14:textId="25408F26"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96</w:t>
            </w:r>
          </w:p>
        </w:tc>
        <w:tc>
          <w:tcPr>
            <w:tcW w:w="567" w:type="dxa"/>
            <w:tcBorders>
              <w:top w:val="nil"/>
              <w:left w:val="single" w:sz="4" w:space="0" w:color="auto"/>
              <w:bottom w:val="single" w:sz="4" w:space="0" w:color="auto"/>
              <w:right w:val="single" w:sz="4" w:space="0" w:color="auto"/>
            </w:tcBorders>
            <w:shd w:val="clear" w:color="auto" w:fill="FFFFFF"/>
            <w:vAlign w:val="center"/>
          </w:tcPr>
          <w:p w14:paraId="34BB5608" w14:textId="37D86A80"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96</w:t>
            </w:r>
          </w:p>
        </w:tc>
        <w:tc>
          <w:tcPr>
            <w:tcW w:w="566" w:type="dxa"/>
            <w:tcBorders>
              <w:top w:val="nil"/>
              <w:left w:val="nil"/>
              <w:bottom w:val="single" w:sz="4" w:space="0" w:color="auto"/>
              <w:right w:val="single" w:sz="4" w:space="0" w:color="auto"/>
            </w:tcBorders>
            <w:shd w:val="clear" w:color="auto" w:fill="FFFFFF"/>
            <w:vAlign w:val="center"/>
          </w:tcPr>
          <w:p w14:paraId="11E04069" w14:textId="441244BA"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95</w:t>
            </w:r>
          </w:p>
        </w:tc>
        <w:tc>
          <w:tcPr>
            <w:tcW w:w="566" w:type="dxa"/>
            <w:tcBorders>
              <w:top w:val="nil"/>
              <w:left w:val="nil"/>
              <w:bottom w:val="single" w:sz="4" w:space="0" w:color="auto"/>
              <w:right w:val="single" w:sz="4" w:space="0" w:color="auto"/>
            </w:tcBorders>
            <w:shd w:val="clear" w:color="auto" w:fill="FFFFFF"/>
            <w:vAlign w:val="center"/>
          </w:tcPr>
          <w:p w14:paraId="6313A4E7" w14:textId="3B37C32C"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96</w:t>
            </w:r>
          </w:p>
        </w:tc>
        <w:tc>
          <w:tcPr>
            <w:tcW w:w="566" w:type="dxa"/>
            <w:tcBorders>
              <w:top w:val="nil"/>
              <w:left w:val="nil"/>
              <w:bottom w:val="single" w:sz="4" w:space="0" w:color="auto"/>
              <w:right w:val="single" w:sz="4" w:space="0" w:color="auto"/>
            </w:tcBorders>
            <w:shd w:val="clear" w:color="auto" w:fill="FFFFFF"/>
            <w:vAlign w:val="center"/>
          </w:tcPr>
          <w:p w14:paraId="03AA2AEE" w14:textId="7A76DBAF"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95</w:t>
            </w:r>
          </w:p>
        </w:tc>
        <w:tc>
          <w:tcPr>
            <w:tcW w:w="566" w:type="dxa"/>
            <w:tcBorders>
              <w:top w:val="nil"/>
              <w:left w:val="nil"/>
              <w:bottom w:val="single" w:sz="4" w:space="0" w:color="auto"/>
              <w:right w:val="single" w:sz="4" w:space="0" w:color="auto"/>
            </w:tcBorders>
            <w:shd w:val="clear" w:color="auto" w:fill="FFFFFF"/>
            <w:vAlign w:val="center"/>
          </w:tcPr>
          <w:p w14:paraId="323DAD5A" w14:textId="77C46109"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97</w:t>
            </w:r>
          </w:p>
        </w:tc>
        <w:tc>
          <w:tcPr>
            <w:tcW w:w="566" w:type="dxa"/>
            <w:tcBorders>
              <w:top w:val="nil"/>
              <w:left w:val="nil"/>
              <w:bottom w:val="single" w:sz="4" w:space="0" w:color="auto"/>
              <w:right w:val="single" w:sz="4" w:space="0" w:color="auto"/>
            </w:tcBorders>
            <w:shd w:val="clear" w:color="auto" w:fill="FFFFFF"/>
            <w:vAlign w:val="center"/>
          </w:tcPr>
          <w:p w14:paraId="033014B7" w14:textId="60D705EC"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C</w:t>
            </w:r>
          </w:p>
        </w:tc>
        <w:tc>
          <w:tcPr>
            <w:tcW w:w="892" w:type="dxa"/>
            <w:tcBorders>
              <w:top w:val="nil"/>
              <w:left w:val="nil"/>
              <w:bottom w:val="single" w:sz="4" w:space="0" w:color="auto"/>
              <w:right w:val="single" w:sz="4" w:space="0" w:color="auto"/>
            </w:tcBorders>
            <w:shd w:val="clear" w:color="auto" w:fill="FFFFFF"/>
            <w:vAlign w:val="center"/>
          </w:tcPr>
          <w:p w14:paraId="66975ABD" w14:textId="786FD089" w:rsidR="00194111" w:rsidRPr="008F5458" w:rsidRDefault="00D35F9A" w:rsidP="008F5458">
            <w:pPr>
              <w:spacing w:before="100" w:beforeAutospacing="1" w:after="100" w:afterAutospacing="1" w:line="240" w:lineRule="auto"/>
              <w:jc w:val="center"/>
              <w:rPr>
                <w:rFonts w:ascii="Arial" w:eastAsia="Times New Roman" w:hAnsi="Arial" w:cs="Arial"/>
                <w:sz w:val="12"/>
                <w:szCs w:val="12"/>
              </w:rPr>
            </w:pPr>
            <w:r>
              <w:rPr>
                <w:rFonts w:ascii="Arial" w:eastAsia="Times New Roman" w:hAnsi="Arial" w:cs="Arial"/>
                <w:sz w:val="12"/>
                <w:szCs w:val="12"/>
              </w:rPr>
              <w:fldChar w:fldCharType="begin" w:fldLock="1"/>
            </w:r>
            <w:r w:rsidR="00674516">
              <w:rPr>
                <w:rFonts w:ascii="Arial" w:eastAsia="Times New Roman" w:hAnsi="Arial" w:cs="Arial"/>
                <w:sz w:val="12"/>
                <w:szCs w:val="12"/>
              </w:rPr>
              <w:instrText>ADDIN CSL_CITATION {"citationItems":[{"id":"ITEM-1","itemData":{"author":[{"dropping-particle":"","family":"Kokam Co.","given":"Ltd.","non-dropping-particle":"","parse-names":false,"suffix":""}],"id":"ITEM-1","issued":{"date-parts":[["2018"]]},"title":"Total Energy Storage Solution Provider","type":"article-journal"},"uris":["http://www.mendeley.com/documents/?uuid=6292833a-db6b-4e5f-a323-c417fd09c817"]},{"id":"ITEM-2","itemData":{"author":[{"dropping-particle":"","family":"Danish Technological Institute","given":"","non-dropping-particle":"","parse-names":false,"suffix":""}],"id":"ITEM-2","issue":"10739","issued":{"date-parts":[["2017"]]},"number-of-pages":"1-123","title":"BESS project Smart grid ready Battery Energy Storage System for future grid","type":"report"},"uris":["http://www.mendeley.com/documents/?uuid=439f66b3-466a-48bd-a7e3-70cf05d85bc9"]},{"id":"ITEM-3","itemData":{"ISBN":"0081024940","abstract":"Cover; Title Page; Copyright Page; Contents; List of Contributors; 1 -- Hybrid PV-wind renewable energy sources for microgrid application: an overview; 1 -- Introduction; 2 -- Hybrid renewable energy system and its benefit; 3 -- Hybrid renewable energy system configuration; 4 -- Optimization of hybrid system; 4.1 -- Optimization objectives; 4.2 -- Optimization practices in HRES; 5 -- Energy storage system in MG; 6 -- Stability concerns in a HRES MG system; 7 -- Simulation; 7.1 -- Load generator with PV only; 7.2 -- Load generator with wind only; 7.3 -- Load generator with PV-wind 7.4 -- Comparison of voltages with different combinations of PV/wind8 -- Conclusion; References; 2 -- Microgrid architecture, control, and operation; 1 -- Introduction; 2 -- Microgrid architecture; 3 -- Mathematical analysis of microgrid structure; 3.1 -- AC microgrid; 3.2 -- DC microgrid; 3.3 -- AC-DC hybrid microgrid; 4 -- Microgrid control and operation; 4.1 -- Hierarchical control of microgrid; 5 -- Mathematical model of hierarchical control; 5.1 -- Droop-based control of microgrid; 6 -- Simulation study; 7 -- Conclusion; References 3 -- Integrated renewable energy sources with droop control techniques-based microgrid operation1 -- Introduction; 2 -- Framework of microgrid technology; 2.1 -- Physical equipment; 2.2 -- Protection and control; 2.3 -- Automation and control; 2.4 -- Monitoring, scheduling, optimization, and dispatch; 2.5 -- Energy market and coordinating the response of smart grid operation; 3 -- DC microgrid and AC microgrid; 3.1 -- DC microgrid; 3.2 -- AC microgrid; 4 -- Proposed structure of grid connected microgrid system; 5 -- Characteristics and modeling of renewable energy sources; 5.1 -- Solar PV 5.2 -- Battery modeling6 -- Concept of droop control; 6.1 -- Droop control techniques in microgrid; 6.1.1 -- Virtual impedance droop control; 7 -- Case study of solar PV and BESS with P/Q and V/f droop control; 7.1 -- Results and discussion; 8 -- Conclusion; References; Further reading; 4 -- Multilevel inverters: an enabling technology; 1 -- Introduction; 2 -- Multilevel inverter topologies; 2.1 -- Diode-clamped inverter; 2.2 -- Capacitor-clamped inverter; 2.2.1 -- Advantages; 2.2.2 -- Disadvantages; 2.3 -- Cascaded H bridge inverters; 2.4 -- Comparison of different multilevel inverters 3 -- Matlab/Simulink modeling and simulation of multilevel inverters3.1 -- Single phase three level CMLI; 4 -- Applications of multilevel inverters; 4.1 -- Energy and power syst…","author":[{"dropping-particle":"","family":"Fathima","given":"A. Hina","non-dropping-particle":"","parse-names":false,"suffix":""},{"dropping-particle":"","family":"N","given":"Prabaharan","non-dropping-particle":"","parse-names":false,"suffix":""},{"dropping-particle":"","family":"K","given":"Palanisamy","non-dropping-particle":"","parse-names":false,"suffix":""},{"dropping-particle":"","family":"Kalam","given":"Akhtar","non-dropping-particle":"","parse-names":false,"suffix":""},{"dropping-particle":"","family":"Mekhilef","given":"Saad","non-dropping-particle":"","parse-names":false,"suffix":""},{"dropping-particle":"","family":"Justo","given":"Jackson J.","non-dropping-particle":"","parse-names":false,"suffix":""}],"id":"ITEM-3","issued":{"date-parts":[["0"]]},"title":"Hybrid-renewable energy systems in microgrids : integration, developments and control","type":"book"},"uris":["http://www.mendeley.com/documents/?uuid=ec60c7e3-c666-3ba5-992c-79cb30b51588","http://www.mendeley.com/documents/?uuid=c7658074-579c-401b-b6af-f39559047cb1"]},{"id":"ITEM-4","itemData":{"author":[{"dropping-particle":"","family":"Lazard","given":"","non-dropping-particle":"","parse-names":false,"suffix":""}],"id":"ITEM-4","issued":{"date-parts":[["2017"]]},"title":"Lazard.com | Levelized Cost of Storage 2017","type":"report"},"uris":["http://www.mendeley.com/documents/?uuid=56d03985-97ee-3fc7-9728-f80c5cd919c9"]}],"mendeley":{"formattedCitation":"[3,21,22,51]","plainTextFormattedCitation":"[3,21,22,51]","previouslyFormattedCitation":"[3,21,22,51]"},"properties":{"noteIndex":0},"schema":"https://github.com/citation-style-language/schema/raw/master/csl-citation.json"}</w:instrText>
            </w:r>
            <w:r>
              <w:rPr>
                <w:rFonts w:ascii="Arial" w:eastAsia="Times New Roman" w:hAnsi="Arial" w:cs="Arial"/>
                <w:sz w:val="12"/>
                <w:szCs w:val="12"/>
              </w:rPr>
              <w:fldChar w:fldCharType="separate"/>
            </w:r>
            <w:r w:rsidRPr="00D35F9A">
              <w:rPr>
                <w:rFonts w:ascii="Arial" w:eastAsia="Times New Roman" w:hAnsi="Arial" w:cs="Arial"/>
                <w:noProof/>
                <w:sz w:val="12"/>
                <w:szCs w:val="12"/>
              </w:rPr>
              <w:t>[3,21,22,51]</w:t>
            </w:r>
            <w:r>
              <w:rPr>
                <w:rFonts w:ascii="Arial" w:eastAsia="Times New Roman" w:hAnsi="Arial" w:cs="Arial"/>
                <w:sz w:val="12"/>
                <w:szCs w:val="12"/>
              </w:rPr>
              <w:fldChar w:fldCharType="end"/>
            </w:r>
          </w:p>
        </w:tc>
      </w:tr>
      <w:tr w:rsidR="00194111" w:rsidRPr="007D5B8E" w14:paraId="679D0679"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69F086BD"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 xml:space="preserve">- </w:t>
            </w:r>
            <w:r w:rsidRPr="008F5458">
              <w:rPr>
                <w:rFonts w:ascii="Arial" w:eastAsia="Times New Roman" w:hAnsi="Arial" w:cs="Arial"/>
                <w:i/>
                <w:sz w:val="12"/>
                <w:szCs w:val="12"/>
              </w:rPr>
              <w:t xml:space="preserve">Charge </w:t>
            </w:r>
            <w:proofErr w:type="spellStart"/>
            <w:r w:rsidRPr="008F5458">
              <w:rPr>
                <w:rFonts w:ascii="Arial" w:eastAsia="Times New Roman" w:hAnsi="Arial" w:cs="Arial"/>
                <w:i/>
                <w:sz w:val="12"/>
                <w:szCs w:val="12"/>
              </w:rPr>
              <w:t>efficiency</w:t>
            </w:r>
            <w:proofErr w:type="spellEnd"/>
            <w:r w:rsidRPr="008F5458">
              <w:rPr>
                <w:rFonts w:ascii="Arial" w:eastAsia="Times New Roman" w:hAnsi="Arial" w:cs="Arial"/>
                <w:i/>
                <w:sz w:val="12"/>
                <w:szCs w:val="12"/>
              </w:rPr>
              <w:t xml:space="preserve"> (%)</w:t>
            </w:r>
          </w:p>
        </w:tc>
        <w:tc>
          <w:tcPr>
            <w:tcW w:w="567" w:type="dxa"/>
            <w:tcBorders>
              <w:top w:val="nil"/>
              <w:left w:val="nil"/>
              <w:bottom w:val="single" w:sz="4" w:space="0" w:color="auto"/>
              <w:right w:val="single" w:sz="4" w:space="0" w:color="auto"/>
            </w:tcBorders>
            <w:shd w:val="clear" w:color="auto" w:fill="FFFFFF"/>
            <w:vAlign w:val="center"/>
          </w:tcPr>
          <w:p w14:paraId="4B6DFEC4" w14:textId="5A486FEF"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w:t>
            </w:r>
          </w:p>
        </w:tc>
        <w:tc>
          <w:tcPr>
            <w:tcW w:w="757" w:type="dxa"/>
            <w:gridSpan w:val="2"/>
            <w:tcBorders>
              <w:top w:val="nil"/>
              <w:left w:val="nil"/>
              <w:bottom w:val="single" w:sz="4" w:space="0" w:color="auto"/>
              <w:right w:val="single" w:sz="4" w:space="0" w:color="auto"/>
            </w:tcBorders>
            <w:shd w:val="clear" w:color="auto" w:fill="FFFFFF"/>
            <w:vAlign w:val="center"/>
          </w:tcPr>
          <w:p w14:paraId="55D37394" w14:textId="07608C25"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w:t>
            </w:r>
          </w:p>
        </w:tc>
        <w:tc>
          <w:tcPr>
            <w:tcW w:w="565" w:type="dxa"/>
            <w:tcBorders>
              <w:top w:val="nil"/>
              <w:left w:val="nil"/>
              <w:bottom w:val="single" w:sz="4" w:space="0" w:color="auto"/>
              <w:right w:val="single" w:sz="4" w:space="0" w:color="auto"/>
            </w:tcBorders>
            <w:shd w:val="clear" w:color="auto" w:fill="FFFFFF"/>
            <w:vAlign w:val="center"/>
          </w:tcPr>
          <w:p w14:paraId="2C05CE75" w14:textId="45B26FF6"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98.5</w:t>
            </w:r>
          </w:p>
        </w:tc>
        <w:tc>
          <w:tcPr>
            <w:tcW w:w="566" w:type="dxa"/>
            <w:tcBorders>
              <w:top w:val="nil"/>
              <w:left w:val="nil"/>
              <w:bottom w:val="single" w:sz="4" w:space="0" w:color="auto"/>
              <w:right w:val="single" w:sz="4" w:space="0" w:color="auto"/>
            </w:tcBorders>
            <w:shd w:val="clear" w:color="auto" w:fill="FFFFFF"/>
            <w:vAlign w:val="center"/>
          </w:tcPr>
          <w:p w14:paraId="75CE223C" w14:textId="0DE69B7D"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98.5</w:t>
            </w:r>
          </w:p>
        </w:tc>
        <w:tc>
          <w:tcPr>
            <w:tcW w:w="567" w:type="dxa"/>
            <w:tcBorders>
              <w:top w:val="nil"/>
              <w:left w:val="single" w:sz="4" w:space="0" w:color="auto"/>
              <w:bottom w:val="single" w:sz="4" w:space="0" w:color="auto"/>
              <w:right w:val="single" w:sz="4" w:space="0" w:color="auto"/>
            </w:tcBorders>
            <w:shd w:val="clear" w:color="auto" w:fill="FFFFFF"/>
            <w:vAlign w:val="center"/>
          </w:tcPr>
          <w:p w14:paraId="00045FCC" w14:textId="659523A9"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98.5</w:t>
            </w:r>
          </w:p>
        </w:tc>
        <w:tc>
          <w:tcPr>
            <w:tcW w:w="566" w:type="dxa"/>
            <w:tcBorders>
              <w:top w:val="nil"/>
              <w:left w:val="nil"/>
              <w:bottom w:val="single" w:sz="4" w:space="0" w:color="auto"/>
              <w:right w:val="single" w:sz="4" w:space="0" w:color="auto"/>
            </w:tcBorders>
            <w:shd w:val="clear" w:color="auto" w:fill="FFFFFF"/>
            <w:vAlign w:val="center"/>
          </w:tcPr>
          <w:p w14:paraId="42DBBC4C" w14:textId="3B15A5F9"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w:t>
            </w:r>
          </w:p>
        </w:tc>
        <w:tc>
          <w:tcPr>
            <w:tcW w:w="566" w:type="dxa"/>
            <w:tcBorders>
              <w:top w:val="nil"/>
              <w:left w:val="nil"/>
              <w:bottom w:val="single" w:sz="4" w:space="0" w:color="auto"/>
              <w:right w:val="single" w:sz="4" w:space="0" w:color="auto"/>
            </w:tcBorders>
            <w:shd w:val="clear" w:color="auto" w:fill="FFFFFF"/>
            <w:vAlign w:val="center"/>
          </w:tcPr>
          <w:p w14:paraId="02D38961" w14:textId="5A814699"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98.5</w:t>
            </w:r>
          </w:p>
        </w:tc>
        <w:tc>
          <w:tcPr>
            <w:tcW w:w="566" w:type="dxa"/>
            <w:tcBorders>
              <w:top w:val="nil"/>
              <w:left w:val="nil"/>
              <w:bottom w:val="single" w:sz="4" w:space="0" w:color="auto"/>
              <w:right w:val="single" w:sz="4" w:space="0" w:color="auto"/>
            </w:tcBorders>
            <w:shd w:val="clear" w:color="auto" w:fill="FFFFFF"/>
            <w:vAlign w:val="center"/>
          </w:tcPr>
          <w:p w14:paraId="084A0072" w14:textId="79ACA802"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w:t>
            </w:r>
          </w:p>
        </w:tc>
        <w:tc>
          <w:tcPr>
            <w:tcW w:w="566" w:type="dxa"/>
            <w:tcBorders>
              <w:top w:val="nil"/>
              <w:left w:val="nil"/>
              <w:bottom w:val="single" w:sz="4" w:space="0" w:color="auto"/>
              <w:right w:val="single" w:sz="4" w:space="0" w:color="auto"/>
            </w:tcBorders>
            <w:shd w:val="clear" w:color="auto" w:fill="FFFFFF"/>
            <w:vAlign w:val="center"/>
          </w:tcPr>
          <w:p w14:paraId="19FFBD5B" w14:textId="2C7E3C9E"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99</w:t>
            </w:r>
          </w:p>
        </w:tc>
        <w:tc>
          <w:tcPr>
            <w:tcW w:w="566" w:type="dxa"/>
            <w:tcBorders>
              <w:top w:val="nil"/>
              <w:left w:val="nil"/>
              <w:bottom w:val="single" w:sz="4" w:space="0" w:color="auto"/>
              <w:right w:val="single" w:sz="4" w:space="0" w:color="auto"/>
            </w:tcBorders>
            <w:shd w:val="clear" w:color="auto" w:fill="FFFFFF"/>
            <w:vAlign w:val="center"/>
          </w:tcPr>
          <w:p w14:paraId="03100F6A" w14:textId="5AB5C628"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_Ref528591471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D</w:t>
            </w:r>
            <w:r w:rsidRPr="008F5458">
              <w:rPr>
                <w:rFonts w:ascii="Arial" w:eastAsia="Times New Roman" w:hAnsi="Arial" w:cs="Arial"/>
                <w:sz w:val="12"/>
                <w:szCs w:val="12"/>
              </w:rPr>
              <w:fldChar w:fldCharType="end"/>
            </w:r>
          </w:p>
        </w:tc>
        <w:tc>
          <w:tcPr>
            <w:tcW w:w="892" w:type="dxa"/>
            <w:tcBorders>
              <w:top w:val="nil"/>
              <w:left w:val="nil"/>
              <w:bottom w:val="single" w:sz="4" w:space="0" w:color="auto"/>
              <w:right w:val="single" w:sz="4" w:space="0" w:color="auto"/>
            </w:tcBorders>
            <w:shd w:val="clear" w:color="auto" w:fill="FFFFFF"/>
            <w:vAlign w:val="center"/>
          </w:tcPr>
          <w:p w14:paraId="1A2C050D" w14:textId="42592F14"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lang w:val="en-US"/>
              </w:rPr>
              <w:fldChar w:fldCharType="begin" w:fldLock="1"/>
            </w:r>
            <w:r w:rsidRPr="008F5458">
              <w:rPr>
                <w:rFonts w:ascii="Arial" w:eastAsia="Times New Roman" w:hAnsi="Arial" w:cs="Arial"/>
                <w:sz w:val="12"/>
                <w:szCs w:val="12"/>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mendeley":{"formattedCitation":"[2]","plainTextFormattedCitation":"[2]","previouslyFormattedCitation":"[2]"},"properties":{"noteIndex":0},"schema":"https://github.com/citation-style-language/schema/raw/master/csl-citation.json"}</w:instrText>
            </w:r>
            <w:r w:rsidRPr="008F5458">
              <w:rPr>
                <w:rFonts w:ascii="Arial" w:eastAsia="Times New Roman" w:hAnsi="Arial" w:cs="Arial"/>
                <w:sz w:val="12"/>
                <w:szCs w:val="12"/>
                <w:lang w:val="en-US"/>
              </w:rPr>
              <w:fldChar w:fldCharType="separate"/>
            </w:r>
            <w:r w:rsidRPr="008F5458">
              <w:rPr>
                <w:rFonts w:ascii="Arial" w:eastAsia="Times New Roman" w:hAnsi="Arial" w:cs="Arial"/>
                <w:noProof/>
                <w:sz w:val="12"/>
                <w:szCs w:val="12"/>
                <w:lang w:val="en-US"/>
              </w:rPr>
              <w:t>[2]</w:t>
            </w:r>
            <w:r w:rsidRPr="008F5458">
              <w:rPr>
                <w:rFonts w:ascii="Arial" w:eastAsia="Times New Roman" w:hAnsi="Arial" w:cs="Arial"/>
                <w:sz w:val="12"/>
                <w:szCs w:val="12"/>
              </w:rPr>
              <w:fldChar w:fldCharType="end"/>
            </w:r>
          </w:p>
        </w:tc>
      </w:tr>
      <w:tr w:rsidR="00194111" w:rsidRPr="007D5B8E" w14:paraId="75B08FF9"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0E0E4E2D" w14:textId="77777777" w:rsidR="00194111" w:rsidRPr="008F5458" w:rsidRDefault="00194111" w:rsidP="008F5458">
            <w:pPr>
              <w:spacing w:before="100" w:beforeAutospacing="1" w:after="100" w:afterAutospacing="1" w:line="240" w:lineRule="auto"/>
              <w:jc w:val="center"/>
              <w:rPr>
                <w:rFonts w:ascii="Arial" w:eastAsia="Times New Roman" w:hAnsi="Arial" w:cs="Arial"/>
                <w:i/>
                <w:sz w:val="12"/>
                <w:szCs w:val="12"/>
              </w:rPr>
            </w:pPr>
            <w:r w:rsidRPr="008F5458">
              <w:rPr>
                <w:rFonts w:ascii="Arial" w:eastAsia="Times New Roman" w:hAnsi="Arial" w:cs="Arial"/>
                <w:i/>
                <w:sz w:val="12"/>
                <w:szCs w:val="12"/>
              </w:rPr>
              <w:t xml:space="preserve">- Discharge </w:t>
            </w:r>
            <w:proofErr w:type="spellStart"/>
            <w:r w:rsidRPr="008F5458">
              <w:rPr>
                <w:rFonts w:ascii="Arial" w:eastAsia="Times New Roman" w:hAnsi="Arial" w:cs="Arial"/>
                <w:i/>
                <w:sz w:val="12"/>
                <w:szCs w:val="12"/>
              </w:rPr>
              <w:t>efficiency</w:t>
            </w:r>
            <w:proofErr w:type="spellEnd"/>
            <w:r w:rsidRPr="008F5458">
              <w:rPr>
                <w:rFonts w:ascii="Arial" w:eastAsia="Times New Roman" w:hAnsi="Arial" w:cs="Arial"/>
                <w:i/>
                <w:sz w:val="12"/>
                <w:szCs w:val="12"/>
              </w:rPr>
              <w:t xml:space="preserve"> (%)</w:t>
            </w:r>
          </w:p>
        </w:tc>
        <w:tc>
          <w:tcPr>
            <w:tcW w:w="567" w:type="dxa"/>
            <w:tcBorders>
              <w:top w:val="nil"/>
              <w:left w:val="nil"/>
              <w:bottom w:val="single" w:sz="4" w:space="0" w:color="auto"/>
              <w:right w:val="single" w:sz="4" w:space="0" w:color="auto"/>
            </w:tcBorders>
            <w:shd w:val="clear" w:color="auto" w:fill="FFFFFF"/>
            <w:vAlign w:val="center"/>
          </w:tcPr>
          <w:p w14:paraId="55D9DA08" w14:textId="5A99F4F9"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97</w:t>
            </w:r>
          </w:p>
        </w:tc>
        <w:tc>
          <w:tcPr>
            <w:tcW w:w="757" w:type="dxa"/>
            <w:gridSpan w:val="2"/>
            <w:tcBorders>
              <w:top w:val="nil"/>
              <w:left w:val="nil"/>
              <w:bottom w:val="single" w:sz="4" w:space="0" w:color="auto"/>
              <w:right w:val="single" w:sz="4" w:space="0" w:color="auto"/>
            </w:tcBorders>
            <w:shd w:val="clear" w:color="auto" w:fill="FFFFFF"/>
            <w:vAlign w:val="center"/>
          </w:tcPr>
          <w:p w14:paraId="218E3BE6" w14:textId="2C294114"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97</w:t>
            </w:r>
          </w:p>
        </w:tc>
        <w:tc>
          <w:tcPr>
            <w:tcW w:w="565" w:type="dxa"/>
            <w:tcBorders>
              <w:top w:val="nil"/>
              <w:left w:val="nil"/>
              <w:bottom w:val="single" w:sz="4" w:space="0" w:color="auto"/>
              <w:right w:val="single" w:sz="4" w:space="0" w:color="auto"/>
            </w:tcBorders>
            <w:shd w:val="clear" w:color="auto" w:fill="FFFFFF"/>
            <w:vAlign w:val="center"/>
          </w:tcPr>
          <w:p w14:paraId="689CBBF9" w14:textId="2CBDF181"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97.5</w:t>
            </w:r>
          </w:p>
        </w:tc>
        <w:tc>
          <w:tcPr>
            <w:tcW w:w="566" w:type="dxa"/>
            <w:tcBorders>
              <w:top w:val="nil"/>
              <w:left w:val="nil"/>
              <w:bottom w:val="single" w:sz="4" w:space="0" w:color="auto"/>
              <w:right w:val="single" w:sz="4" w:space="0" w:color="auto"/>
            </w:tcBorders>
            <w:shd w:val="clear" w:color="auto" w:fill="FFFFFF"/>
            <w:vAlign w:val="center"/>
          </w:tcPr>
          <w:p w14:paraId="5FE41BFE" w14:textId="7980CEEC"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97.5</w:t>
            </w:r>
          </w:p>
        </w:tc>
        <w:tc>
          <w:tcPr>
            <w:tcW w:w="567" w:type="dxa"/>
            <w:tcBorders>
              <w:top w:val="nil"/>
              <w:left w:val="single" w:sz="4" w:space="0" w:color="auto"/>
              <w:bottom w:val="single" w:sz="4" w:space="0" w:color="auto"/>
              <w:right w:val="single" w:sz="4" w:space="0" w:color="auto"/>
            </w:tcBorders>
            <w:shd w:val="clear" w:color="auto" w:fill="FFFFFF"/>
            <w:vAlign w:val="center"/>
          </w:tcPr>
          <w:p w14:paraId="4D12C5A0" w14:textId="1CE4FFB9"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97.5</w:t>
            </w:r>
          </w:p>
        </w:tc>
        <w:tc>
          <w:tcPr>
            <w:tcW w:w="566" w:type="dxa"/>
            <w:tcBorders>
              <w:top w:val="nil"/>
              <w:left w:val="nil"/>
              <w:bottom w:val="single" w:sz="4" w:space="0" w:color="auto"/>
              <w:right w:val="single" w:sz="4" w:space="0" w:color="auto"/>
            </w:tcBorders>
            <w:shd w:val="clear" w:color="auto" w:fill="FFFFFF"/>
            <w:vAlign w:val="center"/>
          </w:tcPr>
          <w:p w14:paraId="6434699C" w14:textId="4A428BED"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97</w:t>
            </w:r>
          </w:p>
        </w:tc>
        <w:tc>
          <w:tcPr>
            <w:tcW w:w="566" w:type="dxa"/>
            <w:tcBorders>
              <w:top w:val="nil"/>
              <w:left w:val="nil"/>
              <w:bottom w:val="single" w:sz="4" w:space="0" w:color="auto"/>
              <w:right w:val="single" w:sz="4" w:space="0" w:color="auto"/>
            </w:tcBorders>
            <w:shd w:val="clear" w:color="auto" w:fill="FFFFFF"/>
            <w:vAlign w:val="center"/>
          </w:tcPr>
          <w:p w14:paraId="49C46162" w14:textId="3AAD3A4C"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w:t>
            </w:r>
          </w:p>
        </w:tc>
        <w:tc>
          <w:tcPr>
            <w:tcW w:w="566" w:type="dxa"/>
            <w:tcBorders>
              <w:top w:val="nil"/>
              <w:left w:val="nil"/>
              <w:bottom w:val="single" w:sz="4" w:space="0" w:color="auto"/>
              <w:right w:val="single" w:sz="4" w:space="0" w:color="auto"/>
            </w:tcBorders>
            <w:shd w:val="clear" w:color="auto" w:fill="FFFFFF"/>
            <w:vAlign w:val="center"/>
          </w:tcPr>
          <w:p w14:paraId="0DD8D308" w14:textId="6CDE8890"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97</w:t>
            </w:r>
          </w:p>
        </w:tc>
        <w:tc>
          <w:tcPr>
            <w:tcW w:w="566" w:type="dxa"/>
            <w:tcBorders>
              <w:top w:val="nil"/>
              <w:left w:val="nil"/>
              <w:bottom w:val="single" w:sz="4" w:space="0" w:color="auto"/>
              <w:right w:val="single" w:sz="4" w:space="0" w:color="auto"/>
            </w:tcBorders>
            <w:shd w:val="clear" w:color="auto" w:fill="FFFFFF"/>
            <w:vAlign w:val="center"/>
          </w:tcPr>
          <w:p w14:paraId="522498FF" w14:textId="22A2494E"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98</w:t>
            </w:r>
          </w:p>
        </w:tc>
        <w:tc>
          <w:tcPr>
            <w:tcW w:w="566" w:type="dxa"/>
            <w:tcBorders>
              <w:top w:val="nil"/>
              <w:left w:val="nil"/>
              <w:bottom w:val="single" w:sz="4" w:space="0" w:color="auto"/>
              <w:right w:val="single" w:sz="4" w:space="0" w:color="auto"/>
            </w:tcBorders>
            <w:shd w:val="clear" w:color="auto" w:fill="FFFFFF"/>
            <w:vAlign w:val="center"/>
          </w:tcPr>
          <w:p w14:paraId="610E463A" w14:textId="0A7FD19D"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_Ref528591471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D</w:t>
            </w:r>
            <w:r w:rsidRPr="008F5458">
              <w:rPr>
                <w:rFonts w:ascii="Arial" w:eastAsia="Times New Roman" w:hAnsi="Arial" w:cs="Arial"/>
                <w:sz w:val="12"/>
                <w:szCs w:val="12"/>
              </w:rPr>
              <w:fldChar w:fldCharType="end"/>
            </w:r>
          </w:p>
        </w:tc>
        <w:tc>
          <w:tcPr>
            <w:tcW w:w="892" w:type="dxa"/>
            <w:tcBorders>
              <w:top w:val="nil"/>
              <w:left w:val="nil"/>
              <w:bottom w:val="single" w:sz="4" w:space="0" w:color="auto"/>
              <w:right w:val="single" w:sz="4" w:space="0" w:color="auto"/>
            </w:tcBorders>
            <w:shd w:val="clear" w:color="auto" w:fill="FFFFFF"/>
            <w:vAlign w:val="center"/>
          </w:tcPr>
          <w:p w14:paraId="7BA905DE" w14:textId="1F7B458D"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lang w:val="en-US"/>
              </w:rPr>
              <w:fldChar w:fldCharType="begin" w:fldLock="1"/>
            </w:r>
            <w:r w:rsidRPr="008F5458">
              <w:rPr>
                <w:rFonts w:ascii="Arial" w:eastAsia="Times New Roman" w:hAnsi="Arial" w:cs="Arial"/>
                <w:sz w:val="12"/>
                <w:szCs w:val="12"/>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mendeley":{"formattedCitation":"[2]","plainTextFormattedCitation":"[2]","previouslyFormattedCitation":"[2]"},"properties":{"noteIndex":0},"schema":"https://github.com/citation-style-language/schema/raw/master/csl-citation.json"}</w:instrText>
            </w:r>
            <w:r w:rsidRPr="008F5458">
              <w:rPr>
                <w:rFonts w:ascii="Arial" w:eastAsia="Times New Roman" w:hAnsi="Arial" w:cs="Arial"/>
                <w:sz w:val="12"/>
                <w:szCs w:val="12"/>
                <w:lang w:val="en-US"/>
              </w:rPr>
              <w:fldChar w:fldCharType="separate"/>
            </w:r>
            <w:r w:rsidRPr="008F5458">
              <w:rPr>
                <w:rFonts w:ascii="Arial" w:eastAsia="Times New Roman" w:hAnsi="Arial" w:cs="Arial"/>
                <w:noProof/>
                <w:sz w:val="12"/>
                <w:szCs w:val="12"/>
                <w:lang w:val="en-US"/>
              </w:rPr>
              <w:t>[2]</w:t>
            </w:r>
            <w:r w:rsidRPr="008F5458">
              <w:rPr>
                <w:rFonts w:ascii="Arial" w:eastAsia="Times New Roman" w:hAnsi="Arial" w:cs="Arial"/>
                <w:sz w:val="12"/>
                <w:szCs w:val="12"/>
              </w:rPr>
              <w:fldChar w:fldCharType="end"/>
            </w:r>
          </w:p>
        </w:tc>
      </w:tr>
      <w:tr w:rsidR="00194111" w:rsidRPr="00724C1F" w14:paraId="79BFA311"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1190331A"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Energy losses during storage (%/day)</w:t>
            </w:r>
          </w:p>
        </w:tc>
        <w:tc>
          <w:tcPr>
            <w:tcW w:w="567" w:type="dxa"/>
            <w:tcBorders>
              <w:top w:val="nil"/>
              <w:left w:val="nil"/>
              <w:bottom w:val="single" w:sz="4" w:space="0" w:color="auto"/>
              <w:right w:val="single" w:sz="4" w:space="0" w:color="auto"/>
            </w:tcBorders>
            <w:vAlign w:val="center"/>
            <w:hideMark/>
          </w:tcPr>
          <w:p w14:paraId="640538CC"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0.1</w:t>
            </w:r>
            <w:proofErr w:type="gramEnd"/>
          </w:p>
        </w:tc>
        <w:tc>
          <w:tcPr>
            <w:tcW w:w="757" w:type="dxa"/>
            <w:gridSpan w:val="2"/>
            <w:tcBorders>
              <w:top w:val="nil"/>
              <w:left w:val="nil"/>
              <w:bottom w:val="single" w:sz="4" w:space="0" w:color="auto"/>
              <w:right w:val="single" w:sz="4" w:space="0" w:color="auto"/>
            </w:tcBorders>
            <w:shd w:val="clear" w:color="auto" w:fill="FFFFFF"/>
            <w:vAlign w:val="center"/>
            <w:hideMark/>
          </w:tcPr>
          <w:p w14:paraId="3760C779"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0.1</w:t>
            </w:r>
            <w:proofErr w:type="gramEnd"/>
          </w:p>
        </w:tc>
        <w:tc>
          <w:tcPr>
            <w:tcW w:w="565" w:type="dxa"/>
            <w:tcBorders>
              <w:top w:val="nil"/>
              <w:left w:val="nil"/>
              <w:bottom w:val="single" w:sz="4" w:space="0" w:color="auto"/>
              <w:right w:val="single" w:sz="4" w:space="0" w:color="auto"/>
            </w:tcBorders>
            <w:shd w:val="clear" w:color="auto" w:fill="FFFFFF"/>
            <w:vAlign w:val="center"/>
            <w:hideMark/>
          </w:tcPr>
          <w:p w14:paraId="16D12CE0"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0.1</w:t>
            </w:r>
            <w:proofErr w:type="gramEnd"/>
          </w:p>
        </w:tc>
        <w:tc>
          <w:tcPr>
            <w:tcW w:w="566" w:type="dxa"/>
            <w:tcBorders>
              <w:top w:val="nil"/>
              <w:left w:val="nil"/>
              <w:bottom w:val="single" w:sz="4" w:space="0" w:color="auto"/>
              <w:right w:val="single" w:sz="4" w:space="0" w:color="auto"/>
            </w:tcBorders>
            <w:shd w:val="clear" w:color="auto" w:fill="FFFFFF"/>
            <w:vAlign w:val="center"/>
          </w:tcPr>
          <w:p w14:paraId="71B33E86"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0.1</w:t>
            </w:r>
            <w:proofErr w:type="gramEnd"/>
          </w:p>
        </w:tc>
        <w:tc>
          <w:tcPr>
            <w:tcW w:w="567" w:type="dxa"/>
            <w:tcBorders>
              <w:top w:val="nil"/>
              <w:left w:val="single" w:sz="4" w:space="0" w:color="auto"/>
              <w:bottom w:val="single" w:sz="4" w:space="0" w:color="auto"/>
              <w:right w:val="single" w:sz="4" w:space="0" w:color="auto"/>
            </w:tcBorders>
            <w:shd w:val="clear" w:color="auto" w:fill="FFFFFF"/>
            <w:vAlign w:val="center"/>
          </w:tcPr>
          <w:p w14:paraId="0472A0E1"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0.1</w:t>
            </w:r>
            <w:proofErr w:type="gramEnd"/>
          </w:p>
        </w:tc>
        <w:tc>
          <w:tcPr>
            <w:tcW w:w="566" w:type="dxa"/>
            <w:tcBorders>
              <w:top w:val="nil"/>
              <w:left w:val="nil"/>
              <w:bottom w:val="single" w:sz="4" w:space="0" w:color="auto"/>
              <w:right w:val="single" w:sz="4" w:space="0" w:color="auto"/>
            </w:tcBorders>
            <w:shd w:val="clear" w:color="auto" w:fill="FFFFFF"/>
            <w:vAlign w:val="center"/>
          </w:tcPr>
          <w:p w14:paraId="3C929781" w14:textId="22C1F039"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0.05</w:t>
            </w:r>
          </w:p>
        </w:tc>
        <w:tc>
          <w:tcPr>
            <w:tcW w:w="566" w:type="dxa"/>
            <w:tcBorders>
              <w:top w:val="nil"/>
              <w:left w:val="nil"/>
              <w:bottom w:val="single" w:sz="4" w:space="0" w:color="auto"/>
              <w:right w:val="single" w:sz="4" w:space="0" w:color="auto"/>
            </w:tcBorders>
            <w:shd w:val="clear" w:color="auto" w:fill="FFFFFF"/>
            <w:vAlign w:val="center"/>
          </w:tcPr>
          <w:p w14:paraId="5ECAF971" w14:textId="05297455"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0.2</w:t>
            </w:r>
            <w:proofErr w:type="gramEnd"/>
          </w:p>
        </w:tc>
        <w:tc>
          <w:tcPr>
            <w:tcW w:w="566" w:type="dxa"/>
            <w:tcBorders>
              <w:top w:val="nil"/>
              <w:left w:val="nil"/>
              <w:bottom w:val="single" w:sz="4" w:space="0" w:color="auto"/>
              <w:right w:val="single" w:sz="4" w:space="0" w:color="auto"/>
            </w:tcBorders>
            <w:shd w:val="clear" w:color="auto" w:fill="FFFFFF"/>
            <w:vAlign w:val="center"/>
          </w:tcPr>
          <w:p w14:paraId="2BD04C21" w14:textId="22608825"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0.05</w:t>
            </w:r>
          </w:p>
        </w:tc>
        <w:tc>
          <w:tcPr>
            <w:tcW w:w="566" w:type="dxa"/>
            <w:tcBorders>
              <w:top w:val="nil"/>
              <w:left w:val="nil"/>
              <w:bottom w:val="single" w:sz="4" w:space="0" w:color="auto"/>
              <w:right w:val="single" w:sz="4" w:space="0" w:color="auto"/>
            </w:tcBorders>
            <w:shd w:val="clear" w:color="auto" w:fill="FFFFFF"/>
            <w:vAlign w:val="center"/>
          </w:tcPr>
          <w:p w14:paraId="71054CED" w14:textId="7575877F"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0.15</w:t>
            </w:r>
          </w:p>
        </w:tc>
        <w:tc>
          <w:tcPr>
            <w:tcW w:w="566" w:type="dxa"/>
            <w:tcBorders>
              <w:top w:val="nil"/>
              <w:left w:val="nil"/>
              <w:bottom w:val="single" w:sz="4" w:space="0" w:color="auto"/>
              <w:right w:val="single" w:sz="4" w:space="0" w:color="auto"/>
            </w:tcBorders>
            <w:shd w:val="clear" w:color="auto" w:fill="FFFFFF"/>
            <w:vAlign w:val="center"/>
          </w:tcPr>
          <w:p w14:paraId="7365101D" w14:textId="649928C8"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_Ref528591483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E</w:t>
            </w:r>
            <w:r w:rsidRPr="008F5458">
              <w:rPr>
                <w:rFonts w:ascii="Arial" w:eastAsia="Times New Roman" w:hAnsi="Arial" w:cs="Arial"/>
                <w:sz w:val="12"/>
                <w:szCs w:val="12"/>
              </w:rPr>
              <w:fldChar w:fldCharType="end"/>
            </w:r>
          </w:p>
        </w:tc>
        <w:tc>
          <w:tcPr>
            <w:tcW w:w="892" w:type="dxa"/>
            <w:tcBorders>
              <w:top w:val="nil"/>
              <w:left w:val="nil"/>
              <w:bottom w:val="single" w:sz="4" w:space="0" w:color="auto"/>
              <w:right w:val="single" w:sz="4" w:space="0" w:color="auto"/>
            </w:tcBorders>
            <w:shd w:val="clear" w:color="auto" w:fill="FFFFFF"/>
            <w:vAlign w:val="center"/>
          </w:tcPr>
          <w:p w14:paraId="072817A8" w14:textId="41E9A699"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rPr>
              <w:fldChar w:fldCharType="begin" w:fldLock="1"/>
            </w:r>
            <w:r w:rsidR="00D05697">
              <w:rPr>
                <w:rFonts w:ascii="Arial" w:eastAsia="Times New Roman" w:hAnsi="Arial" w:cs="Arial"/>
                <w:sz w:val="12"/>
                <w:szCs w:val="12"/>
              </w:rPr>
              <w:instrText>ADDIN CSL_CITATION {"citationItems":[{"id":"ITEM-1","itemData":{"DOI":"10.1016/j.pnsc.2008.07.014","ISBN":"1002-0071","ISSN":"10020071","abstract":"Electrical energy storage technologies for stationary applications are reviewed. Particular attention is paid to pumped hydroelectric storage, compressed air energy storage, battery, flow battery, fuel cell, solar fuel, superconducting magnetic energy storage, flywheel, capacitor/supercapacitor, and thermal energy storage. Comparison is made among these technologies in terms of technical characteristics, applications and deployment status. © 2008 National Natural Science Foundation of China and Chinese Academy of Sciences. Published by Elsevier Limited and Science in China Press. All rights reserved.","author":[{"dropping-particle":"","family":"Chen","given":"Haisheng","non-dropping-particle":"","parse-names":false,"suffix":""},{"dropping-particle":"","family":"Cong","given":"Thang Ngoc","non-dropping-particle":"","parse-names":false,"suffix":""},{"dropping-particle":"","family":"Yang","given":"Wei","non-dropping-particle":"","parse-names":false,"suffix":""},{"dropping-particle":"","family":"Tan","given":"Chunqing","non-dropping-particle":"","parse-names":false,"suffix":""},{"dropping-particle":"","family":"Li","given":"Yongliang","non-dropping-particle":"","parse-names":false,"suffix":""},{"dropping-particle":"","family":"Ding","given":"Yulong","non-dropping-particle":"","parse-names":false,"suffix":""}],"container-title":"Progress in Natural Science","id":"ITEM-1","issue":"3","issued":{"date-parts":[["2009"]]},"page":"291-312","publisher":"National Natural Science Fou</w:instrText>
            </w:r>
            <w:r w:rsidR="00D05697" w:rsidRPr="00D05697">
              <w:rPr>
                <w:rFonts w:ascii="Arial" w:eastAsia="Times New Roman" w:hAnsi="Arial" w:cs="Arial"/>
                <w:sz w:val="12"/>
                <w:szCs w:val="12"/>
                <w:lang w:val="en-US"/>
              </w:rPr>
              <w:instrText>ndation of China and Chinese Academy of Sciences","title":"Progress in electrical energy storage system: A critical review","type":"article-journal","volume":"19"},"uris":["http://www.mendeley.com/documents/?uuid=749603d9-c6d0-4b7d-b91e-d57219bd138f"]},{"id":"ITEM-2","itemData":{"URL":"https://www.mpoweruk.com/performance.htm","author":[{"dropping-particle":"","family":"Electropaedia","given":"","non-dropping-particle":"","parse-names":false,"suffix":""}],"id":"ITEM-2","issued":{"date-parts":[["0"]]},"title":"Battery Performance Characteristics - How to specify and test a battery","type":"webpage"},"uris":["http://www.mendeley.com/documents/?uuid=268decfe-096f-412c-8b75-510b4cf99b6e"]},{"id":"ITEM-3","itemData":{"ISBN":"9789292600389","author":[{"dropping-particle":"","family":"Renewable","given":"International","non-dropping-particle":"","parse-names":false,"suffix":""},{"dropping-particle":"","family":"Agency","given":"Energy","non-dropping-particle":"","parse-names":false,"suffix":""}],"id":"ITEM-3","issue":"October","issued":{"date-parts":[["2017"]]},"title":"Electricity Storage and Renewables : Costs and Markets To 2030","type":"book"},"uris":["http://www.mendeley.com/documents/?uuid=8a2d2ba7-3ad2-43f4-8df8-55e58801b19b"]}],"mendeley":{"formattedCitation":"[18,50,52]","plainTextFormattedCitation":"[18,50,52]","previouslyFormattedCitation":"[18,50,52]"},"properties":{"noteIndex":0},"schema":"https://github.com/citation-style-language/schema/raw/master/csl-citation.json"}</w:instrText>
            </w:r>
            <w:r w:rsidRPr="008F5458">
              <w:rPr>
                <w:rFonts w:ascii="Arial" w:eastAsia="Times New Roman" w:hAnsi="Arial" w:cs="Arial"/>
                <w:sz w:val="12"/>
                <w:szCs w:val="12"/>
              </w:rPr>
              <w:fldChar w:fldCharType="separate"/>
            </w:r>
            <w:r w:rsidR="001A7298" w:rsidRPr="001A7298">
              <w:rPr>
                <w:rFonts w:ascii="Arial" w:eastAsia="Times New Roman" w:hAnsi="Arial" w:cs="Arial"/>
                <w:noProof/>
                <w:sz w:val="12"/>
                <w:szCs w:val="12"/>
                <w:lang w:val="en-US"/>
              </w:rPr>
              <w:t>[18,50,52]</w:t>
            </w:r>
            <w:r w:rsidRPr="008F5458">
              <w:rPr>
                <w:rFonts w:ascii="Arial" w:eastAsia="Times New Roman" w:hAnsi="Arial" w:cs="Arial"/>
                <w:sz w:val="12"/>
                <w:szCs w:val="12"/>
              </w:rPr>
              <w:fldChar w:fldCharType="end"/>
            </w:r>
          </w:p>
        </w:tc>
      </w:tr>
      <w:tr w:rsidR="00194111" w:rsidRPr="00724C1F" w14:paraId="762B6944"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47DFAAF4"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Forced outage (%)</w:t>
            </w:r>
          </w:p>
        </w:tc>
        <w:tc>
          <w:tcPr>
            <w:tcW w:w="567" w:type="dxa"/>
            <w:tcBorders>
              <w:top w:val="nil"/>
              <w:left w:val="nil"/>
              <w:bottom w:val="single" w:sz="4" w:space="0" w:color="auto"/>
              <w:right w:val="single" w:sz="4" w:space="0" w:color="auto"/>
            </w:tcBorders>
            <w:shd w:val="clear" w:color="auto" w:fill="FFFFFF"/>
            <w:vAlign w:val="center"/>
            <w:hideMark/>
          </w:tcPr>
          <w:p w14:paraId="6AAE1C25" w14:textId="09922F54"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0.4</w:t>
            </w:r>
          </w:p>
        </w:tc>
        <w:tc>
          <w:tcPr>
            <w:tcW w:w="757" w:type="dxa"/>
            <w:gridSpan w:val="2"/>
            <w:tcBorders>
              <w:top w:val="nil"/>
              <w:left w:val="nil"/>
              <w:bottom w:val="single" w:sz="4" w:space="0" w:color="auto"/>
              <w:right w:val="single" w:sz="4" w:space="0" w:color="auto"/>
            </w:tcBorders>
            <w:shd w:val="clear" w:color="auto" w:fill="FFFFFF"/>
            <w:vAlign w:val="center"/>
            <w:hideMark/>
          </w:tcPr>
          <w:p w14:paraId="347A988D" w14:textId="47811C59"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0.38</w:t>
            </w:r>
          </w:p>
        </w:tc>
        <w:tc>
          <w:tcPr>
            <w:tcW w:w="565" w:type="dxa"/>
            <w:tcBorders>
              <w:top w:val="nil"/>
              <w:left w:val="nil"/>
              <w:bottom w:val="single" w:sz="4" w:space="0" w:color="auto"/>
              <w:right w:val="single" w:sz="4" w:space="0" w:color="auto"/>
            </w:tcBorders>
            <w:shd w:val="clear" w:color="auto" w:fill="FFFFFF"/>
            <w:vAlign w:val="center"/>
            <w:hideMark/>
          </w:tcPr>
          <w:p w14:paraId="5E3B1C48" w14:textId="0A0D6B41"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0.35</w:t>
            </w:r>
          </w:p>
        </w:tc>
        <w:tc>
          <w:tcPr>
            <w:tcW w:w="566" w:type="dxa"/>
            <w:tcBorders>
              <w:top w:val="nil"/>
              <w:left w:val="nil"/>
              <w:bottom w:val="single" w:sz="4" w:space="0" w:color="auto"/>
              <w:right w:val="single" w:sz="4" w:space="0" w:color="auto"/>
            </w:tcBorders>
            <w:shd w:val="clear" w:color="auto" w:fill="FFFFFF"/>
            <w:vAlign w:val="center"/>
          </w:tcPr>
          <w:p w14:paraId="1CB8E5CD" w14:textId="3FD856D5"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0.3</w:t>
            </w:r>
          </w:p>
        </w:tc>
        <w:tc>
          <w:tcPr>
            <w:tcW w:w="567" w:type="dxa"/>
            <w:tcBorders>
              <w:top w:val="nil"/>
              <w:left w:val="single" w:sz="4" w:space="0" w:color="auto"/>
              <w:bottom w:val="single" w:sz="4" w:space="0" w:color="auto"/>
              <w:right w:val="single" w:sz="4" w:space="0" w:color="auto"/>
            </w:tcBorders>
            <w:shd w:val="clear" w:color="auto" w:fill="FFFFFF"/>
            <w:vAlign w:val="center"/>
          </w:tcPr>
          <w:p w14:paraId="7C54B5AC" w14:textId="69880863"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0.25</w:t>
            </w:r>
          </w:p>
        </w:tc>
        <w:tc>
          <w:tcPr>
            <w:tcW w:w="566" w:type="dxa"/>
            <w:tcBorders>
              <w:top w:val="nil"/>
              <w:left w:val="nil"/>
              <w:bottom w:val="single" w:sz="4" w:space="0" w:color="auto"/>
              <w:right w:val="single" w:sz="4" w:space="0" w:color="auto"/>
            </w:tcBorders>
            <w:shd w:val="clear" w:color="auto" w:fill="FFFFFF"/>
            <w:vAlign w:val="center"/>
          </w:tcPr>
          <w:p w14:paraId="58CA7D45" w14:textId="40804AB3"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0.2</w:t>
            </w:r>
          </w:p>
        </w:tc>
        <w:tc>
          <w:tcPr>
            <w:tcW w:w="566" w:type="dxa"/>
            <w:tcBorders>
              <w:top w:val="nil"/>
              <w:left w:val="nil"/>
              <w:bottom w:val="single" w:sz="4" w:space="0" w:color="auto"/>
              <w:right w:val="single" w:sz="4" w:space="0" w:color="auto"/>
            </w:tcBorders>
            <w:shd w:val="clear" w:color="auto" w:fill="FFFFFF"/>
            <w:vAlign w:val="center"/>
          </w:tcPr>
          <w:p w14:paraId="6B34AE95" w14:textId="5DFBCA3A"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0.5</w:t>
            </w:r>
          </w:p>
        </w:tc>
        <w:tc>
          <w:tcPr>
            <w:tcW w:w="566" w:type="dxa"/>
            <w:tcBorders>
              <w:top w:val="nil"/>
              <w:left w:val="nil"/>
              <w:bottom w:val="single" w:sz="4" w:space="0" w:color="auto"/>
              <w:right w:val="single" w:sz="4" w:space="0" w:color="auto"/>
            </w:tcBorders>
            <w:shd w:val="clear" w:color="auto" w:fill="FFFFFF"/>
            <w:vAlign w:val="center"/>
          </w:tcPr>
          <w:p w14:paraId="5F1A8742" w14:textId="616BAD4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w:t>
            </w:r>
          </w:p>
        </w:tc>
        <w:tc>
          <w:tcPr>
            <w:tcW w:w="566" w:type="dxa"/>
            <w:tcBorders>
              <w:top w:val="nil"/>
              <w:left w:val="nil"/>
              <w:bottom w:val="single" w:sz="4" w:space="0" w:color="auto"/>
              <w:right w:val="single" w:sz="4" w:space="0" w:color="auto"/>
            </w:tcBorders>
            <w:shd w:val="clear" w:color="auto" w:fill="FFFFFF"/>
            <w:vAlign w:val="center"/>
          </w:tcPr>
          <w:p w14:paraId="17C3D601" w14:textId="1E5E4F01"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0.3</w:t>
            </w:r>
          </w:p>
        </w:tc>
        <w:tc>
          <w:tcPr>
            <w:tcW w:w="566" w:type="dxa"/>
            <w:tcBorders>
              <w:top w:val="nil"/>
              <w:left w:val="nil"/>
              <w:bottom w:val="single" w:sz="4" w:space="0" w:color="auto"/>
              <w:right w:val="single" w:sz="4" w:space="0" w:color="auto"/>
            </w:tcBorders>
            <w:shd w:val="clear" w:color="auto" w:fill="FFFFFF" w:themeFill="background1"/>
            <w:vAlign w:val="center"/>
          </w:tcPr>
          <w:p w14:paraId="4EF5B4D6" w14:textId="62BE7C10"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fldChar w:fldCharType="begin"/>
            </w:r>
            <w:r w:rsidRPr="008F5458">
              <w:rPr>
                <w:rFonts w:ascii="Arial" w:eastAsia="Times New Roman" w:hAnsi="Arial" w:cs="Arial"/>
                <w:sz w:val="12"/>
                <w:szCs w:val="12"/>
                <w:lang w:val="en-US"/>
              </w:rPr>
              <w:instrText xml:space="preserve"> REF _Ref528591591 \r \h </w:instrText>
            </w:r>
            <w:r w:rsidR="00EB15B2" w:rsidRPr="008F5458">
              <w:rPr>
                <w:rFonts w:ascii="Arial" w:eastAsia="Times New Roman" w:hAnsi="Arial" w:cs="Arial"/>
                <w:sz w:val="12"/>
                <w:szCs w:val="12"/>
                <w:lang w:val="en-US"/>
              </w:rPr>
              <w:instrText xml:space="preserve"> \* MERGEFORMAT </w:instrText>
            </w:r>
            <w:r w:rsidRPr="008F5458">
              <w:rPr>
                <w:rFonts w:ascii="Arial" w:eastAsia="Times New Roman" w:hAnsi="Arial" w:cs="Arial"/>
                <w:sz w:val="12"/>
                <w:szCs w:val="12"/>
                <w:lang w:val="en-US"/>
              </w:rPr>
            </w:r>
            <w:r w:rsidRPr="008F5458">
              <w:rPr>
                <w:rFonts w:ascii="Arial" w:eastAsia="Times New Roman" w:hAnsi="Arial" w:cs="Arial"/>
                <w:sz w:val="12"/>
                <w:szCs w:val="12"/>
                <w:lang w:val="en-US"/>
              </w:rPr>
              <w:fldChar w:fldCharType="separate"/>
            </w:r>
            <w:r w:rsidR="00E60026">
              <w:rPr>
                <w:rFonts w:ascii="Arial" w:eastAsia="Times New Roman" w:hAnsi="Arial" w:cs="Arial"/>
                <w:sz w:val="12"/>
                <w:szCs w:val="12"/>
                <w:lang w:val="en-US"/>
              </w:rPr>
              <w:t>F</w:t>
            </w:r>
            <w:r w:rsidRPr="008F5458">
              <w:rPr>
                <w:rFonts w:ascii="Arial" w:eastAsia="Times New Roman" w:hAnsi="Arial" w:cs="Arial"/>
                <w:sz w:val="12"/>
                <w:szCs w:val="12"/>
                <w:lang w:val="en-US"/>
              </w:rPr>
              <w:fldChar w:fldCharType="end"/>
            </w:r>
          </w:p>
        </w:tc>
        <w:tc>
          <w:tcPr>
            <w:tcW w:w="892" w:type="dxa"/>
            <w:tcBorders>
              <w:top w:val="nil"/>
              <w:left w:val="nil"/>
              <w:bottom w:val="single" w:sz="4" w:space="0" w:color="auto"/>
              <w:right w:val="single" w:sz="4" w:space="0" w:color="auto"/>
            </w:tcBorders>
            <w:shd w:val="clear" w:color="auto" w:fill="FFFFFF"/>
            <w:vAlign w:val="center"/>
          </w:tcPr>
          <w:p w14:paraId="432752BA"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p>
        </w:tc>
      </w:tr>
      <w:tr w:rsidR="00194111" w:rsidRPr="00724C1F" w14:paraId="2262E971"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7A725A06"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Planned outage (weeks per year)</w:t>
            </w:r>
          </w:p>
        </w:tc>
        <w:tc>
          <w:tcPr>
            <w:tcW w:w="567" w:type="dxa"/>
            <w:tcBorders>
              <w:top w:val="nil"/>
              <w:left w:val="nil"/>
              <w:bottom w:val="single" w:sz="4" w:space="0" w:color="auto"/>
              <w:right w:val="single" w:sz="4" w:space="0" w:color="auto"/>
            </w:tcBorders>
            <w:shd w:val="clear" w:color="auto" w:fill="FFFFFF"/>
            <w:vAlign w:val="center"/>
            <w:hideMark/>
          </w:tcPr>
          <w:p w14:paraId="0FF48FFE" w14:textId="5312A9AF"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0.2</w:t>
            </w:r>
          </w:p>
        </w:tc>
        <w:tc>
          <w:tcPr>
            <w:tcW w:w="757" w:type="dxa"/>
            <w:gridSpan w:val="2"/>
            <w:tcBorders>
              <w:top w:val="nil"/>
              <w:left w:val="nil"/>
              <w:bottom w:val="single" w:sz="4" w:space="0" w:color="auto"/>
              <w:right w:val="single" w:sz="4" w:space="0" w:color="auto"/>
            </w:tcBorders>
            <w:shd w:val="clear" w:color="auto" w:fill="FFFFFF"/>
            <w:vAlign w:val="center"/>
            <w:hideMark/>
          </w:tcPr>
          <w:p w14:paraId="3444C7D5" w14:textId="0E0483E1"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0.2</w:t>
            </w:r>
          </w:p>
        </w:tc>
        <w:tc>
          <w:tcPr>
            <w:tcW w:w="565" w:type="dxa"/>
            <w:tcBorders>
              <w:top w:val="nil"/>
              <w:left w:val="nil"/>
              <w:bottom w:val="single" w:sz="4" w:space="0" w:color="auto"/>
              <w:right w:val="single" w:sz="4" w:space="0" w:color="auto"/>
            </w:tcBorders>
            <w:shd w:val="clear" w:color="auto" w:fill="FFFFFF"/>
            <w:vAlign w:val="center"/>
            <w:hideMark/>
          </w:tcPr>
          <w:p w14:paraId="4DB317EF" w14:textId="5E441864"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w:t>
            </w:r>
          </w:p>
        </w:tc>
        <w:tc>
          <w:tcPr>
            <w:tcW w:w="566" w:type="dxa"/>
            <w:tcBorders>
              <w:top w:val="nil"/>
              <w:left w:val="nil"/>
              <w:bottom w:val="single" w:sz="4" w:space="0" w:color="auto"/>
              <w:right w:val="single" w:sz="4" w:space="0" w:color="auto"/>
            </w:tcBorders>
            <w:shd w:val="clear" w:color="auto" w:fill="FFFFFF"/>
            <w:vAlign w:val="center"/>
          </w:tcPr>
          <w:p w14:paraId="6AAA18B1" w14:textId="30D82C1F"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w:t>
            </w:r>
          </w:p>
        </w:tc>
        <w:tc>
          <w:tcPr>
            <w:tcW w:w="567" w:type="dxa"/>
            <w:tcBorders>
              <w:top w:val="nil"/>
              <w:left w:val="single" w:sz="4" w:space="0" w:color="auto"/>
              <w:bottom w:val="single" w:sz="4" w:space="0" w:color="auto"/>
              <w:right w:val="single" w:sz="4" w:space="0" w:color="auto"/>
            </w:tcBorders>
            <w:shd w:val="clear" w:color="auto" w:fill="FFFFFF"/>
            <w:vAlign w:val="center"/>
          </w:tcPr>
          <w:p w14:paraId="1A823B95" w14:textId="7A9D8826"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w:t>
            </w:r>
          </w:p>
        </w:tc>
        <w:tc>
          <w:tcPr>
            <w:tcW w:w="566" w:type="dxa"/>
            <w:tcBorders>
              <w:top w:val="nil"/>
              <w:left w:val="nil"/>
              <w:bottom w:val="single" w:sz="4" w:space="0" w:color="auto"/>
              <w:right w:val="single" w:sz="4" w:space="0" w:color="auto"/>
            </w:tcBorders>
            <w:shd w:val="clear" w:color="auto" w:fill="FFFFFF"/>
            <w:vAlign w:val="center"/>
          </w:tcPr>
          <w:p w14:paraId="11349195" w14:textId="7AE371AE"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w:t>
            </w:r>
          </w:p>
        </w:tc>
        <w:tc>
          <w:tcPr>
            <w:tcW w:w="566" w:type="dxa"/>
            <w:tcBorders>
              <w:top w:val="nil"/>
              <w:left w:val="nil"/>
              <w:bottom w:val="single" w:sz="4" w:space="0" w:color="auto"/>
              <w:right w:val="single" w:sz="4" w:space="0" w:color="auto"/>
            </w:tcBorders>
            <w:shd w:val="clear" w:color="auto" w:fill="FFFFFF"/>
            <w:vAlign w:val="center"/>
          </w:tcPr>
          <w:p w14:paraId="28C1BB6D" w14:textId="0858E228"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0.25</w:t>
            </w:r>
          </w:p>
        </w:tc>
        <w:tc>
          <w:tcPr>
            <w:tcW w:w="566" w:type="dxa"/>
            <w:tcBorders>
              <w:top w:val="nil"/>
              <w:left w:val="nil"/>
              <w:bottom w:val="single" w:sz="4" w:space="0" w:color="auto"/>
              <w:right w:val="single" w:sz="4" w:space="0" w:color="auto"/>
            </w:tcBorders>
            <w:shd w:val="clear" w:color="auto" w:fill="FFFFFF"/>
            <w:vAlign w:val="center"/>
          </w:tcPr>
          <w:p w14:paraId="2B400437" w14:textId="77727EAC"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0.05</w:t>
            </w:r>
          </w:p>
        </w:tc>
        <w:tc>
          <w:tcPr>
            <w:tcW w:w="566" w:type="dxa"/>
            <w:tcBorders>
              <w:top w:val="nil"/>
              <w:left w:val="nil"/>
              <w:bottom w:val="single" w:sz="4" w:space="0" w:color="auto"/>
              <w:right w:val="single" w:sz="4" w:space="0" w:color="auto"/>
            </w:tcBorders>
            <w:shd w:val="clear" w:color="auto" w:fill="FFFFFF"/>
            <w:vAlign w:val="center"/>
          </w:tcPr>
          <w:p w14:paraId="51EE6D9F" w14:textId="7E7275D5"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0.2</w:t>
            </w:r>
          </w:p>
        </w:tc>
        <w:tc>
          <w:tcPr>
            <w:tcW w:w="566" w:type="dxa"/>
            <w:tcBorders>
              <w:top w:val="nil"/>
              <w:left w:val="nil"/>
              <w:bottom w:val="single" w:sz="4" w:space="0" w:color="auto"/>
              <w:right w:val="single" w:sz="4" w:space="0" w:color="auto"/>
            </w:tcBorders>
            <w:shd w:val="clear" w:color="auto" w:fill="FFFFFF" w:themeFill="background1"/>
            <w:vAlign w:val="center"/>
          </w:tcPr>
          <w:p w14:paraId="42F05D14" w14:textId="40AA51DF"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fldChar w:fldCharType="begin"/>
            </w:r>
            <w:r w:rsidRPr="008F5458">
              <w:rPr>
                <w:rFonts w:ascii="Arial" w:eastAsia="Times New Roman" w:hAnsi="Arial" w:cs="Arial"/>
                <w:sz w:val="12"/>
                <w:szCs w:val="12"/>
                <w:lang w:val="en-US"/>
              </w:rPr>
              <w:instrText xml:space="preserve"> REF _Ref528591591 \r \h </w:instrText>
            </w:r>
            <w:r w:rsidR="00EB15B2" w:rsidRPr="008F5458">
              <w:rPr>
                <w:rFonts w:ascii="Arial" w:eastAsia="Times New Roman" w:hAnsi="Arial" w:cs="Arial"/>
                <w:sz w:val="12"/>
                <w:szCs w:val="12"/>
                <w:lang w:val="en-US"/>
              </w:rPr>
              <w:instrText xml:space="preserve"> \* MERGEFORMAT </w:instrText>
            </w:r>
            <w:r w:rsidRPr="008F5458">
              <w:rPr>
                <w:rFonts w:ascii="Arial" w:eastAsia="Times New Roman" w:hAnsi="Arial" w:cs="Arial"/>
                <w:sz w:val="12"/>
                <w:szCs w:val="12"/>
                <w:lang w:val="en-US"/>
              </w:rPr>
            </w:r>
            <w:r w:rsidRPr="008F5458">
              <w:rPr>
                <w:rFonts w:ascii="Arial" w:eastAsia="Times New Roman" w:hAnsi="Arial" w:cs="Arial"/>
                <w:sz w:val="12"/>
                <w:szCs w:val="12"/>
                <w:lang w:val="en-US"/>
              </w:rPr>
              <w:fldChar w:fldCharType="separate"/>
            </w:r>
            <w:r w:rsidR="00E60026">
              <w:rPr>
                <w:rFonts w:ascii="Arial" w:eastAsia="Times New Roman" w:hAnsi="Arial" w:cs="Arial"/>
                <w:sz w:val="12"/>
                <w:szCs w:val="12"/>
                <w:lang w:val="en-US"/>
              </w:rPr>
              <w:t>F</w:t>
            </w:r>
            <w:r w:rsidRPr="008F5458">
              <w:rPr>
                <w:rFonts w:ascii="Arial" w:eastAsia="Times New Roman" w:hAnsi="Arial" w:cs="Arial"/>
                <w:sz w:val="12"/>
                <w:szCs w:val="12"/>
                <w:lang w:val="en-US"/>
              </w:rPr>
              <w:fldChar w:fldCharType="end"/>
            </w:r>
          </w:p>
        </w:tc>
        <w:tc>
          <w:tcPr>
            <w:tcW w:w="892" w:type="dxa"/>
            <w:tcBorders>
              <w:top w:val="nil"/>
              <w:left w:val="nil"/>
              <w:bottom w:val="single" w:sz="4" w:space="0" w:color="auto"/>
              <w:right w:val="single" w:sz="4" w:space="0" w:color="auto"/>
            </w:tcBorders>
            <w:shd w:val="clear" w:color="auto" w:fill="FFFFFF"/>
            <w:vAlign w:val="center"/>
          </w:tcPr>
          <w:p w14:paraId="1A2FACD2"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p>
        </w:tc>
      </w:tr>
      <w:tr w:rsidR="00194111" w:rsidRPr="007D5B8E" w14:paraId="7BD9E8D7"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47A24B1F"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Technical lifetime (years)</w:t>
            </w:r>
          </w:p>
        </w:tc>
        <w:tc>
          <w:tcPr>
            <w:tcW w:w="567" w:type="dxa"/>
            <w:tcBorders>
              <w:top w:val="nil"/>
              <w:left w:val="nil"/>
              <w:bottom w:val="single" w:sz="4" w:space="0" w:color="auto"/>
              <w:right w:val="single" w:sz="4" w:space="0" w:color="auto"/>
            </w:tcBorders>
            <w:shd w:val="clear" w:color="auto" w:fill="FFFFFF"/>
            <w:vAlign w:val="center"/>
            <w:hideMark/>
          </w:tcPr>
          <w:p w14:paraId="3828D182"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15</w:t>
            </w:r>
          </w:p>
        </w:tc>
        <w:tc>
          <w:tcPr>
            <w:tcW w:w="757" w:type="dxa"/>
            <w:gridSpan w:val="2"/>
            <w:tcBorders>
              <w:top w:val="nil"/>
              <w:left w:val="nil"/>
              <w:bottom w:val="single" w:sz="4" w:space="0" w:color="auto"/>
              <w:right w:val="single" w:sz="4" w:space="0" w:color="auto"/>
            </w:tcBorders>
            <w:shd w:val="clear" w:color="auto" w:fill="FFFFFF"/>
            <w:vAlign w:val="center"/>
            <w:hideMark/>
          </w:tcPr>
          <w:p w14:paraId="10FA3BA0"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20</w:t>
            </w:r>
          </w:p>
        </w:tc>
        <w:tc>
          <w:tcPr>
            <w:tcW w:w="565" w:type="dxa"/>
            <w:tcBorders>
              <w:top w:val="nil"/>
              <w:left w:val="nil"/>
              <w:bottom w:val="single" w:sz="4" w:space="0" w:color="auto"/>
              <w:right w:val="single" w:sz="4" w:space="0" w:color="auto"/>
            </w:tcBorders>
            <w:shd w:val="clear" w:color="auto" w:fill="FFFFFF"/>
            <w:vAlign w:val="center"/>
            <w:hideMark/>
          </w:tcPr>
          <w:p w14:paraId="6ACE22F8"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25</w:t>
            </w:r>
          </w:p>
        </w:tc>
        <w:tc>
          <w:tcPr>
            <w:tcW w:w="566" w:type="dxa"/>
            <w:tcBorders>
              <w:top w:val="nil"/>
              <w:left w:val="nil"/>
              <w:bottom w:val="single" w:sz="4" w:space="0" w:color="auto"/>
              <w:right w:val="single" w:sz="4" w:space="0" w:color="auto"/>
            </w:tcBorders>
            <w:shd w:val="clear" w:color="auto" w:fill="FFFFFF"/>
            <w:vAlign w:val="center"/>
          </w:tcPr>
          <w:p w14:paraId="012066A1"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30</w:t>
            </w:r>
          </w:p>
        </w:tc>
        <w:tc>
          <w:tcPr>
            <w:tcW w:w="567" w:type="dxa"/>
            <w:tcBorders>
              <w:top w:val="nil"/>
              <w:left w:val="single" w:sz="4" w:space="0" w:color="auto"/>
              <w:bottom w:val="single" w:sz="4" w:space="0" w:color="auto"/>
              <w:right w:val="single" w:sz="4" w:space="0" w:color="auto"/>
            </w:tcBorders>
            <w:shd w:val="clear" w:color="auto" w:fill="FFFFFF"/>
            <w:vAlign w:val="center"/>
          </w:tcPr>
          <w:p w14:paraId="530DDC91"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30</w:t>
            </w:r>
          </w:p>
        </w:tc>
        <w:tc>
          <w:tcPr>
            <w:tcW w:w="566" w:type="dxa"/>
            <w:tcBorders>
              <w:top w:val="nil"/>
              <w:left w:val="nil"/>
              <w:bottom w:val="single" w:sz="4" w:space="0" w:color="auto"/>
              <w:right w:val="single" w:sz="4" w:space="0" w:color="auto"/>
            </w:tcBorders>
            <w:shd w:val="clear" w:color="auto" w:fill="FFFFFF"/>
            <w:vAlign w:val="center"/>
            <w:hideMark/>
          </w:tcPr>
          <w:p w14:paraId="55D39BB7" w14:textId="44D7B65B"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15</w:t>
            </w:r>
          </w:p>
        </w:tc>
        <w:tc>
          <w:tcPr>
            <w:tcW w:w="566" w:type="dxa"/>
            <w:tcBorders>
              <w:top w:val="nil"/>
              <w:left w:val="nil"/>
              <w:bottom w:val="single" w:sz="4" w:space="0" w:color="auto"/>
              <w:right w:val="single" w:sz="4" w:space="0" w:color="auto"/>
            </w:tcBorders>
            <w:shd w:val="clear" w:color="auto" w:fill="FFFFFF"/>
            <w:vAlign w:val="center"/>
          </w:tcPr>
          <w:p w14:paraId="32099625" w14:textId="0A117C99"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25</w:t>
            </w:r>
          </w:p>
        </w:tc>
        <w:tc>
          <w:tcPr>
            <w:tcW w:w="566" w:type="dxa"/>
            <w:tcBorders>
              <w:top w:val="nil"/>
              <w:left w:val="nil"/>
              <w:bottom w:val="single" w:sz="4" w:space="0" w:color="auto"/>
              <w:right w:val="single" w:sz="4" w:space="0" w:color="auto"/>
            </w:tcBorders>
            <w:shd w:val="clear" w:color="auto" w:fill="FFFFFF"/>
            <w:vAlign w:val="center"/>
          </w:tcPr>
          <w:p w14:paraId="34D1DB0A" w14:textId="5BE5A710"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20</w:t>
            </w:r>
          </w:p>
        </w:tc>
        <w:tc>
          <w:tcPr>
            <w:tcW w:w="566" w:type="dxa"/>
            <w:tcBorders>
              <w:top w:val="nil"/>
              <w:left w:val="nil"/>
              <w:bottom w:val="single" w:sz="4" w:space="0" w:color="auto"/>
              <w:right w:val="single" w:sz="4" w:space="0" w:color="auto"/>
            </w:tcBorders>
            <w:shd w:val="clear" w:color="auto" w:fill="FFFFFF"/>
            <w:vAlign w:val="center"/>
          </w:tcPr>
          <w:p w14:paraId="71CCE10D" w14:textId="1446F478"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45</w:t>
            </w:r>
          </w:p>
        </w:tc>
        <w:tc>
          <w:tcPr>
            <w:tcW w:w="566" w:type="dxa"/>
            <w:tcBorders>
              <w:top w:val="nil"/>
              <w:left w:val="nil"/>
              <w:bottom w:val="single" w:sz="4" w:space="0" w:color="auto"/>
              <w:right w:val="single" w:sz="4" w:space="0" w:color="auto"/>
            </w:tcBorders>
            <w:shd w:val="clear" w:color="auto" w:fill="FFFFFF"/>
            <w:vAlign w:val="center"/>
          </w:tcPr>
          <w:p w14:paraId="5BE2A86E" w14:textId="6113AC9B"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fldChar w:fldCharType="begin"/>
            </w:r>
            <w:r w:rsidRPr="008F5458">
              <w:rPr>
                <w:rFonts w:ascii="Arial" w:eastAsia="Times New Roman" w:hAnsi="Arial" w:cs="Arial"/>
                <w:sz w:val="12"/>
                <w:szCs w:val="12"/>
                <w:lang w:val="en-US"/>
              </w:rPr>
              <w:instrText xml:space="preserve"> REF _Ref528592058 \r \h </w:instrText>
            </w:r>
            <w:r w:rsidR="00EB15B2" w:rsidRPr="008F5458">
              <w:rPr>
                <w:rFonts w:ascii="Arial" w:eastAsia="Times New Roman" w:hAnsi="Arial" w:cs="Arial"/>
                <w:sz w:val="12"/>
                <w:szCs w:val="12"/>
                <w:lang w:val="en-US"/>
              </w:rPr>
              <w:instrText xml:space="preserve"> \* MERGEFORMAT </w:instrText>
            </w:r>
            <w:r w:rsidRPr="008F5458">
              <w:rPr>
                <w:rFonts w:ascii="Arial" w:eastAsia="Times New Roman" w:hAnsi="Arial" w:cs="Arial"/>
                <w:sz w:val="12"/>
                <w:szCs w:val="12"/>
                <w:lang w:val="en-US"/>
              </w:rPr>
            </w:r>
            <w:r w:rsidRPr="008F5458">
              <w:rPr>
                <w:rFonts w:ascii="Arial" w:eastAsia="Times New Roman" w:hAnsi="Arial" w:cs="Arial"/>
                <w:sz w:val="12"/>
                <w:szCs w:val="12"/>
                <w:lang w:val="en-US"/>
              </w:rPr>
              <w:fldChar w:fldCharType="separate"/>
            </w:r>
            <w:r w:rsidR="00E60026">
              <w:rPr>
                <w:rFonts w:ascii="Arial" w:eastAsia="Times New Roman" w:hAnsi="Arial" w:cs="Arial"/>
                <w:sz w:val="12"/>
                <w:szCs w:val="12"/>
                <w:lang w:val="en-US"/>
              </w:rPr>
              <w:t>G</w:t>
            </w:r>
            <w:r w:rsidRPr="008F5458">
              <w:rPr>
                <w:rFonts w:ascii="Arial" w:eastAsia="Times New Roman" w:hAnsi="Arial" w:cs="Arial"/>
                <w:sz w:val="12"/>
                <w:szCs w:val="12"/>
                <w:lang w:val="en-US"/>
              </w:rPr>
              <w:fldChar w:fldCharType="end"/>
            </w:r>
          </w:p>
        </w:tc>
        <w:tc>
          <w:tcPr>
            <w:tcW w:w="892" w:type="dxa"/>
            <w:tcBorders>
              <w:top w:val="nil"/>
              <w:left w:val="nil"/>
              <w:bottom w:val="single" w:sz="4" w:space="0" w:color="auto"/>
              <w:right w:val="single" w:sz="4" w:space="0" w:color="auto"/>
            </w:tcBorders>
            <w:shd w:val="clear" w:color="auto" w:fill="FFFFFF"/>
            <w:vAlign w:val="center"/>
          </w:tcPr>
          <w:p w14:paraId="216475C7" w14:textId="6969E5EA"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fldLock="1"/>
            </w:r>
            <w:r w:rsidRPr="008F5458">
              <w:rPr>
                <w:rFonts w:ascii="Arial" w:eastAsia="Times New Roman" w:hAnsi="Arial" w:cs="Arial"/>
                <w:sz w:val="12"/>
                <w:szCs w:val="12"/>
                <w:lang w:val="en-US"/>
              </w:rPr>
              <w:instrText>ADDIN CSL_CITATION {"citationItems":[{"id":"ITEM-1","itemData":{"URL":"http://www.samsungsdi.com/upload/ess_brochure/Samsung SDI brochure_EN.pdf","author":[{"dropping-particle":"","family":"Samsung","given":"","non-dropping-particle":"","parse-names":false,"suffix":""}],"id":"ITEM-1","issued":{"date-parts":[["2016"]]},"title":"Smart Battery Systems for Energy Storage","type":"webpage"},"uris":["http://www.mendeley.com/documents/?uuid=aa5734ba-3c56-47bf-9618-c8840e938469"]},{"id":"ITEM-2","itemData":{"author":[{"dropping-particle":"","family":"Kokam Co.","given":"Ltd.","non-dropping-particle":"","parse-names":false,"suffix":""}],"id":"ITEM-2","issued":{"date-parts":[["2018"]]},"title":"Total Energy Storage Solution Provider","type":"article-journal"},"uris":["http://www.mendeley.com/documents/?uuid=6292833a-db6b-4e5f-a323-c417fd09c817"]},{"id":"ITEM-3","itemData":{"URL":"https://www.ads-tec.de/fileadmin/download/doc/brochure/Datasheet_Energy_Industrial_EN.pdf","author":[{"dropping-particle":"","family":"adstec","given":"","non-dropping-particle":"","parse-names":false,"suffix":""}],"id":"ITEM-3","issued":{"date-parts":[["2018"]]},"title":"StoraXe Industrial &amp; Infrastructure Scalable battery storage system","type":"webpage"},"uris":["http://www.mendeley.com/documents/?uuid=2f3bd72e-b3eb-48ee-ad97-c8a6359d05f0"]},{"id":"ITEM-4","item</w:instrText>
            </w:r>
            <w:r w:rsidRPr="008F5458">
              <w:rPr>
                <w:rFonts w:ascii="Arial" w:eastAsia="Times New Roman" w:hAnsi="Arial" w:cs="Arial"/>
                <w:sz w:val="12"/>
                <w:szCs w:val="12"/>
              </w:rPr>
              <w:instrText>Data":{"URL":"https://altairnano.com/products/battery-module/","author":[{"dropping-particle":"","family":"Altairnano","given":"","non-dropping-particle":"","parse-names":false,"suffix":""}],"id":"ITEM-4","issued":{"date-parts":[["2012"]]},"title":"24 V 60 Ah Battery Module","type":"webpage"},"uris":["http://www.mendeley.com/documents/?uuid=81122ff2-417c-43c8-9f26-cd5429df5b14"]}],"mendeley":{"formattedCitation":"[3,5,8,14]","plainTextFormattedCitation":"[3,5,8,14]","previouslyFormattedCitation":"[3,5,8,14]"},"properties":{"noteIndex":0},"schema":"https://github.com/citation-style-language/schema/raw/master/csl-citation.json"}</w:instrText>
            </w:r>
            <w:r w:rsidRPr="008F5458">
              <w:rPr>
                <w:rFonts w:ascii="Arial" w:eastAsia="Times New Roman" w:hAnsi="Arial" w:cs="Arial"/>
                <w:sz w:val="12"/>
                <w:szCs w:val="12"/>
              </w:rPr>
              <w:fldChar w:fldCharType="separate"/>
            </w:r>
            <w:r w:rsidRPr="008F5458">
              <w:rPr>
                <w:rFonts w:ascii="Arial" w:eastAsia="Times New Roman" w:hAnsi="Arial" w:cs="Arial"/>
                <w:noProof/>
                <w:sz w:val="12"/>
                <w:szCs w:val="12"/>
              </w:rPr>
              <w:t>[3,5,8,14]</w:t>
            </w:r>
            <w:r w:rsidRPr="008F5458">
              <w:rPr>
                <w:rFonts w:ascii="Arial" w:eastAsia="Times New Roman" w:hAnsi="Arial" w:cs="Arial"/>
                <w:sz w:val="12"/>
                <w:szCs w:val="12"/>
              </w:rPr>
              <w:fldChar w:fldCharType="end"/>
            </w:r>
          </w:p>
        </w:tc>
      </w:tr>
      <w:tr w:rsidR="00194111" w:rsidRPr="007D5B8E" w14:paraId="41235770"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71C6797D"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Construction time (</w:t>
            </w:r>
            <w:proofErr w:type="spellStart"/>
            <w:r w:rsidRPr="008F5458">
              <w:rPr>
                <w:rFonts w:ascii="Arial" w:eastAsia="Times New Roman" w:hAnsi="Arial" w:cs="Arial"/>
                <w:sz w:val="12"/>
                <w:szCs w:val="12"/>
              </w:rPr>
              <w:t>years</w:t>
            </w:r>
            <w:proofErr w:type="spellEnd"/>
            <w:r w:rsidRPr="008F5458">
              <w:rPr>
                <w:rFonts w:ascii="Arial" w:eastAsia="Times New Roman" w:hAnsi="Arial" w:cs="Arial"/>
                <w:sz w:val="12"/>
                <w:szCs w:val="12"/>
              </w:rPr>
              <w:t>)</w:t>
            </w:r>
          </w:p>
        </w:tc>
        <w:tc>
          <w:tcPr>
            <w:tcW w:w="567" w:type="dxa"/>
            <w:tcBorders>
              <w:top w:val="nil"/>
              <w:left w:val="nil"/>
              <w:bottom w:val="single" w:sz="4" w:space="0" w:color="auto"/>
              <w:right w:val="single" w:sz="4" w:space="0" w:color="auto"/>
            </w:tcBorders>
            <w:shd w:val="clear" w:color="auto" w:fill="FFFFFF"/>
            <w:vAlign w:val="center"/>
            <w:hideMark/>
          </w:tcPr>
          <w:p w14:paraId="662F9423"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0.25</w:t>
            </w:r>
          </w:p>
        </w:tc>
        <w:tc>
          <w:tcPr>
            <w:tcW w:w="757" w:type="dxa"/>
            <w:gridSpan w:val="2"/>
            <w:tcBorders>
              <w:top w:val="nil"/>
              <w:left w:val="nil"/>
              <w:bottom w:val="single" w:sz="4" w:space="0" w:color="auto"/>
              <w:right w:val="single" w:sz="4" w:space="0" w:color="auto"/>
            </w:tcBorders>
            <w:shd w:val="clear" w:color="auto" w:fill="FFFFFF"/>
            <w:vAlign w:val="center"/>
            <w:hideMark/>
          </w:tcPr>
          <w:p w14:paraId="4A52F9ED" w14:textId="77777777" w:rsidR="00194111" w:rsidRPr="008F5458" w:rsidRDefault="00194111" w:rsidP="008F5458">
            <w:pPr>
              <w:spacing w:before="100" w:beforeAutospacing="1" w:after="100" w:afterAutospacing="1" w:line="240" w:lineRule="auto"/>
              <w:jc w:val="center"/>
              <w:rPr>
                <w:rFonts w:ascii="Arial" w:hAnsi="Arial" w:cs="Arial"/>
                <w:sz w:val="12"/>
                <w:szCs w:val="12"/>
              </w:rPr>
            </w:pPr>
            <w:proofErr w:type="gramStart"/>
            <w:r w:rsidRPr="008F5458">
              <w:rPr>
                <w:rFonts w:ascii="Arial" w:eastAsia="Times New Roman" w:hAnsi="Arial" w:cs="Arial"/>
                <w:sz w:val="12"/>
                <w:szCs w:val="12"/>
              </w:rPr>
              <w:t>0.2</w:t>
            </w:r>
            <w:proofErr w:type="gramEnd"/>
          </w:p>
        </w:tc>
        <w:tc>
          <w:tcPr>
            <w:tcW w:w="565" w:type="dxa"/>
            <w:tcBorders>
              <w:top w:val="nil"/>
              <w:left w:val="nil"/>
              <w:bottom w:val="single" w:sz="4" w:space="0" w:color="auto"/>
              <w:right w:val="single" w:sz="4" w:space="0" w:color="auto"/>
            </w:tcBorders>
            <w:shd w:val="clear" w:color="auto" w:fill="FFFFFF"/>
            <w:vAlign w:val="center"/>
            <w:hideMark/>
          </w:tcPr>
          <w:p w14:paraId="6C4AD28F" w14:textId="77777777" w:rsidR="00194111" w:rsidRPr="008F5458" w:rsidRDefault="00194111" w:rsidP="008F5458">
            <w:pPr>
              <w:spacing w:before="100" w:beforeAutospacing="1" w:after="100" w:afterAutospacing="1" w:line="240" w:lineRule="auto"/>
              <w:jc w:val="center"/>
              <w:rPr>
                <w:rFonts w:ascii="Arial" w:hAnsi="Arial" w:cs="Arial"/>
                <w:sz w:val="12"/>
                <w:szCs w:val="12"/>
              </w:rPr>
            </w:pPr>
            <w:proofErr w:type="gramStart"/>
            <w:r w:rsidRPr="008F5458">
              <w:rPr>
                <w:rFonts w:ascii="Arial" w:eastAsia="Times New Roman" w:hAnsi="Arial" w:cs="Arial"/>
                <w:sz w:val="12"/>
                <w:szCs w:val="12"/>
              </w:rPr>
              <w:t>0.2</w:t>
            </w:r>
            <w:proofErr w:type="gramEnd"/>
          </w:p>
        </w:tc>
        <w:tc>
          <w:tcPr>
            <w:tcW w:w="566" w:type="dxa"/>
            <w:tcBorders>
              <w:top w:val="nil"/>
              <w:left w:val="nil"/>
              <w:bottom w:val="single" w:sz="4" w:space="0" w:color="auto"/>
              <w:right w:val="single" w:sz="4" w:space="0" w:color="auto"/>
            </w:tcBorders>
            <w:shd w:val="clear" w:color="auto" w:fill="FFFFFF"/>
            <w:vAlign w:val="center"/>
          </w:tcPr>
          <w:p w14:paraId="0D7CB382" w14:textId="77777777" w:rsidR="00194111" w:rsidRPr="008F5458" w:rsidRDefault="00194111" w:rsidP="008F5458">
            <w:pPr>
              <w:spacing w:before="100" w:beforeAutospacing="1" w:after="100" w:afterAutospacing="1" w:line="240" w:lineRule="auto"/>
              <w:jc w:val="center"/>
              <w:rPr>
                <w:rFonts w:ascii="Arial" w:hAnsi="Arial" w:cs="Arial"/>
                <w:sz w:val="12"/>
                <w:szCs w:val="12"/>
              </w:rPr>
            </w:pPr>
            <w:proofErr w:type="gramStart"/>
            <w:r w:rsidRPr="008F5458">
              <w:rPr>
                <w:rFonts w:ascii="Arial" w:hAnsi="Arial" w:cs="Arial"/>
                <w:sz w:val="12"/>
                <w:szCs w:val="12"/>
              </w:rPr>
              <w:t>0.2</w:t>
            </w:r>
            <w:proofErr w:type="gramEnd"/>
          </w:p>
        </w:tc>
        <w:tc>
          <w:tcPr>
            <w:tcW w:w="567" w:type="dxa"/>
            <w:tcBorders>
              <w:top w:val="nil"/>
              <w:left w:val="single" w:sz="4" w:space="0" w:color="auto"/>
              <w:bottom w:val="single" w:sz="4" w:space="0" w:color="auto"/>
              <w:right w:val="single" w:sz="4" w:space="0" w:color="auto"/>
            </w:tcBorders>
            <w:shd w:val="clear" w:color="auto" w:fill="FFFFFF"/>
            <w:vAlign w:val="center"/>
          </w:tcPr>
          <w:p w14:paraId="03FF49F0" w14:textId="77777777" w:rsidR="00194111" w:rsidRPr="008F5458" w:rsidRDefault="00194111" w:rsidP="008F5458">
            <w:pPr>
              <w:spacing w:before="100" w:beforeAutospacing="1" w:after="100" w:afterAutospacing="1" w:line="240" w:lineRule="auto"/>
              <w:jc w:val="center"/>
              <w:rPr>
                <w:rFonts w:ascii="Arial" w:hAnsi="Arial" w:cs="Arial"/>
                <w:sz w:val="12"/>
                <w:szCs w:val="12"/>
              </w:rPr>
            </w:pPr>
            <w:proofErr w:type="gramStart"/>
            <w:r w:rsidRPr="008F5458">
              <w:rPr>
                <w:rFonts w:ascii="Arial" w:hAnsi="Arial" w:cs="Arial"/>
                <w:sz w:val="12"/>
                <w:szCs w:val="12"/>
              </w:rPr>
              <w:t>0.2</w:t>
            </w:r>
            <w:proofErr w:type="gramEnd"/>
          </w:p>
        </w:tc>
        <w:tc>
          <w:tcPr>
            <w:tcW w:w="566" w:type="dxa"/>
            <w:tcBorders>
              <w:top w:val="nil"/>
              <w:left w:val="nil"/>
              <w:bottom w:val="single" w:sz="4" w:space="0" w:color="auto"/>
              <w:right w:val="single" w:sz="4" w:space="0" w:color="auto"/>
            </w:tcBorders>
            <w:shd w:val="clear" w:color="auto" w:fill="FFFFFF"/>
            <w:vAlign w:val="center"/>
          </w:tcPr>
          <w:p w14:paraId="73C42924" w14:textId="606144AC"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0.2</w:t>
            </w:r>
            <w:proofErr w:type="gramEnd"/>
          </w:p>
        </w:tc>
        <w:tc>
          <w:tcPr>
            <w:tcW w:w="566" w:type="dxa"/>
            <w:tcBorders>
              <w:top w:val="nil"/>
              <w:left w:val="nil"/>
              <w:bottom w:val="single" w:sz="4" w:space="0" w:color="auto"/>
              <w:right w:val="single" w:sz="4" w:space="0" w:color="auto"/>
            </w:tcBorders>
            <w:shd w:val="clear" w:color="auto" w:fill="FFFFFF"/>
            <w:vAlign w:val="center"/>
          </w:tcPr>
          <w:p w14:paraId="476B49AE" w14:textId="603D7DEE"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0.25</w:t>
            </w:r>
          </w:p>
        </w:tc>
        <w:tc>
          <w:tcPr>
            <w:tcW w:w="566" w:type="dxa"/>
            <w:tcBorders>
              <w:top w:val="nil"/>
              <w:left w:val="nil"/>
              <w:bottom w:val="single" w:sz="4" w:space="0" w:color="auto"/>
              <w:right w:val="single" w:sz="4" w:space="0" w:color="auto"/>
            </w:tcBorders>
            <w:shd w:val="clear" w:color="auto" w:fill="FFFFFF"/>
            <w:vAlign w:val="center"/>
          </w:tcPr>
          <w:p w14:paraId="79F67EEF" w14:textId="21C1B28C"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0.1</w:t>
            </w:r>
            <w:proofErr w:type="gramEnd"/>
          </w:p>
        </w:tc>
        <w:tc>
          <w:tcPr>
            <w:tcW w:w="566" w:type="dxa"/>
            <w:tcBorders>
              <w:top w:val="nil"/>
              <w:left w:val="nil"/>
              <w:bottom w:val="single" w:sz="4" w:space="0" w:color="auto"/>
              <w:right w:val="single" w:sz="4" w:space="0" w:color="auto"/>
            </w:tcBorders>
            <w:shd w:val="clear" w:color="auto" w:fill="FFFFFF"/>
            <w:vAlign w:val="center"/>
          </w:tcPr>
          <w:p w14:paraId="00709828" w14:textId="635152F3"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0.25</w:t>
            </w:r>
          </w:p>
        </w:tc>
        <w:tc>
          <w:tcPr>
            <w:tcW w:w="566" w:type="dxa"/>
            <w:tcBorders>
              <w:top w:val="nil"/>
              <w:left w:val="nil"/>
              <w:bottom w:val="single" w:sz="4" w:space="0" w:color="auto"/>
              <w:right w:val="single" w:sz="4" w:space="0" w:color="auto"/>
            </w:tcBorders>
            <w:shd w:val="clear" w:color="auto" w:fill="FFFFFF"/>
            <w:vAlign w:val="center"/>
          </w:tcPr>
          <w:p w14:paraId="7A89D76C" w14:textId="3178530D"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892" w:type="dxa"/>
            <w:tcBorders>
              <w:top w:val="nil"/>
              <w:left w:val="nil"/>
              <w:bottom w:val="single" w:sz="4" w:space="0" w:color="auto"/>
              <w:right w:val="single" w:sz="4" w:space="0" w:color="auto"/>
            </w:tcBorders>
            <w:shd w:val="clear" w:color="auto" w:fill="FFFFFF"/>
            <w:vAlign w:val="center"/>
          </w:tcPr>
          <w:p w14:paraId="151A407A"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r>
      <w:tr w:rsidR="00194111" w:rsidRPr="007D5B8E" w14:paraId="35DDE705" w14:textId="77777777" w:rsidTr="008F5458">
        <w:trPr>
          <w:trHeight w:hRule="exact" w:val="255"/>
        </w:trPr>
        <w:tc>
          <w:tcPr>
            <w:tcW w:w="2127" w:type="dxa"/>
            <w:gridSpan w:val="2"/>
            <w:tcBorders>
              <w:top w:val="nil"/>
              <w:left w:val="single" w:sz="4" w:space="0" w:color="auto"/>
              <w:bottom w:val="single" w:sz="4" w:space="0" w:color="auto"/>
              <w:right w:val="nil"/>
            </w:tcBorders>
            <w:shd w:val="clear" w:color="auto" w:fill="FFFFFF"/>
            <w:vAlign w:val="center"/>
            <w:hideMark/>
          </w:tcPr>
          <w:p w14:paraId="03DE37FC" w14:textId="77777777" w:rsidR="00194111" w:rsidRPr="008F5458" w:rsidRDefault="00194111" w:rsidP="008F5458">
            <w:pPr>
              <w:spacing w:before="100" w:beforeAutospacing="1" w:after="100" w:afterAutospacing="1" w:line="240" w:lineRule="auto"/>
              <w:jc w:val="center"/>
              <w:rPr>
                <w:rFonts w:ascii="Arial" w:hAnsi="Arial" w:cs="Arial"/>
                <w:sz w:val="12"/>
                <w:szCs w:val="12"/>
              </w:rPr>
            </w:pPr>
          </w:p>
        </w:tc>
        <w:tc>
          <w:tcPr>
            <w:tcW w:w="567" w:type="dxa"/>
            <w:tcBorders>
              <w:top w:val="nil"/>
              <w:left w:val="single" w:sz="4" w:space="0" w:color="auto"/>
              <w:bottom w:val="single" w:sz="4" w:space="0" w:color="auto"/>
              <w:right w:val="single" w:sz="4" w:space="0" w:color="auto"/>
            </w:tcBorders>
            <w:shd w:val="clear" w:color="auto" w:fill="FFFFFF"/>
            <w:vAlign w:val="center"/>
          </w:tcPr>
          <w:p w14:paraId="7F167F48"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757" w:type="dxa"/>
            <w:gridSpan w:val="2"/>
            <w:tcBorders>
              <w:top w:val="nil"/>
              <w:left w:val="nil"/>
              <w:bottom w:val="single" w:sz="4" w:space="0" w:color="auto"/>
              <w:right w:val="single" w:sz="4" w:space="0" w:color="auto"/>
            </w:tcBorders>
            <w:shd w:val="clear" w:color="auto" w:fill="FFFFFF"/>
            <w:vAlign w:val="center"/>
          </w:tcPr>
          <w:p w14:paraId="1D1DEAF7"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5" w:type="dxa"/>
            <w:tcBorders>
              <w:top w:val="nil"/>
              <w:left w:val="nil"/>
              <w:bottom w:val="single" w:sz="4" w:space="0" w:color="auto"/>
              <w:right w:val="single" w:sz="4" w:space="0" w:color="auto"/>
            </w:tcBorders>
            <w:shd w:val="clear" w:color="auto" w:fill="FFFFFF"/>
            <w:vAlign w:val="center"/>
          </w:tcPr>
          <w:p w14:paraId="1FCBB84F"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656A797A"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7" w:type="dxa"/>
            <w:tcBorders>
              <w:top w:val="nil"/>
              <w:left w:val="single" w:sz="4" w:space="0" w:color="auto"/>
              <w:bottom w:val="single" w:sz="4" w:space="0" w:color="auto"/>
              <w:right w:val="single" w:sz="4" w:space="0" w:color="auto"/>
            </w:tcBorders>
            <w:shd w:val="clear" w:color="auto" w:fill="FFFFFF"/>
            <w:vAlign w:val="center"/>
          </w:tcPr>
          <w:p w14:paraId="40C321CD"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18F47F34"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76C0BD89"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5B343431"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7CC32CB7"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nil"/>
              <w:left w:val="nil"/>
              <w:bottom w:val="single" w:sz="4" w:space="0" w:color="auto"/>
              <w:right w:val="single" w:sz="4" w:space="0" w:color="auto"/>
            </w:tcBorders>
            <w:shd w:val="clear" w:color="auto" w:fill="FFFFFF"/>
            <w:vAlign w:val="center"/>
          </w:tcPr>
          <w:p w14:paraId="66975E6A"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892" w:type="dxa"/>
            <w:tcBorders>
              <w:top w:val="nil"/>
              <w:left w:val="nil"/>
              <w:bottom w:val="single" w:sz="4" w:space="0" w:color="auto"/>
              <w:right w:val="single" w:sz="4" w:space="0" w:color="auto"/>
            </w:tcBorders>
            <w:shd w:val="clear" w:color="auto" w:fill="FFFFFF"/>
            <w:vAlign w:val="center"/>
          </w:tcPr>
          <w:p w14:paraId="580E051D"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r>
      <w:tr w:rsidR="00194111" w:rsidRPr="007D5B8E" w14:paraId="26EFBAC2" w14:textId="77777777" w:rsidTr="008F5458">
        <w:trPr>
          <w:trHeight w:hRule="exact" w:val="255"/>
        </w:trPr>
        <w:tc>
          <w:tcPr>
            <w:tcW w:w="565" w:type="dxa"/>
            <w:tcBorders>
              <w:top w:val="single" w:sz="4" w:space="0" w:color="auto"/>
              <w:left w:val="single" w:sz="4" w:space="0" w:color="auto"/>
              <w:bottom w:val="single" w:sz="4" w:space="0" w:color="auto"/>
              <w:right w:val="single" w:sz="4" w:space="0" w:color="auto"/>
            </w:tcBorders>
            <w:shd w:val="clear" w:color="auto" w:fill="FFFFFF"/>
            <w:vAlign w:val="center"/>
          </w:tcPr>
          <w:p w14:paraId="1CF48D6D" w14:textId="77777777" w:rsidR="00194111" w:rsidRPr="008F5458" w:rsidRDefault="00194111" w:rsidP="008F5458">
            <w:pPr>
              <w:spacing w:before="100" w:beforeAutospacing="1" w:after="100" w:afterAutospacing="1" w:line="240" w:lineRule="auto"/>
              <w:jc w:val="center"/>
              <w:rPr>
                <w:rFonts w:ascii="Arial" w:eastAsia="Times New Roman" w:hAnsi="Arial" w:cs="Arial"/>
                <w:b/>
                <w:bCs/>
                <w:sz w:val="12"/>
                <w:szCs w:val="12"/>
              </w:rPr>
            </w:pPr>
          </w:p>
        </w:tc>
        <w:tc>
          <w:tcPr>
            <w:tcW w:w="8306" w:type="dxa"/>
            <w:gridSpan w:val="13"/>
            <w:tcBorders>
              <w:top w:val="single" w:sz="4" w:space="0" w:color="auto"/>
              <w:left w:val="single" w:sz="4" w:space="0" w:color="auto"/>
              <w:bottom w:val="single" w:sz="4" w:space="0" w:color="auto"/>
              <w:right w:val="single" w:sz="4" w:space="0" w:color="auto"/>
            </w:tcBorders>
            <w:shd w:val="clear" w:color="auto" w:fill="FFFFFF"/>
            <w:vAlign w:val="center"/>
          </w:tcPr>
          <w:p w14:paraId="6CE24392" w14:textId="77777777" w:rsidR="00194111" w:rsidRPr="008F5458" w:rsidRDefault="00194111" w:rsidP="008F5458">
            <w:pPr>
              <w:spacing w:before="100" w:beforeAutospacing="1" w:after="100" w:afterAutospacing="1" w:line="240" w:lineRule="auto"/>
              <w:jc w:val="center"/>
              <w:rPr>
                <w:rFonts w:ascii="Arial" w:eastAsia="Times New Roman" w:hAnsi="Arial" w:cs="Arial"/>
                <w:b/>
                <w:bCs/>
                <w:sz w:val="12"/>
                <w:szCs w:val="12"/>
              </w:rPr>
            </w:pPr>
            <w:proofErr w:type="spellStart"/>
            <w:r w:rsidRPr="008F5458">
              <w:rPr>
                <w:rFonts w:ascii="Arial" w:eastAsia="Times New Roman" w:hAnsi="Arial" w:cs="Arial"/>
                <w:b/>
                <w:bCs/>
                <w:sz w:val="12"/>
                <w:szCs w:val="12"/>
              </w:rPr>
              <w:t>Regulation</w:t>
            </w:r>
            <w:proofErr w:type="spellEnd"/>
            <w:r w:rsidRPr="008F5458">
              <w:rPr>
                <w:rFonts w:ascii="Arial" w:eastAsia="Times New Roman" w:hAnsi="Arial" w:cs="Arial"/>
                <w:b/>
                <w:bCs/>
                <w:sz w:val="12"/>
                <w:szCs w:val="12"/>
              </w:rPr>
              <w:t xml:space="preserve"> </w:t>
            </w:r>
            <w:proofErr w:type="spellStart"/>
            <w:r w:rsidRPr="008F5458">
              <w:rPr>
                <w:rFonts w:ascii="Arial" w:eastAsia="Times New Roman" w:hAnsi="Arial" w:cs="Arial"/>
                <w:b/>
                <w:bCs/>
                <w:sz w:val="12"/>
                <w:szCs w:val="12"/>
              </w:rPr>
              <w:t>ability</w:t>
            </w:r>
            <w:proofErr w:type="spellEnd"/>
          </w:p>
        </w:tc>
      </w:tr>
      <w:tr w:rsidR="00194111" w:rsidRPr="007D5B8E" w14:paraId="041AB8CF" w14:textId="77777777" w:rsidTr="008F5458">
        <w:trPr>
          <w:trHeigh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55DC61C4"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lang w:val="en-US"/>
              </w:rPr>
              <w:t>Response time from idle to full-rated discharge (sec)</w:t>
            </w:r>
          </w:p>
        </w:tc>
        <w:tc>
          <w:tcPr>
            <w:tcW w:w="567" w:type="dxa"/>
            <w:tcBorders>
              <w:top w:val="nil"/>
              <w:left w:val="nil"/>
              <w:bottom w:val="single" w:sz="4" w:space="0" w:color="auto"/>
              <w:right w:val="single" w:sz="4" w:space="0" w:color="auto"/>
            </w:tcBorders>
            <w:shd w:val="clear" w:color="auto" w:fill="FFFFFF"/>
            <w:vAlign w:val="center"/>
            <w:hideMark/>
          </w:tcPr>
          <w:p w14:paraId="029F8C60" w14:textId="3FEDD148"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757" w:type="dxa"/>
            <w:gridSpan w:val="2"/>
            <w:tcBorders>
              <w:top w:val="nil"/>
              <w:left w:val="nil"/>
              <w:bottom w:val="single" w:sz="4" w:space="0" w:color="auto"/>
              <w:right w:val="single" w:sz="4" w:space="0" w:color="auto"/>
            </w:tcBorders>
            <w:shd w:val="clear" w:color="auto" w:fill="FFFFFF"/>
            <w:vAlign w:val="center"/>
            <w:hideMark/>
          </w:tcPr>
          <w:p w14:paraId="3DD8EF21" w14:textId="20F9C1EE"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5" w:type="dxa"/>
            <w:tcBorders>
              <w:top w:val="nil"/>
              <w:left w:val="nil"/>
              <w:bottom w:val="single" w:sz="4" w:space="0" w:color="auto"/>
              <w:right w:val="single" w:sz="4" w:space="0" w:color="auto"/>
            </w:tcBorders>
            <w:shd w:val="clear" w:color="auto" w:fill="FFFFFF"/>
            <w:vAlign w:val="center"/>
            <w:hideMark/>
          </w:tcPr>
          <w:p w14:paraId="465A9DEE" w14:textId="3A11B6EA"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nil"/>
              <w:left w:val="nil"/>
              <w:bottom w:val="single" w:sz="4" w:space="0" w:color="auto"/>
              <w:right w:val="nil"/>
            </w:tcBorders>
            <w:shd w:val="clear" w:color="auto" w:fill="FFFFFF"/>
            <w:vAlign w:val="center"/>
          </w:tcPr>
          <w:p w14:paraId="1D69953F" w14:textId="0ECA6C1E"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7" w:type="dxa"/>
            <w:tcBorders>
              <w:top w:val="nil"/>
              <w:left w:val="nil"/>
              <w:bottom w:val="single" w:sz="4" w:space="0" w:color="auto"/>
              <w:right w:val="single" w:sz="4" w:space="0" w:color="auto"/>
            </w:tcBorders>
            <w:shd w:val="clear" w:color="auto" w:fill="FFFFFF"/>
            <w:vAlign w:val="center"/>
          </w:tcPr>
          <w:p w14:paraId="768F46EF" w14:textId="06A2726D"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nil"/>
              <w:left w:val="nil"/>
              <w:bottom w:val="single" w:sz="4" w:space="0" w:color="auto"/>
              <w:right w:val="single" w:sz="4" w:space="0" w:color="auto"/>
            </w:tcBorders>
            <w:shd w:val="clear" w:color="auto" w:fill="FFFFFF"/>
            <w:vAlign w:val="center"/>
          </w:tcPr>
          <w:p w14:paraId="71A12FBD" w14:textId="34B14704"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nil"/>
              <w:left w:val="nil"/>
              <w:bottom w:val="single" w:sz="4" w:space="0" w:color="auto"/>
              <w:right w:val="single" w:sz="4" w:space="0" w:color="auto"/>
            </w:tcBorders>
            <w:shd w:val="clear" w:color="auto" w:fill="FFFFFF"/>
            <w:vAlign w:val="center"/>
          </w:tcPr>
          <w:p w14:paraId="4FB15BAC" w14:textId="0FFE3AC6"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nil"/>
              <w:left w:val="nil"/>
              <w:bottom w:val="single" w:sz="4" w:space="0" w:color="auto"/>
              <w:right w:val="single" w:sz="4" w:space="0" w:color="auto"/>
            </w:tcBorders>
            <w:shd w:val="clear" w:color="auto" w:fill="FFFFFF"/>
            <w:vAlign w:val="center"/>
          </w:tcPr>
          <w:p w14:paraId="6216B29E" w14:textId="27217B00"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nil"/>
              <w:left w:val="nil"/>
              <w:bottom w:val="single" w:sz="4" w:space="0" w:color="auto"/>
              <w:right w:val="single" w:sz="4" w:space="0" w:color="auto"/>
            </w:tcBorders>
            <w:shd w:val="clear" w:color="auto" w:fill="FFFFFF"/>
            <w:vAlign w:val="center"/>
          </w:tcPr>
          <w:p w14:paraId="1BCF4F23" w14:textId="4A7863E6"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single" w:sz="4" w:space="0" w:color="auto"/>
              <w:left w:val="nil"/>
              <w:bottom w:val="single" w:sz="4" w:space="0" w:color="auto"/>
              <w:right w:val="single" w:sz="4" w:space="0" w:color="auto"/>
            </w:tcBorders>
            <w:shd w:val="clear" w:color="auto" w:fill="FFFFFF"/>
            <w:vAlign w:val="center"/>
          </w:tcPr>
          <w:p w14:paraId="7B1BAF3A" w14:textId="4AD192EB"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_Ref528654609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H</w:t>
            </w:r>
            <w:r w:rsidRPr="008F5458">
              <w:rPr>
                <w:rFonts w:ascii="Arial" w:eastAsia="Times New Roman" w:hAnsi="Arial" w:cs="Arial"/>
                <w:sz w:val="12"/>
                <w:szCs w:val="12"/>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701E4924" w14:textId="5062B41A"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fldLock="1"/>
            </w:r>
            <w:r w:rsidR="00D05697">
              <w:rPr>
                <w:rFonts w:ascii="Arial" w:eastAsia="Times New Roman" w:hAnsi="Arial" w:cs="Arial"/>
                <w:sz w:val="12"/>
                <w:szCs w:val="12"/>
              </w:rPr>
              <w:instrText>ADDIN CSL_CITATION {"citationItems":[{"id":"ITEM-1","itemData":{"DOI":"10.1016/j.apenergy.2017.06.046","ISSN":"03062619","abstract":"Energy Storage Systems (ESS) are expected to play a significant role in regulating the frequency of future electric power systems. Increased penetration of renewable generation, and reduction in the inertia provided by large synchronous generators, are likely to increase the severity and regularity of frequency events in synchronous AC power systems. By supplying or absorbing power in response to deviations from the nominal frequency and imbalances between supply and demand, the rapid response of ESS will provide a form of stability which cannot be matched by conventional network assets. However, the increased complexity of ESS operational requirements and design specifications introduces challenges when it comes to the realisation of their full potential through existing frequency response service markets: new service markets will need to be designed to take advantage of the capabilities of ESS. This paper provides new methods to analyse and assessing the performance of ESS within existing service frameworks, using real-time network simulation and power hardware in the loop. These methods can be used to introduce improvements in existing services and potentially create new ones. Novel statistical techniques have been devised to quantify the design and operational requirements of ESS providing frequency regulation services. These new techniques are demonstrated via an illustrative service design and high-resolution frequency data from the Great Britain transmission system.","author":[{"dropping-particle":"","family":"Greenwood","given":"D. M.","non-dropping-particle":"","parse-names":false,"suffix":""},{"dropping-particle":"","family":"Lim","given":"K. Y.","non-dropping-particle":"","parse-names":false,"suffix":""},{"dropping-particle":"","family":"Patsios","given":"C.","non-dropping-particle":"","parse-names":false,"suffix":""},{"dropping-particle":"","family":"Lyons","given":"P. F.","non-dropping-particle":"","parse-names":false,"suffix":""},{"dropping-particle":"","family":"Lim","given":"Y. S.","non-dropping-particle":"","parse-names":false,"suffix":""},{"dropping-particle":"","family":"Taylor","given":"P. C.","non-dropping-particle":"","parse-names":false,"suffix":""}],"container-title":"Applied Energy","id":"ITEM-1","issued":{"date-parts":[["2017"]]},"page":"115-127","publisher":"The Authors","title":"Frequency response services designed for energy storage","type":"article-journal","volume":"203"},"uris":["http://www.mendeley.com/documents/?uuid=26a3aa3b-6437-4e42-8707-3838f707635c","http://www.mendeley.com/documents/?uuid=121c1ef6-cbf0-4311-98bc-ee5fe8ccce99"]}],"mendeley":{"formattedCitation":"[53]","plainTextFormattedCitation":"[53]","previouslyFormattedCitation":"[53]"},"properties":{"noteIndex":0},"schema":"https://github.com/citation-style-language/schema/raw/master/csl-citation.json"}</w:instrText>
            </w:r>
            <w:r w:rsidRPr="008F5458">
              <w:rPr>
                <w:rFonts w:ascii="Arial" w:eastAsia="Times New Roman" w:hAnsi="Arial" w:cs="Arial"/>
                <w:sz w:val="12"/>
                <w:szCs w:val="12"/>
              </w:rPr>
              <w:fldChar w:fldCharType="separate"/>
            </w:r>
            <w:r w:rsidR="001A7298" w:rsidRPr="001A7298">
              <w:rPr>
                <w:rFonts w:ascii="Arial" w:eastAsia="Times New Roman" w:hAnsi="Arial" w:cs="Arial"/>
                <w:noProof/>
                <w:sz w:val="12"/>
                <w:szCs w:val="12"/>
              </w:rPr>
              <w:t>[53]</w:t>
            </w:r>
            <w:r w:rsidRPr="008F5458">
              <w:rPr>
                <w:rFonts w:ascii="Arial" w:eastAsia="Times New Roman" w:hAnsi="Arial" w:cs="Arial"/>
                <w:sz w:val="12"/>
                <w:szCs w:val="12"/>
              </w:rPr>
              <w:fldChar w:fldCharType="end"/>
            </w:r>
          </w:p>
        </w:tc>
      </w:tr>
      <w:tr w:rsidR="00194111" w:rsidRPr="007D5B8E" w14:paraId="1E127B0D" w14:textId="77777777" w:rsidTr="008F5458">
        <w:trPr>
          <w:trHeight w:hRule="exact" w:val="313"/>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0307E05"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lang w:val="en-US"/>
              </w:rPr>
              <w:t>Response time from full-rated charge to full-rated discharge (sec)</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5BDEEE" w14:textId="472C43CB"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75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3DE8C22" w14:textId="71DDFD56"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163C91" w14:textId="552FF27E"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371E8CF3" w14:textId="0C304384"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14:paraId="2A120CF0" w14:textId="329AE550"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118711AE" w14:textId="45840918"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05BE066C" w14:textId="755DBCF3"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66091847" w14:textId="2826B150"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05F53ABB" w14:textId="6F6D074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&lt;0.08</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2BDAD0BB" w14:textId="64FE2EB1"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_Ref528654609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H</w:t>
            </w:r>
            <w:r w:rsidRPr="008F5458">
              <w:rPr>
                <w:rFonts w:ascii="Arial" w:eastAsia="Times New Roman" w:hAnsi="Arial" w:cs="Arial"/>
                <w:sz w:val="12"/>
                <w:szCs w:val="12"/>
              </w:rPr>
              <w:fldChar w:fldCharType="end"/>
            </w:r>
          </w:p>
        </w:tc>
        <w:tc>
          <w:tcPr>
            <w:tcW w:w="892" w:type="dxa"/>
            <w:tcBorders>
              <w:top w:val="single" w:sz="4" w:space="0" w:color="auto"/>
              <w:left w:val="single" w:sz="4" w:space="0" w:color="auto"/>
              <w:bottom w:val="single" w:sz="4" w:space="0" w:color="auto"/>
              <w:right w:val="single" w:sz="4" w:space="0" w:color="auto"/>
            </w:tcBorders>
            <w:shd w:val="clear" w:color="auto" w:fill="FFFFFF"/>
            <w:vAlign w:val="center"/>
          </w:tcPr>
          <w:p w14:paraId="048663A3" w14:textId="1A29CBA0"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fldLock="1"/>
            </w:r>
            <w:r w:rsidR="00D05697">
              <w:rPr>
                <w:rFonts w:ascii="Arial" w:eastAsia="Times New Roman" w:hAnsi="Arial" w:cs="Arial"/>
                <w:sz w:val="12"/>
                <w:szCs w:val="12"/>
              </w:rPr>
              <w:instrText>ADDIN CSL_CITATION {"citationItems":[{"id":"ITEM-1","itemData":{"DOI":"10.1016/j.apenergy.2017.06.046","ISSN":"03062619","abstract":"Energy Storage Systems (ESS) are expected to play a significant role in regulating the frequency of future electric power systems. Increased penetration of renewable generation, and reduction in the inertia provided by large synchronous generators, are likely to increase the severity and regularity of frequency events in synchronous AC power systems. By supplying or absorbing power in response to deviations from the nominal frequency and imbalances between supply and demand, the rapid response of ESS will provide a form of stability which cannot be matched by conventional network assets. However, the increased complexity of ESS operational requirements and design specifications introduces challenges when it comes to the realisation of their full potential through existing frequency response service markets: new service markets will need to be designed to take advantage of the capabilities of ESS. This paper provides new methods to analyse and assessing the performance of ESS within existing service frameworks, using real-time network simulation and power hardware in the loop. These methods can be used to introduce improvements in existing services and potentially create new ones. Novel statistical techniques have been devised to quantify the design and operational requirements of ESS providing frequency regulation services. These new techniques are demonstrated via an illustrative service design and high-resolution frequency data from the Great Britain transmission system.","author":[{"dropping-particle":"","family":"Greenwood","given":"D. M.","non-dropping-particle":"","parse-names":false,"suffix":""},{"dropping-particle":"","family":"Lim","given":"K. Y.","non-dropping-particle":"","parse-names":false,"suffix":""},{"dropping-particle":"","family":"Patsios","given":"C.","non-dropping-particle":"","parse-names":false,"suffix":""},{"dropping-particle":"","family":"Lyons","given":"P. F.","non-dropping-particle":"","parse-names":false,"suffix":""},{"dropping-particle":"","family":"Lim","given":"Y. S.","non-dropping-particle":"","parse-names":false,"suffix":""},{"dropping-particle":"","family":"Taylor","given":"P. C.","non-dropping-particle":"","parse-names":false,"suffix":""}],"container-title":"Applied Energy","id":"ITEM-1","issued":{"date-parts":[["2017"]]},"page":"115-127","publisher":"The Authors","title":"Frequency response services designed for energy storage","type":"article-journal","volume":"203"},"uris":["http://www.mendeley.com/documents/?uuid=121c1ef6-cbf0-4311-98bc-ee5fe8ccce99","http://www.mendeley.com/documents/?uuid=26a3aa3b-6437-4e42-8707-3838f707635c"]}],"mendeley":{"formattedCitation":"[53]","plainTextFormattedCitation":"[53]","previouslyFormattedCitation":"[53]"},"properties":{"noteIndex":0},"schema":"https://github.com/citation-style-language/schema/raw/master/csl-citation.json"}</w:instrText>
            </w:r>
            <w:r w:rsidRPr="008F5458">
              <w:rPr>
                <w:rFonts w:ascii="Arial" w:eastAsia="Times New Roman" w:hAnsi="Arial" w:cs="Arial"/>
                <w:sz w:val="12"/>
                <w:szCs w:val="12"/>
              </w:rPr>
              <w:fldChar w:fldCharType="separate"/>
            </w:r>
            <w:r w:rsidR="001A7298" w:rsidRPr="001A7298">
              <w:rPr>
                <w:rFonts w:ascii="Arial" w:eastAsia="Times New Roman" w:hAnsi="Arial" w:cs="Arial"/>
                <w:noProof/>
                <w:sz w:val="12"/>
                <w:szCs w:val="12"/>
              </w:rPr>
              <w:t>[53]</w:t>
            </w:r>
            <w:r w:rsidRPr="008F5458">
              <w:rPr>
                <w:rFonts w:ascii="Arial" w:eastAsia="Times New Roman" w:hAnsi="Arial" w:cs="Arial"/>
                <w:sz w:val="12"/>
                <w:szCs w:val="12"/>
              </w:rPr>
              <w:fldChar w:fldCharType="end"/>
            </w:r>
          </w:p>
        </w:tc>
      </w:tr>
      <w:tr w:rsidR="00194111" w:rsidRPr="007D5B8E" w14:paraId="7D540AD0" w14:textId="77777777" w:rsidTr="008F5458">
        <w:trPr>
          <w:trHeight w:hRule="exact" w:val="255"/>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607599E"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7" w:type="dxa"/>
            <w:tcBorders>
              <w:top w:val="single" w:sz="4" w:space="0" w:color="auto"/>
              <w:left w:val="nil"/>
              <w:bottom w:val="single" w:sz="4" w:space="0" w:color="auto"/>
              <w:right w:val="single" w:sz="4" w:space="0" w:color="auto"/>
            </w:tcBorders>
            <w:shd w:val="clear" w:color="auto" w:fill="FFFFFF"/>
            <w:vAlign w:val="center"/>
          </w:tcPr>
          <w:p w14:paraId="2305EF92"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757" w:type="dxa"/>
            <w:gridSpan w:val="2"/>
            <w:tcBorders>
              <w:top w:val="single" w:sz="4" w:space="0" w:color="auto"/>
              <w:left w:val="nil"/>
              <w:bottom w:val="single" w:sz="4" w:space="0" w:color="auto"/>
              <w:right w:val="single" w:sz="4" w:space="0" w:color="auto"/>
            </w:tcBorders>
            <w:shd w:val="clear" w:color="auto" w:fill="FFFFFF"/>
            <w:vAlign w:val="center"/>
          </w:tcPr>
          <w:p w14:paraId="35C48078"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5" w:type="dxa"/>
            <w:tcBorders>
              <w:top w:val="single" w:sz="4" w:space="0" w:color="auto"/>
              <w:left w:val="nil"/>
              <w:bottom w:val="single" w:sz="4" w:space="0" w:color="auto"/>
              <w:right w:val="single" w:sz="4" w:space="0" w:color="auto"/>
            </w:tcBorders>
            <w:shd w:val="clear" w:color="auto" w:fill="FFFFFF"/>
            <w:vAlign w:val="center"/>
          </w:tcPr>
          <w:p w14:paraId="4E81398F"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single" w:sz="4" w:space="0" w:color="auto"/>
              <w:left w:val="nil"/>
              <w:bottom w:val="single" w:sz="4" w:space="0" w:color="auto"/>
              <w:right w:val="nil"/>
            </w:tcBorders>
            <w:shd w:val="clear" w:color="auto" w:fill="FFFFFF"/>
            <w:vAlign w:val="center"/>
          </w:tcPr>
          <w:p w14:paraId="4E8A051B"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7" w:type="dxa"/>
            <w:tcBorders>
              <w:top w:val="single" w:sz="4" w:space="0" w:color="auto"/>
              <w:left w:val="nil"/>
              <w:bottom w:val="single" w:sz="4" w:space="0" w:color="auto"/>
              <w:right w:val="single" w:sz="4" w:space="0" w:color="auto"/>
            </w:tcBorders>
            <w:shd w:val="clear" w:color="auto" w:fill="FFFFFF"/>
            <w:vAlign w:val="center"/>
          </w:tcPr>
          <w:p w14:paraId="1FF2B4B4"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single" w:sz="4" w:space="0" w:color="auto"/>
              <w:left w:val="nil"/>
              <w:bottom w:val="single" w:sz="4" w:space="0" w:color="auto"/>
              <w:right w:val="single" w:sz="4" w:space="0" w:color="auto"/>
            </w:tcBorders>
            <w:shd w:val="clear" w:color="auto" w:fill="FFFFFF"/>
            <w:vAlign w:val="center"/>
          </w:tcPr>
          <w:p w14:paraId="3D0B1357"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single" w:sz="4" w:space="0" w:color="auto"/>
              <w:left w:val="nil"/>
              <w:bottom w:val="single" w:sz="4" w:space="0" w:color="auto"/>
              <w:right w:val="single" w:sz="4" w:space="0" w:color="auto"/>
            </w:tcBorders>
            <w:shd w:val="clear" w:color="auto" w:fill="FFFFFF"/>
            <w:vAlign w:val="center"/>
          </w:tcPr>
          <w:p w14:paraId="6CF1C20D"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single" w:sz="4" w:space="0" w:color="auto"/>
              <w:left w:val="nil"/>
              <w:bottom w:val="single" w:sz="4" w:space="0" w:color="auto"/>
              <w:right w:val="single" w:sz="4" w:space="0" w:color="auto"/>
            </w:tcBorders>
            <w:shd w:val="clear" w:color="auto" w:fill="FFFFFF"/>
            <w:vAlign w:val="center"/>
          </w:tcPr>
          <w:p w14:paraId="11AE5793"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single" w:sz="4" w:space="0" w:color="auto"/>
              <w:left w:val="nil"/>
              <w:bottom w:val="single" w:sz="4" w:space="0" w:color="auto"/>
              <w:right w:val="single" w:sz="4" w:space="0" w:color="auto"/>
            </w:tcBorders>
            <w:shd w:val="clear" w:color="auto" w:fill="FFFFFF"/>
            <w:vAlign w:val="center"/>
          </w:tcPr>
          <w:p w14:paraId="686256C6"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566" w:type="dxa"/>
            <w:tcBorders>
              <w:top w:val="single" w:sz="4" w:space="0" w:color="auto"/>
              <w:left w:val="nil"/>
              <w:bottom w:val="single" w:sz="4" w:space="0" w:color="auto"/>
              <w:right w:val="single" w:sz="4" w:space="0" w:color="auto"/>
            </w:tcBorders>
            <w:shd w:val="clear" w:color="auto" w:fill="FFFFFF"/>
            <w:vAlign w:val="center"/>
          </w:tcPr>
          <w:p w14:paraId="1FA7E8DC"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c>
          <w:tcPr>
            <w:tcW w:w="892" w:type="dxa"/>
            <w:tcBorders>
              <w:top w:val="nil"/>
              <w:left w:val="nil"/>
              <w:bottom w:val="single" w:sz="4" w:space="0" w:color="auto"/>
              <w:right w:val="single" w:sz="4" w:space="0" w:color="auto"/>
            </w:tcBorders>
            <w:shd w:val="clear" w:color="auto" w:fill="FFFFFF"/>
            <w:vAlign w:val="center"/>
          </w:tcPr>
          <w:p w14:paraId="079D0E3A"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
        </w:tc>
      </w:tr>
      <w:tr w:rsidR="00194111" w:rsidRPr="007D5B8E" w14:paraId="2779386F" w14:textId="77777777" w:rsidTr="008F5458">
        <w:trPr>
          <w:trHeight w:hRule="exact" w:val="255"/>
        </w:trPr>
        <w:tc>
          <w:tcPr>
            <w:tcW w:w="565" w:type="dxa"/>
            <w:tcBorders>
              <w:top w:val="single" w:sz="4" w:space="0" w:color="auto"/>
              <w:left w:val="single" w:sz="4" w:space="0" w:color="auto"/>
              <w:bottom w:val="single" w:sz="4" w:space="0" w:color="auto"/>
              <w:right w:val="single" w:sz="4" w:space="0" w:color="auto"/>
            </w:tcBorders>
            <w:shd w:val="clear" w:color="auto" w:fill="FFFFFF"/>
            <w:vAlign w:val="center"/>
          </w:tcPr>
          <w:p w14:paraId="1C2FD52F" w14:textId="77777777" w:rsidR="00194111" w:rsidRPr="008F5458" w:rsidRDefault="00194111" w:rsidP="008F5458">
            <w:pPr>
              <w:spacing w:before="100" w:beforeAutospacing="1" w:after="100" w:afterAutospacing="1" w:line="240" w:lineRule="auto"/>
              <w:jc w:val="center"/>
              <w:rPr>
                <w:rFonts w:ascii="Arial" w:eastAsia="Times New Roman" w:hAnsi="Arial" w:cs="Arial"/>
                <w:b/>
                <w:bCs/>
                <w:sz w:val="12"/>
                <w:szCs w:val="12"/>
              </w:rPr>
            </w:pPr>
          </w:p>
        </w:tc>
        <w:tc>
          <w:tcPr>
            <w:tcW w:w="8306" w:type="dxa"/>
            <w:gridSpan w:val="13"/>
            <w:tcBorders>
              <w:top w:val="single" w:sz="4" w:space="0" w:color="auto"/>
              <w:left w:val="single" w:sz="4" w:space="0" w:color="auto"/>
              <w:bottom w:val="single" w:sz="4" w:space="0" w:color="auto"/>
              <w:right w:val="single" w:sz="4" w:space="0" w:color="auto"/>
            </w:tcBorders>
            <w:shd w:val="clear" w:color="auto" w:fill="FFFFFF"/>
            <w:vAlign w:val="center"/>
          </w:tcPr>
          <w:p w14:paraId="72123D38" w14:textId="77777777" w:rsidR="00194111" w:rsidRPr="008F5458" w:rsidRDefault="00194111" w:rsidP="008F5458">
            <w:pPr>
              <w:spacing w:before="100" w:beforeAutospacing="1" w:after="100" w:afterAutospacing="1" w:line="240" w:lineRule="auto"/>
              <w:jc w:val="center"/>
              <w:rPr>
                <w:rFonts w:ascii="Arial" w:eastAsia="Times New Roman" w:hAnsi="Arial" w:cs="Arial"/>
                <w:b/>
                <w:bCs/>
                <w:sz w:val="12"/>
                <w:szCs w:val="12"/>
              </w:rPr>
            </w:pPr>
            <w:r w:rsidRPr="008F5458">
              <w:rPr>
                <w:rFonts w:ascii="Arial" w:eastAsia="Times New Roman" w:hAnsi="Arial" w:cs="Arial"/>
                <w:b/>
                <w:bCs/>
                <w:sz w:val="12"/>
                <w:szCs w:val="12"/>
              </w:rPr>
              <w:t>Financial data</w:t>
            </w:r>
          </w:p>
        </w:tc>
      </w:tr>
      <w:tr w:rsidR="00194111" w:rsidRPr="007D5B8E" w14:paraId="3C4C87DC"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7076D163"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lang w:val="en-US"/>
              </w:rPr>
              <w:t>Specific investment (M€2015 per MWh)</w:t>
            </w:r>
          </w:p>
        </w:tc>
        <w:tc>
          <w:tcPr>
            <w:tcW w:w="567" w:type="dxa"/>
            <w:tcBorders>
              <w:top w:val="nil"/>
              <w:left w:val="nil"/>
              <w:bottom w:val="single" w:sz="4" w:space="0" w:color="auto"/>
              <w:right w:val="single" w:sz="4" w:space="0" w:color="auto"/>
            </w:tcBorders>
            <w:shd w:val="clear" w:color="auto" w:fill="FFFFFF"/>
            <w:vAlign w:val="center"/>
          </w:tcPr>
          <w:p w14:paraId="194BC5B8" w14:textId="2102D723"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proofErr w:type="gramStart"/>
            <w:r w:rsidRPr="008F5458">
              <w:rPr>
                <w:rFonts w:ascii="Arial" w:hAnsi="Arial" w:cs="Arial"/>
                <w:sz w:val="12"/>
                <w:szCs w:val="12"/>
              </w:rPr>
              <w:t>0.769</w:t>
            </w:r>
            <w:proofErr w:type="gramEnd"/>
          </w:p>
        </w:tc>
        <w:tc>
          <w:tcPr>
            <w:tcW w:w="757" w:type="dxa"/>
            <w:gridSpan w:val="2"/>
            <w:tcBorders>
              <w:top w:val="nil"/>
              <w:left w:val="nil"/>
              <w:bottom w:val="single" w:sz="4" w:space="0" w:color="auto"/>
              <w:right w:val="single" w:sz="4" w:space="0" w:color="auto"/>
            </w:tcBorders>
            <w:shd w:val="clear" w:color="auto" w:fill="FFFFFF"/>
            <w:vAlign w:val="center"/>
          </w:tcPr>
          <w:p w14:paraId="0AECD5F9" w14:textId="0504143D" w:rsidR="00194111" w:rsidRPr="008F5458" w:rsidRDefault="00194111" w:rsidP="008F5458">
            <w:pPr>
              <w:spacing w:before="100" w:beforeAutospacing="1" w:after="100" w:afterAutospacing="1" w:line="240" w:lineRule="auto"/>
              <w:jc w:val="center"/>
              <w:rPr>
                <w:rFonts w:ascii="Arial" w:hAnsi="Arial" w:cs="Arial"/>
                <w:sz w:val="12"/>
                <w:szCs w:val="12"/>
                <w:lang w:val="en-US"/>
              </w:rPr>
            </w:pPr>
            <w:proofErr w:type="gramStart"/>
            <w:r w:rsidRPr="008F5458">
              <w:rPr>
                <w:rFonts w:ascii="Arial" w:hAnsi="Arial" w:cs="Arial"/>
                <w:sz w:val="12"/>
                <w:szCs w:val="12"/>
              </w:rPr>
              <w:t>0.330</w:t>
            </w:r>
            <w:proofErr w:type="gramEnd"/>
          </w:p>
        </w:tc>
        <w:tc>
          <w:tcPr>
            <w:tcW w:w="565" w:type="dxa"/>
            <w:tcBorders>
              <w:top w:val="nil"/>
              <w:left w:val="nil"/>
              <w:bottom w:val="single" w:sz="4" w:space="0" w:color="auto"/>
              <w:right w:val="single" w:sz="4" w:space="0" w:color="auto"/>
            </w:tcBorders>
            <w:shd w:val="clear" w:color="auto" w:fill="FFFFFF"/>
            <w:vAlign w:val="center"/>
          </w:tcPr>
          <w:p w14:paraId="3AD978CA" w14:textId="08891652" w:rsidR="00194111" w:rsidRPr="008F5458" w:rsidRDefault="00194111" w:rsidP="008F5458">
            <w:pPr>
              <w:spacing w:before="100" w:beforeAutospacing="1" w:after="100" w:afterAutospacing="1" w:line="240" w:lineRule="auto"/>
              <w:jc w:val="center"/>
              <w:rPr>
                <w:rFonts w:ascii="Arial" w:hAnsi="Arial" w:cs="Arial"/>
                <w:sz w:val="12"/>
                <w:szCs w:val="12"/>
                <w:lang w:val="en-US"/>
              </w:rPr>
            </w:pPr>
            <w:proofErr w:type="gramStart"/>
            <w:r w:rsidRPr="008F5458">
              <w:rPr>
                <w:rFonts w:ascii="Arial" w:hAnsi="Arial" w:cs="Arial"/>
                <w:sz w:val="12"/>
                <w:szCs w:val="12"/>
              </w:rPr>
              <w:t>0.154</w:t>
            </w:r>
            <w:proofErr w:type="gramEnd"/>
          </w:p>
        </w:tc>
        <w:tc>
          <w:tcPr>
            <w:tcW w:w="566" w:type="dxa"/>
            <w:tcBorders>
              <w:top w:val="nil"/>
              <w:left w:val="nil"/>
              <w:bottom w:val="single" w:sz="4" w:space="0" w:color="auto"/>
              <w:right w:val="nil"/>
            </w:tcBorders>
            <w:shd w:val="clear" w:color="auto" w:fill="FFFFFF"/>
            <w:vAlign w:val="center"/>
          </w:tcPr>
          <w:p w14:paraId="43FBB43A" w14:textId="0E29F712" w:rsidR="00194111" w:rsidRPr="008F5458" w:rsidRDefault="00194111" w:rsidP="008F5458">
            <w:pPr>
              <w:spacing w:before="100" w:beforeAutospacing="1" w:after="100" w:afterAutospacing="1" w:line="240" w:lineRule="auto"/>
              <w:jc w:val="center"/>
              <w:rPr>
                <w:rFonts w:ascii="Arial" w:hAnsi="Arial" w:cs="Arial"/>
                <w:sz w:val="12"/>
                <w:szCs w:val="12"/>
                <w:lang w:val="en-US"/>
              </w:rPr>
            </w:pPr>
            <w:proofErr w:type="gramStart"/>
            <w:r w:rsidRPr="008F5458">
              <w:rPr>
                <w:rFonts w:ascii="Arial" w:hAnsi="Arial" w:cs="Arial"/>
                <w:sz w:val="12"/>
                <w:szCs w:val="12"/>
              </w:rPr>
              <w:t>0.110</w:t>
            </w:r>
            <w:proofErr w:type="gramEnd"/>
          </w:p>
        </w:tc>
        <w:tc>
          <w:tcPr>
            <w:tcW w:w="567" w:type="dxa"/>
            <w:tcBorders>
              <w:top w:val="nil"/>
              <w:left w:val="nil"/>
              <w:bottom w:val="single" w:sz="4" w:space="0" w:color="auto"/>
              <w:right w:val="single" w:sz="4" w:space="0" w:color="auto"/>
            </w:tcBorders>
            <w:shd w:val="clear" w:color="auto" w:fill="FFFFFF"/>
            <w:vAlign w:val="center"/>
          </w:tcPr>
          <w:p w14:paraId="2A3DDC8E" w14:textId="0DF9E54E" w:rsidR="00194111" w:rsidRPr="008F5458" w:rsidRDefault="00194111" w:rsidP="008F5458">
            <w:pPr>
              <w:spacing w:before="100" w:beforeAutospacing="1" w:after="100" w:afterAutospacing="1" w:line="240" w:lineRule="auto"/>
              <w:jc w:val="center"/>
              <w:rPr>
                <w:rFonts w:ascii="Arial" w:hAnsi="Arial" w:cs="Arial"/>
                <w:sz w:val="12"/>
                <w:szCs w:val="12"/>
                <w:lang w:val="en-US"/>
              </w:rPr>
            </w:pPr>
            <w:proofErr w:type="gramStart"/>
            <w:r w:rsidRPr="008F5458">
              <w:rPr>
                <w:rFonts w:ascii="Arial" w:hAnsi="Arial" w:cs="Arial"/>
                <w:sz w:val="12"/>
                <w:szCs w:val="12"/>
              </w:rPr>
              <w:t>0.088</w:t>
            </w:r>
            <w:proofErr w:type="gramEnd"/>
          </w:p>
        </w:tc>
        <w:tc>
          <w:tcPr>
            <w:tcW w:w="566" w:type="dxa"/>
            <w:tcBorders>
              <w:top w:val="nil"/>
              <w:left w:val="nil"/>
              <w:bottom w:val="single" w:sz="4" w:space="0" w:color="auto"/>
              <w:right w:val="single" w:sz="4" w:space="0" w:color="auto"/>
            </w:tcBorders>
            <w:shd w:val="clear" w:color="auto" w:fill="FFFFFF"/>
            <w:vAlign w:val="center"/>
          </w:tcPr>
          <w:p w14:paraId="2242F201" w14:textId="0DB17FB2"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rPr>
              <w:t>0,176</w:t>
            </w:r>
          </w:p>
        </w:tc>
        <w:tc>
          <w:tcPr>
            <w:tcW w:w="566" w:type="dxa"/>
            <w:tcBorders>
              <w:top w:val="nil"/>
              <w:left w:val="nil"/>
              <w:bottom w:val="single" w:sz="4" w:space="0" w:color="auto"/>
              <w:right w:val="single" w:sz="4" w:space="0" w:color="auto"/>
            </w:tcBorders>
            <w:shd w:val="clear" w:color="auto" w:fill="FFFFFF"/>
            <w:vAlign w:val="center"/>
          </w:tcPr>
          <w:p w14:paraId="7D4ACF99" w14:textId="2AE37BFC"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0,374</w:t>
            </w:r>
          </w:p>
        </w:tc>
        <w:tc>
          <w:tcPr>
            <w:tcW w:w="566" w:type="dxa"/>
            <w:tcBorders>
              <w:top w:val="nil"/>
              <w:left w:val="nil"/>
              <w:bottom w:val="single" w:sz="4" w:space="0" w:color="auto"/>
              <w:right w:val="single" w:sz="4" w:space="0" w:color="auto"/>
            </w:tcBorders>
            <w:shd w:val="clear" w:color="auto" w:fill="FFFFFF"/>
            <w:vAlign w:val="center"/>
          </w:tcPr>
          <w:p w14:paraId="3A0B2C79" w14:textId="6D7C780C"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0,066</w:t>
            </w:r>
          </w:p>
        </w:tc>
        <w:tc>
          <w:tcPr>
            <w:tcW w:w="566" w:type="dxa"/>
            <w:tcBorders>
              <w:top w:val="nil"/>
              <w:left w:val="nil"/>
              <w:bottom w:val="single" w:sz="4" w:space="0" w:color="auto"/>
              <w:right w:val="single" w:sz="4" w:space="0" w:color="auto"/>
            </w:tcBorders>
            <w:shd w:val="clear" w:color="auto" w:fill="FFFFFF"/>
            <w:vAlign w:val="center"/>
          </w:tcPr>
          <w:p w14:paraId="59B5FC97" w14:textId="35CEC3FD"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0,165</w:t>
            </w:r>
          </w:p>
        </w:tc>
        <w:tc>
          <w:tcPr>
            <w:tcW w:w="566" w:type="dxa"/>
            <w:tcBorders>
              <w:top w:val="nil"/>
              <w:left w:val="nil"/>
              <w:bottom w:val="single" w:sz="4" w:space="0" w:color="auto"/>
              <w:right w:val="single" w:sz="4" w:space="0" w:color="auto"/>
            </w:tcBorders>
            <w:shd w:val="clear" w:color="auto" w:fill="FFFFFF"/>
            <w:vAlign w:val="center"/>
          </w:tcPr>
          <w:p w14:paraId="35A81681" w14:textId="5768FAA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rPr>
              <w:t>I</w:t>
            </w:r>
          </w:p>
        </w:tc>
        <w:tc>
          <w:tcPr>
            <w:tcW w:w="892" w:type="dxa"/>
            <w:tcBorders>
              <w:top w:val="single" w:sz="4" w:space="0" w:color="auto"/>
              <w:left w:val="nil"/>
              <w:bottom w:val="single" w:sz="4" w:space="0" w:color="auto"/>
              <w:right w:val="single" w:sz="4" w:space="0" w:color="auto"/>
            </w:tcBorders>
            <w:shd w:val="clear" w:color="auto" w:fill="FFFFFF"/>
            <w:vAlign w:val="center"/>
          </w:tcPr>
          <w:p w14:paraId="0C74310D" w14:textId="1BEE5FA4"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fldLock="1"/>
            </w:r>
            <w:r w:rsidR="001A7298">
              <w:rPr>
                <w:rFonts w:ascii="Arial" w:eastAsia="Times New Roman" w:hAnsi="Arial" w:cs="Arial"/>
                <w:sz w:val="12"/>
                <w:szCs w:val="12"/>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2018","type":"webpage"},"uris":["http://www.mendeley.com/documents/?uuid=6c087b37-53e2-47c6-b97f-c3beaf314c66"]},{"id":"ITEM-2","itemData":{"ISBN":"0065-4299","abstract":"Renewable energy","author":[{"dropping-particle":"","family":"International Renewable Energy Agency","given":"","non-dropping-particle":"","parse-names":false,"suffix":""}],"id":"ITEM-2","issue":"January","issued":{"date-parts":[["2015"]]},"number-of-pages":"1-60","title":"IRENA Battery Storage Report 2015","type":"report"},"uris":["http://www.mendeley.com/documents/?uuid=f37efa12-4f6d-4ea8-b094-05d3d7be7f5e"]}],"mendeley":{"formattedCitation":"[44,48]","plainTextFormattedCitation":"[44,48]","previouslyFormattedCitation":"[44,48]"},"properties":{"noteIndex":0},"schema":"https://github.com/citation-style-language/schema/raw/master/csl-citation.json"}</w:instrText>
            </w:r>
            <w:r w:rsidRPr="008F5458">
              <w:rPr>
                <w:rFonts w:ascii="Arial" w:eastAsia="Times New Roman" w:hAnsi="Arial" w:cs="Arial"/>
                <w:sz w:val="12"/>
                <w:szCs w:val="12"/>
              </w:rPr>
              <w:fldChar w:fldCharType="separate"/>
            </w:r>
            <w:r w:rsidR="00B60186" w:rsidRPr="00B60186">
              <w:rPr>
                <w:rFonts w:ascii="Arial" w:eastAsia="Times New Roman" w:hAnsi="Arial" w:cs="Arial"/>
                <w:noProof/>
                <w:sz w:val="12"/>
                <w:szCs w:val="12"/>
              </w:rPr>
              <w:t>[44,48]</w:t>
            </w:r>
            <w:r w:rsidRPr="008F5458">
              <w:rPr>
                <w:rFonts w:ascii="Arial" w:eastAsia="Times New Roman" w:hAnsi="Arial" w:cs="Arial"/>
                <w:sz w:val="12"/>
                <w:szCs w:val="12"/>
              </w:rPr>
              <w:fldChar w:fldCharType="end"/>
            </w:r>
          </w:p>
        </w:tc>
      </w:tr>
      <w:tr w:rsidR="00194111" w:rsidRPr="007D5B8E" w14:paraId="201C0C53"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5F04E6E0" w14:textId="77777777"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 xml:space="preserve">- </w:t>
            </w:r>
            <w:proofErr w:type="spellStart"/>
            <w:r w:rsidRPr="008F5458">
              <w:rPr>
                <w:rFonts w:ascii="Arial" w:hAnsi="Arial" w:cs="Arial"/>
                <w:sz w:val="12"/>
                <w:szCs w:val="12"/>
              </w:rPr>
              <w:t>energy</w:t>
            </w:r>
            <w:proofErr w:type="spellEnd"/>
            <w:r w:rsidRPr="008F5458">
              <w:rPr>
                <w:rFonts w:ascii="Arial" w:hAnsi="Arial" w:cs="Arial"/>
                <w:sz w:val="12"/>
                <w:szCs w:val="12"/>
              </w:rPr>
              <w:t xml:space="preserve"> component (M€/MWh)</w:t>
            </w:r>
          </w:p>
        </w:tc>
        <w:tc>
          <w:tcPr>
            <w:tcW w:w="567" w:type="dxa"/>
            <w:tcBorders>
              <w:top w:val="nil"/>
              <w:left w:val="nil"/>
              <w:bottom w:val="single" w:sz="4" w:space="0" w:color="auto"/>
              <w:right w:val="single" w:sz="4" w:space="0" w:color="auto"/>
            </w:tcBorders>
            <w:shd w:val="clear" w:color="auto" w:fill="FFFFFF"/>
            <w:vAlign w:val="center"/>
          </w:tcPr>
          <w:p w14:paraId="5A1A050D" w14:textId="79A6B8A5"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hAnsi="Arial" w:cs="Arial"/>
                <w:sz w:val="12"/>
                <w:szCs w:val="12"/>
              </w:rPr>
              <w:t>0.308</w:t>
            </w:r>
            <w:proofErr w:type="gramEnd"/>
          </w:p>
        </w:tc>
        <w:tc>
          <w:tcPr>
            <w:tcW w:w="757" w:type="dxa"/>
            <w:gridSpan w:val="2"/>
            <w:tcBorders>
              <w:top w:val="nil"/>
              <w:left w:val="nil"/>
              <w:bottom w:val="single" w:sz="4" w:space="0" w:color="auto"/>
              <w:right w:val="single" w:sz="4" w:space="0" w:color="auto"/>
            </w:tcBorders>
            <w:shd w:val="clear" w:color="auto" w:fill="FFFFFF"/>
            <w:vAlign w:val="center"/>
          </w:tcPr>
          <w:p w14:paraId="3340B038" w14:textId="0C06906D" w:rsidR="00194111" w:rsidRPr="008F5458" w:rsidRDefault="00194111" w:rsidP="008F5458">
            <w:pPr>
              <w:spacing w:before="100" w:beforeAutospacing="1" w:after="100" w:afterAutospacing="1" w:line="240" w:lineRule="auto"/>
              <w:jc w:val="center"/>
              <w:rPr>
                <w:rFonts w:ascii="Arial" w:hAnsi="Arial" w:cs="Arial"/>
                <w:sz w:val="12"/>
                <w:szCs w:val="12"/>
              </w:rPr>
            </w:pPr>
            <w:proofErr w:type="gramStart"/>
            <w:r w:rsidRPr="008F5458">
              <w:rPr>
                <w:rFonts w:ascii="Arial" w:hAnsi="Arial" w:cs="Arial"/>
                <w:sz w:val="12"/>
                <w:szCs w:val="12"/>
              </w:rPr>
              <w:t>0.132</w:t>
            </w:r>
            <w:proofErr w:type="gramEnd"/>
          </w:p>
        </w:tc>
        <w:tc>
          <w:tcPr>
            <w:tcW w:w="565" w:type="dxa"/>
            <w:tcBorders>
              <w:top w:val="nil"/>
              <w:left w:val="nil"/>
              <w:bottom w:val="single" w:sz="4" w:space="0" w:color="auto"/>
              <w:right w:val="single" w:sz="4" w:space="0" w:color="auto"/>
            </w:tcBorders>
            <w:shd w:val="clear" w:color="auto" w:fill="FFFFFF"/>
            <w:vAlign w:val="center"/>
          </w:tcPr>
          <w:p w14:paraId="53B52EC8" w14:textId="22ED8AFE" w:rsidR="00194111" w:rsidRPr="008F5458" w:rsidRDefault="00194111" w:rsidP="008F5458">
            <w:pPr>
              <w:spacing w:before="100" w:beforeAutospacing="1" w:after="100" w:afterAutospacing="1" w:line="240" w:lineRule="auto"/>
              <w:jc w:val="center"/>
              <w:rPr>
                <w:rFonts w:ascii="Arial" w:hAnsi="Arial" w:cs="Arial"/>
                <w:sz w:val="12"/>
                <w:szCs w:val="12"/>
              </w:rPr>
            </w:pPr>
            <w:proofErr w:type="gramStart"/>
            <w:r w:rsidRPr="008F5458">
              <w:rPr>
                <w:rFonts w:ascii="Arial" w:hAnsi="Arial" w:cs="Arial"/>
                <w:sz w:val="12"/>
                <w:szCs w:val="12"/>
              </w:rPr>
              <w:t>0.062</w:t>
            </w:r>
            <w:proofErr w:type="gramEnd"/>
          </w:p>
        </w:tc>
        <w:tc>
          <w:tcPr>
            <w:tcW w:w="566" w:type="dxa"/>
            <w:tcBorders>
              <w:top w:val="nil"/>
              <w:left w:val="nil"/>
              <w:bottom w:val="single" w:sz="4" w:space="0" w:color="auto"/>
              <w:right w:val="nil"/>
            </w:tcBorders>
            <w:shd w:val="clear" w:color="auto" w:fill="FFFFFF"/>
            <w:vAlign w:val="center"/>
          </w:tcPr>
          <w:p w14:paraId="68D091B6" w14:textId="30BA68DA" w:rsidR="00194111" w:rsidRPr="008F5458" w:rsidRDefault="00194111" w:rsidP="008F5458">
            <w:pPr>
              <w:spacing w:before="100" w:beforeAutospacing="1" w:after="100" w:afterAutospacing="1" w:line="240" w:lineRule="auto"/>
              <w:jc w:val="center"/>
              <w:rPr>
                <w:rFonts w:ascii="Arial" w:hAnsi="Arial" w:cs="Arial"/>
                <w:sz w:val="12"/>
                <w:szCs w:val="12"/>
              </w:rPr>
            </w:pPr>
            <w:proofErr w:type="gramStart"/>
            <w:r w:rsidRPr="008F5458">
              <w:rPr>
                <w:rFonts w:ascii="Arial" w:hAnsi="Arial" w:cs="Arial"/>
                <w:sz w:val="12"/>
                <w:szCs w:val="12"/>
              </w:rPr>
              <w:t>0.044</w:t>
            </w:r>
            <w:proofErr w:type="gramEnd"/>
          </w:p>
        </w:tc>
        <w:tc>
          <w:tcPr>
            <w:tcW w:w="567" w:type="dxa"/>
            <w:tcBorders>
              <w:top w:val="nil"/>
              <w:left w:val="nil"/>
              <w:bottom w:val="single" w:sz="4" w:space="0" w:color="auto"/>
              <w:right w:val="single" w:sz="4" w:space="0" w:color="auto"/>
            </w:tcBorders>
            <w:shd w:val="clear" w:color="auto" w:fill="FFFFFF"/>
            <w:vAlign w:val="center"/>
          </w:tcPr>
          <w:p w14:paraId="2472D1E7" w14:textId="06F62D87" w:rsidR="00194111" w:rsidRPr="008F5458" w:rsidRDefault="00194111" w:rsidP="008F5458">
            <w:pPr>
              <w:spacing w:before="100" w:beforeAutospacing="1" w:after="100" w:afterAutospacing="1" w:line="240" w:lineRule="auto"/>
              <w:jc w:val="center"/>
              <w:rPr>
                <w:rFonts w:ascii="Arial" w:hAnsi="Arial" w:cs="Arial"/>
                <w:sz w:val="12"/>
                <w:szCs w:val="12"/>
              </w:rPr>
            </w:pPr>
            <w:proofErr w:type="gramStart"/>
            <w:r w:rsidRPr="008F5458">
              <w:rPr>
                <w:rFonts w:ascii="Arial" w:hAnsi="Arial" w:cs="Arial"/>
                <w:sz w:val="12"/>
                <w:szCs w:val="12"/>
              </w:rPr>
              <w:t>0.035</w:t>
            </w:r>
            <w:proofErr w:type="gramEnd"/>
          </w:p>
        </w:tc>
        <w:tc>
          <w:tcPr>
            <w:tcW w:w="566" w:type="dxa"/>
            <w:tcBorders>
              <w:top w:val="nil"/>
              <w:left w:val="nil"/>
              <w:bottom w:val="single" w:sz="4" w:space="0" w:color="auto"/>
              <w:right w:val="single" w:sz="4" w:space="0" w:color="auto"/>
            </w:tcBorders>
            <w:shd w:val="clear" w:color="auto" w:fill="FFFFFF"/>
            <w:vAlign w:val="center"/>
          </w:tcPr>
          <w:p w14:paraId="63EB5C23" w14:textId="1DCA39CA" w:rsidR="00194111" w:rsidRPr="008F5458" w:rsidRDefault="00162AEC"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0,070</w:t>
            </w:r>
          </w:p>
        </w:tc>
        <w:tc>
          <w:tcPr>
            <w:tcW w:w="566" w:type="dxa"/>
            <w:tcBorders>
              <w:top w:val="nil"/>
              <w:left w:val="nil"/>
              <w:bottom w:val="single" w:sz="4" w:space="0" w:color="auto"/>
              <w:right w:val="single" w:sz="4" w:space="0" w:color="auto"/>
            </w:tcBorders>
            <w:shd w:val="clear" w:color="auto" w:fill="FFFFFF"/>
            <w:vAlign w:val="center"/>
          </w:tcPr>
          <w:p w14:paraId="573AA705" w14:textId="07DEA2ED" w:rsidR="00194111" w:rsidRPr="008F5458" w:rsidRDefault="00162AEC"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0.149</w:t>
            </w:r>
            <w:proofErr w:type="gramEnd"/>
          </w:p>
        </w:tc>
        <w:tc>
          <w:tcPr>
            <w:tcW w:w="566" w:type="dxa"/>
            <w:tcBorders>
              <w:top w:val="nil"/>
              <w:left w:val="nil"/>
              <w:bottom w:val="single" w:sz="4" w:space="0" w:color="auto"/>
              <w:right w:val="single" w:sz="4" w:space="0" w:color="auto"/>
            </w:tcBorders>
            <w:shd w:val="clear" w:color="auto" w:fill="FFFFFF"/>
            <w:vAlign w:val="center"/>
          </w:tcPr>
          <w:p w14:paraId="002651C6" w14:textId="62483C33"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0.026</w:t>
            </w:r>
            <w:proofErr w:type="gramEnd"/>
          </w:p>
        </w:tc>
        <w:tc>
          <w:tcPr>
            <w:tcW w:w="566" w:type="dxa"/>
            <w:tcBorders>
              <w:top w:val="nil"/>
              <w:left w:val="nil"/>
              <w:bottom w:val="single" w:sz="4" w:space="0" w:color="auto"/>
              <w:right w:val="single" w:sz="4" w:space="0" w:color="auto"/>
            </w:tcBorders>
            <w:shd w:val="clear" w:color="auto" w:fill="FFFFFF"/>
            <w:vAlign w:val="center"/>
          </w:tcPr>
          <w:p w14:paraId="591BBC12" w14:textId="7FBD01FA"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proofErr w:type="gramStart"/>
            <w:r w:rsidRPr="008F5458">
              <w:rPr>
                <w:rFonts w:ascii="Arial" w:eastAsia="Times New Roman" w:hAnsi="Arial" w:cs="Arial"/>
                <w:sz w:val="12"/>
                <w:szCs w:val="12"/>
              </w:rPr>
              <w:t>0.066</w:t>
            </w:r>
            <w:proofErr w:type="gramEnd"/>
          </w:p>
        </w:tc>
        <w:tc>
          <w:tcPr>
            <w:tcW w:w="566" w:type="dxa"/>
            <w:tcBorders>
              <w:top w:val="nil"/>
              <w:left w:val="nil"/>
              <w:bottom w:val="single" w:sz="4" w:space="0" w:color="auto"/>
              <w:right w:val="single" w:sz="4" w:space="0" w:color="auto"/>
            </w:tcBorders>
            <w:shd w:val="clear" w:color="auto" w:fill="FFFFFF"/>
            <w:vAlign w:val="center"/>
          </w:tcPr>
          <w:p w14:paraId="180ADFA6" w14:textId="065216AB"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_Ref528654640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J</w:t>
            </w:r>
            <w:r w:rsidRPr="008F5458">
              <w:rPr>
                <w:rFonts w:ascii="Arial" w:eastAsia="Times New Roman" w:hAnsi="Arial" w:cs="Arial"/>
                <w:sz w:val="12"/>
                <w:szCs w:val="12"/>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7432B4C0" w14:textId="771E2FC0" w:rsidR="00194111" w:rsidRPr="008F5458" w:rsidRDefault="00C828CC" w:rsidP="008F5458">
            <w:pPr>
              <w:spacing w:before="100" w:beforeAutospacing="1" w:after="100" w:afterAutospacing="1" w:line="240" w:lineRule="auto"/>
              <w:jc w:val="center"/>
              <w:rPr>
                <w:rFonts w:ascii="Arial" w:eastAsia="Times New Roman" w:hAnsi="Arial" w:cs="Arial"/>
                <w:sz w:val="12"/>
                <w:szCs w:val="12"/>
              </w:rPr>
            </w:pPr>
            <w:r w:rsidRPr="00C828CC">
              <w:rPr>
                <w:rFonts w:ascii="Arial" w:eastAsia="Times New Roman" w:hAnsi="Arial" w:cs="Arial"/>
                <w:sz w:val="12"/>
                <w:szCs w:val="12"/>
              </w:rPr>
              <w:fldChar w:fldCharType="begin" w:fldLock="1"/>
            </w:r>
            <w:r w:rsidR="001A7298">
              <w:rPr>
                <w:rFonts w:ascii="Arial" w:eastAsia="Times New Roman" w:hAnsi="Arial" w:cs="Arial"/>
                <w:sz w:val="12"/>
                <w:szCs w:val="12"/>
                <w:lang w:val="en-US"/>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mendeley":{"formattedCitation":"[44]","plainTextFormattedCitation":"[44]","previouslyFormattedCitation":"[44]"},"properties":{"noteIndex":0},"schema":"https://github.com/citation-style-language/schema/raw/master/csl-citation.json"}</w:instrText>
            </w:r>
            <w:r w:rsidRPr="00C828CC">
              <w:rPr>
                <w:rFonts w:ascii="Arial" w:eastAsia="Times New Roman" w:hAnsi="Arial" w:cs="Arial"/>
                <w:sz w:val="12"/>
                <w:szCs w:val="12"/>
              </w:rPr>
              <w:fldChar w:fldCharType="separate"/>
            </w:r>
            <w:r w:rsidR="00B60186" w:rsidRPr="00B60186">
              <w:rPr>
                <w:rFonts w:ascii="Arial" w:eastAsia="Times New Roman" w:hAnsi="Arial" w:cs="Arial"/>
                <w:noProof/>
                <w:sz w:val="12"/>
                <w:szCs w:val="12"/>
                <w:lang w:val="en-US"/>
              </w:rPr>
              <w:t>[44]</w:t>
            </w:r>
            <w:r w:rsidRPr="00C828CC">
              <w:rPr>
                <w:rFonts w:ascii="Arial" w:eastAsia="Times New Roman" w:hAnsi="Arial" w:cs="Arial"/>
                <w:sz w:val="12"/>
                <w:szCs w:val="12"/>
              </w:rPr>
              <w:fldChar w:fldCharType="end"/>
            </w:r>
          </w:p>
        </w:tc>
      </w:tr>
      <w:tr w:rsidR="00194111" w:rsidRPr="007F2F6B" w14:paraId="2758674F"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6F117E5A" w14:textId="0D49C647"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lang w:val="en-US"/>
              </w:rPr>
              <w:t>- capacity component (M€/MW) PCS</w:t>
            </w:r>
          </w:p>
        </w:tc>
        <w:tc>
          <w:tcPr>
            <w:tcW w:w="567" w:type="dxa"/>
            <w:tcBorders>
              <w:top w:val="nil"/>
              <w:left w:val="nil"/>
              <w:bottom w:val="single" w:sz="4" w:space="0" w:color="auto"/>
              <w:right w:val="single" w:sz="4" w:space="0" w:color="auto"/>
            </w:tcBorders>
            <w:shd w:val="clear" w:color="auto" w:fill="FFFFFF"/>
            <w:vAlign w:val="center"/>
          </w:tcPr>
          <w:p w14:paraId="0D29375D" w14:textId="303DB3D8" w:rsidR="00194111" w:rsidRPr="008F5458" w:rsidRDefault="00194111"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rPr>
              <w:t>0.29</w:t>
            </w:r>
          </w:p>
        </w:tc>
        <w:tc>
          <w:tcPr>
            <w:tcW w:w="757" w:type="dxa"/>
            <w:gridSpan w:val="2"/>
            <w:tcBorders>
              <w:top w:val="nil"/>
              <w:left w:val="nil"/>
              <w:bottom w:val="single" w:sz="4" w:space="0" w:color="auto"/>
              <w:right w:val="single" w:sz="4" w:space="0" w:color="auto"/>
            </w:tcBorders>
            <w:shd w:val="clear" w:color="auto" w:fill="FFFFFF"/>
            <w:vAlign w:val="center"/>
          </w:tcPr>
          <w:p w14:paraId="013D9739" w14:textId="2BF5A54B" w:rsidR="00194111" w:rsidRPr="008F5458" w:rsidRDefault="00194111" w:rsidP="008F5458">
            <w:pPr>
              <w:spacing w:before="100" w:beforeAutospacing="1" w:after="100" w:afterAutospacing="1" w:line="240" w:lineRule="auto"/>
              <w:jc w:val="center"/>
              <w:rPr>
                <w:rFonts w:ascii="Arial" w:hAnsi="Arial" w:cs="Arial"/>
                <w:sz w:val="12"/>
                <w:szCs w:val="12"/>
                <w:lang w:val="en-US"/>
              </w:rPr>
            </w:pPr>
            <w:r w:rsidRPr="008F5458">
              <w:rPr>
                <w:rFonts w:ascii="Arial" w:hAnsi="Arial" w:cs="Arial"/>
                <w:sz w:val="12"/>
                <w:szCs w:val="12"/>
              </w:rPr>
              <w:t>0.27</w:t>
            </w:r>
          </w:p>
        </w:tc>
        <w:tc>
          <w:tcPr>
            <w:tcW w:w="565" w:type="dxa"/>
            <w:tcBorders>
              <w:top w:val="nil"/>
              <w:left w:val="nil"/>
              <w:bottom w:val="single" w:sz="4" w:space="0" w:color="auto"/>
              <w:right w:val="single" w:sz="4" w:space="0" w:color="auto"/>
            </w:tcBorders>
            <w:shd w:val="clear" w:color="auto" w:fill="FFFFFF"/>
            <w:vAlign w:val="center"/>
          </w:tcPr>
          <w:p w14:paraId="32DF0E2B" w14:textId="7F90E9AB" w:rsidR="00194111" w:rsidRPr="008F5458" w:rsidRDefault="00194111" w:rsidP="008F5458">
            <w:pPr>
              <w:spacing w:before="100" w:beforeAutospacing="1" w:after="100" w:afterAutospacing="1" w:line="240" w:lineRule="auto"/>
              <w:jc w:val="center"/>
              <w:rPr>
                <w:rFonts w:ascii="Arial" w:hAnsi="Arial" w:cs="Arial"/>
                <w:sz w:val="12"/>
                <w:szCs w:val="12"/>
                <w:lang w:val="en-US"/>
              </w:rPr>
            </w:pPr>
            <w:r w:rsidRPr="008F5458">
              <w:rPr>
                <w:rFonts w:ascii="Arial" w:hAnsi="Arial" w:cs="Arial"/>
                <w:sz w:val="12"/>
                <w:szCs w:val="12"/>
              </w:rPr>
              <w:t>0.20</w:t>
            </w:r>
          </w:p>
        </w:tc>
        <w:tc>
          <w:tcPr>
            <w:tcW w:w="566" w:type="dxa"/>
            <w:tcBorders>
              <w:top w:val="nil"/>
              <w:left w:val="nil"/>
              <w:bottom w:val="single" w:sz="4" w:space="0" w:color="auto"/>
              <w:right w:val="nil"/>
            </w:tcBorders>
            <w:shd w:val="clear" w:color="auto" w:fill="FFFFFF"/>
            <w:vAlign w:val="center"/>
          </w:tcPr>
          <w:p w14:paraId="322F64C2" w14:textId="3181DDBF" w:rsidR="00194111" w:rsidRPr="008F5458" w:rsidRDefault="00194111" w:rsidP="008F5458">
            <w:pPr>
              <w:spacing w:before="100" w:beforeAutospacing="1" w:after="100" w:afterAutospacing="1" w:line="240" w:lineRule="auto"/>
              <w:jc w:val="center"/>
              <w:rPr>
                <w:rFonts w:ascii="Arial" w:hAnsi="Arial" w:cs="Arial"/>
                <w:sz w:val="12"/>
                <w:szCs w:val="12"/>
                <w:lang w:val="en-US"/>
              </w:rPr>
            </w:pPr>
            <w:r w:rsidRPr="008F5458">
              <w:rPr>
                <w:rFonts w:ascii="Arial" w:hAnsi="Arial" w:cs="Arial"/>
                <w:sz w:val="12"/>
                <w:szCs w:val="12"/>
              </w:rPr>
              <w:t>0.16</w:t>
            </w:r>
          </w:p>
        </w:tc>
        <w:tc>
          <w:tcPr>
            <w:tcW w:w="567" w:type="dxa"/>
            <w:tcBorders>
              <w:top w:val="nil"/>
              <w:left w:val="nil"/>
              <w:bottom w:val="single" w:sz="4" w:space="0" w:color="auto"/>
              <w:right w:val="single" w:sz="4" w:space="0" w:color="auto"/>
            </w:tcBorders>
            <w:shd w:val="clear" w:color="auto" w:fill="FFFFFF"/>
            <w:vAlign w:val="center"/>
          </w:tcPr>
          <w:p w14:paraId="5F394359" w14:textId="403F5F25" w:rsidR="00194111" w:rsidRPr="008F5458" w:rsidRDefault="00194111" w:rsidP="008F5458">
            <w:pPr>
              <w:spacing w:before="100" w:beforeAutospacing="1" w:after="100" w:afterAutospacing="1" w:line="240" w:lineRule="auto"/>
              <w:jc w:val="center"/>
              <w:rPr>
                <w:rFonts w:ascii="Arial" w:hAnsi="Arial" w:cs="Arial"/>
                <w:sz w:val="12"/>
                <w:szCs w:val="12"/>
                <w:lang w:val="en-US"/>
              </w:rPr>
            </w:pPr>
            <w:r w:rsidRPr="008F5458">
              <w:rPr>
                <w:rFonts w:ascii="Arial" w:hAnsi="Arial" w:cs="Arial"/>
                <w:sz w:val="12"/>
                <w:szCs w:val="12"/>
              </w:rPr>
              <w:t>0.13</w:t>
            </w:r>
          </w:p>
        </w:tc>
        <w:tc>
          <w:tcPr>
            <w:tcW w:w="566" w:type="dxa"/>
            <w:tcBorders>
              <w:top w:val="nil"/>
              <w:left w:val="nil"/>
              <w:bottom w:val="single" w:sz="4" w:space="0" w:color="auto"/>
              <w:right w:val="single" w:sz="4" w:space="0" w:color="auto"/>
            </w:tcBorders>
            <w:shd w:val="clear" w:color="auto" w:fill="FFFFFF"/>
            <w:vAlign w:val="center"/>
          </w:tcPr>
          <w:p w14:paraId="32D99FDC" w14:textId="5945F594" w:rsidR="00194111"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0.24</w:t>
            </w:r>
          </w:p>
        </w:tc>
        <w:tc>
          <w:tcPr>
            <w:tcW w:w="566" w:type="dxa"/>
            <w:tcBorders>
              <w:top w:val="nil"/>
              <w:left w:val="nil"/>
              <w:bottom w:val="single" w:sz="4" w:space="0" w:color="auto"/>
              <w:right w:val="single" w:sz="4" w:space="0" w:color="auto"/>
            </w:tcBorders>
            <w:shd w:val="clear" w:color="auto" w:fill="FFFFFF"/>
            <w:vAlign w:val="center"/>
          </w:tcPr>
          <w:p w14:paraId="61D69A14" w14:textId="12F97AD1"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0.51</w:t>
            </w:r>
          </w:p>
        </w:tc>
        <w:tc>
          <w:tcPr>
            <w:tcW w:w="566" w:type="dxa"/>
            <w:tcBorders>
              <w:top w:val="nil"/>
              <w:left w:val="nil"/>
              <w:bottom w:val="single" w:sz="4" w:space="0" w:color="auto"/>
              <w:right w:val="single" w:sz="4" w:space="0" w:color="auto"/>
            </w:tcBorders>
            <w:shd w:val="clear" w:color="auto" w:fill="FFFFFF"/>
            <w:vAlign w:val="center"/>
          </w:tcPr>
          <w:p w14:paraId="00E1E555" w14:textId="6BEB1F15" w:rsidR="00194111"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0.10</w:t>
            </w:r>
          </w:p>
        </w:tc>
        <w:tc>
          <w:tcPr>
            <w:tcW w:w="566" w:type="dxa"/>
            <w:tcBorders>
              <w:top w:val="nil"/>
              <w:left w:val="nil"/>
              <w:bottom w:val="single" w:sz="4" w:space="0" w:color="auto"/>
              <w:right w:val="single" w:sz="4" w:space="0" w:color="auto"/>
            </w:tcBorders>
            <w:shd w:val="clear" w:color="auto" w:fill="FFFFFF"/>
            <w:vAlign w:val="center"/>
          </w:tcPr>
          <w:p w14:paraId="7527AF37" w14:textId="43E1D4C6" w:rsidR="00194111"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0,25</w:t>
            </w:r>
          </w:p>
        </w:tc>
        <w:tc>
          <w:tcPr>
            <w:tcW w:w="566" w:type="dxa"/>
            <w:tcBorders>
              <w:top w:val="nil"/>
              <w:left w:val="nil"/>
              <w:bottom w:val="single" w:sz="4" w:space="0" w:color="auto"/>
              <w:right w:val="single" w:sz="4" w:space="0" w:color="auto"/>
            </w:tcBorders>
            <w:shd w:val="clear" w:color="auto" w:fill="FFFFFF"/>
            <w:vAlign w:val="center"/>
          </w:tcPr>
          <w:p w14:paraId="0E79B9CF" w14:textId="163C53D9" w:rsidR="00194111" w:rsidRPr="008F5458" w:rsidRDefault="00194111"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_Ref528592236 \r \h </w:instrText>
            </w:r>
            <w:r w:rsidR="00EB15B2" w:rsidRPr="008F5458">
              <w:rPr>
                <w:rFonts w:ascii="Arial" w:eastAsia="Times New Roman" w:hAnsi="Arial" w:cs="Arial"/>
                <w:sz w:val="12"/>
                <w:szCs w:val="12"/>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K</w:t>
            </w:r>
            <w:r w:rsidRPr="008F5458">
              <w:rPr>
                <w:rFonts w:ascii="Arial" w:eastAsia="Times New Roman" w:hAnsi="Arial" w:cs="Arial"/>
                <w:sz w:val="12"/>
                <w:szCs w:val="12"/>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6ED9FDB5" w14:textId="5A65F431" w:rsidR="00194111" w:rsidRPr="008F5458" w:rsidRDefault="00194111" w:rsidP="008F5458">
            <w:pPr>
              <w:spacing w:before="100" w:beforeAutospacing="1" w:after="100" w:afterAutospacing="1" w:line="240" w:lineRule="auto"/>
              <w:jc w:val="center"/>
              <w:rPr>
                <w:rFonts w:ascii="Arial" w:eastAsia="Times New Roman" w:hAnsi="Arial" w:cs="Arial"/>
                <w:strike/>
                <w:sz w:val="12"/>
                <w:szCs w:val="12"/>
                <w:lang w:val="en-US"/>
              </w:rPr>
            </w:pPr>
            <w:r w:rsidRPr="008F5458">
              <w:rPr>
                <w:rFonts w:ascii="Arial" w:hAnsi="Arial" w:cs="Arial"/>
                <w:sz w:val="12"/>
                <w:szCs w:val="12"/>
                <w:lang w:val="en-US"/>
              </w:rPr>
              <w:fldChar w:fldCharType="begin" w:fldLock="1"/>
            </w:r>
            <w:r w:rsidR="00A15D71">
              <w:rPr>
                <w:rFonts w:ascii="Arial" w:hAnsi="Arial" w:cs="Arial"/>
                <w:sz w:val="12"/>
                <w:szCs w:val="12"/>
                <w:lang w:val="en-US"/>
              </w:rPr>
              <w:instrText>ADDIN CSL_CITATION {"citationItems":[{"id":"ITEM-1","itemData":{"DOI":"10.3390/en10010108","ISSN":"19961073","abstract":"This paper offers a wide overview on the large-scale electrochemical energy projects installed in the high voltage Italian grid. Detailed descriptions of energy (charge/discharge times of about 8 h) and power intensive (charge/discharge times ranging from 0.5 h to 4 h) installations are presented with some insights into the authorization procedures, safety features, and ancillary services. These different charge/discharge times reflect the different operation uses inside the electric grid. Energy intensive storage aims at decoupling generation and utilization since, in the southern part of Italy, there has been a great growth of wind farms: these areas are characterized by a surplus of generation with respect to load absorption and to the net transport capacity of the 150 kV high voltage backbones. Power intensive storage aims at providing ancillary services inside the electric grid as primary and secondary frequency regulation, synthetic rotational inertia, and further functionalities. The return on experience of Italian installations will be able to play a key role also for other countries and other transmission system operators.","author":[{"dropping-particle":"","family":"Benato","given":"Roberto","non-dropping-particle":"","parse-names":false,"suffix":""},{"dropping-particle":"","family":"Bruno","given":"Gianluca","non-dropping-particle":"","parse-names":false,"suffix":""},{"dropping-particle":"","family":"Palone","given":"Francesco","non-dropping-particle":"","parse-names":false,"suffix":""},{"dropping-particle":"","family":"Polito","given":"Rosario M.","non-dropping-particle":"","parse-names":false,"suffix":""},{"dropping-particle":"","family":"Rebolini","given":"Massimo","non-dropping-particle":"","parse-names":false,"suffix":""}],"container-title":"Energies","id":"ITEM-1","issue":"1","issued":{"date-parts":[["2017"]]},"title":"Large-scale electrochemical energy storage in high voltage grids: Overview of the Italian experience","type":"article-journal","volume":"10"},"uris":["http://www.mendeley.com/documents/?uuid=784a9ee3-2811-4661-8fe3-7517902c873f"]},{"id":"ITEM-2","itemData":{"DOI":"10.1016/j.rser.2014.10.011","ISBN":"1364-0321","ISSN":"13640321","abstract":"Large-scale deployment of intermittent renewable energy (namely wind energy and solar PV) may entail new challenges in power systems and more volatility in power prices in liberalized electricity markets. Energy storage can diminish this imbalance, relieving the grid congestion, and promoting distributed generation. The economic implications of grid-scale electrical energy storage technologies are however obscure for the experts, power grid operators, regulators, and power producers. A meticulous technoeconomic or cost-benefit analysis of electricity storage systems requires consistent, updated cost data and a holistic cost analysis framework. To this end, this study critically examines the existing literature in the analysis of life cycle costs of utility-scale electricity storage systems, providing an updated database for the cost elements (capital costs, operational and maintenance costs, and replacement costs). Moreover, life cycle costs and levelized cost of electricity delivered by electrical energy storage is analyzed, employing Monte Carlo method to consider uncertainties. The examined energy storage technologies include pumped hydropower storage, compressed air energy storage (CAES), flywheel, electrochemical batteries (e.g. lead-acid, NaS, Li-ion, and Ni-Cd), flow batteries (e.g. vanadium-redox), superconducting magnetic energy storage, supercapacitors, and hydrogen energy storage (power to gas technologies). The results illustrate the economy of different storage systems for three main applications: bulk energy storage, T&amp;D support services, and frequency regulation.","author":[{"dropping-particle":"","family":"Zakeri","given":"Behnam","non-dropping-particle":"","parse-names":false,"suffix":""},{"dropping-particle":"","family":"Syri","given":"Sanna","non-dropping-particle":"","parse-names":false,"suffix":""}],"container-title":"Renewable and Sustainable Energy Reviews","id":"ITEM-2","issued":{"date-parts":[["2015"]]},"page":"569-596","publisher":"Elsevier","title":"Electrical energy storage systems: A comparative life cycle cost analysis","type":"article-journal","volume":"42"},"uris":["http://www.mendeley.com/documents/?uuid=ed24dad4-ad20-4717-90f6-1ba73103b412","http://www.mendeley.com/documents/?uuid=f6d7c79f-22cc-4fe6-aafa-ad68ccce8797","http://www.mendeley.com/documents/?uuid=8b6c9318-6d50-48b5-bd42-237a97c1deae"]},{"id":"ITEM-3","itemData":{"DOI":"SAND2013-5131","ISBN":"SAND2013-5131","abstract":"The Electricity Storage Handbook (Handbook) is a how-to guide for utility and rural cooperative engineers, planners, and decision makers to plan and implement energy storage projects. The Handbook also serves as an information resource for investors and venture capitalists, providing the latest developments in technologies and tools to guide their evaluations of energy storage opportunities. It includes a comprehensive database of the cost of current storage systems in a wide variety of electric utility and customer services, along with interconnection schematics. A list of significant past and present energy storage projects is provided for a practical perspective. This Handbook, jointly sponsored by the U.S. Department of Energy and the Electric Power Research Institute in collaboration with the National Rural Electric Cooperative Association, is published in electronic form at www.sandia.gov/ess.","author":[{"dropping-particle":"","family":"Huff","given":"Georgianne","non-dropping-particle":"","parse-names":false,"suffix":""},{"dropping-particle":"","family":"Currier","given":"Aileen B.","non-dropping-particle":"","parse-names":false,"suffix":""},{"dropping-particle":"","family":"Kaun","given":"Benjamin C.","non-dropping-particle":"","parse-names":false,"suffix":""},{"dropping-particle":"","family":"Rastler","given":"Dan M.","non-dropping-particle":"","parse-names":false,"suffix":""},{"dropping-particle":"","family":"Chen","given":"Stella Bingqing","non-dropping-particle":"","parse-names":false,"suffix":""},{"dropping-particle":"","family":"Bradshaw","given":"Dale T.","non-dropping-particle":"","parse-names":false,"suffix":""},{"dropping-particle":"","family":"Gauntlett","given":"William D.","non-dropping-particle":"","parse-names":false,"suffix":""}],"container-title":"Report SAND2013- …","id":"ITEM-3","issue":"July","issued":{"date-parts":[["2013"]]},"number-of-pages":"340","title":"DOE/EPRI 2013 electricity storage handbook in collaboration with NRECA","type":"report"},"uris":["http://www.mendeley.com/documents/?uuid=3186654e-214c-451c-a7b1-4876c9bb2657","http://www.mendeley.com/documents/?uuid=324174d6-54cb-4e5f-99b0-53f2aafbf7c4","http://www.mendeley.com/documents/?uuid=3faac734-aa45-41d5-ac65-f5174d6d9e3c"]}],"mendeley":{"formattedCitation":"[54–56]","plainTextFormattedCitation":"[54–56]","previouslyFormattedCitation":"[54–56]"},"properties":{"noteIndex":0},"schema":"https://github.com/citation-style-language/schema/raw/master/csl-citation.json"}</w:instrText>
            </w:r>
            <w:r w:rsidRPr="008F5458">
              <w:rPr>
                <w:rFonts w:ascii="Arial" w:hAnsi="Arial" w:cs="Arial"/>
                <w:sz w:val="12"/>
                <w:szCs w:val="12"/>
                <w:lang w:val="en-US"/>
              </w:rPr>
              <w:fldChar w:fldCharType="separate"/>
            </w:r>
            <w:r w:rsidR="00A15D71" w:rsidRPr="00A15D71">
              <w:rPr>
                <w:rFonts w:ascii="Arial" w:hAnsi="Arial" w:cs="Arial"/>
                <w:noProof/>
                <w:sz w:val="12"/>
                <w:szCs w:val="12"/>
                <w:lang w:val="en-US"/>
              </w:rPr>
              <w:t>[54–56]</w:t>
            </w:r>
            <w:r w:rsidRPr="008F5458">
              <w:rPr>
                <w:rFonts w:ascii="Arial" w:hAnsi="Arial" w:cs="Arial"/>
                <w:sz w:val="12"/>
                <w:szCs w:val="12"/>
                <w:lang w:val="en-US"/>
              </w:rPr>
              <w:fldChar w:fldCharType="end"/>
            </w:r>
          </w:p>
        </w:tc>
      </w:tr>
      <w:tr w:rsidR="00162AEC" w:rsidRPr="00724C1F" w14:paraId="764A154A" w14:textId="77777777" w:rsidTr="008F5458">
        <w:trPr>
          <w:trHeight w:hRule="exact" w:val="301"/>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05801360" w14:textId="38543EC9"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lang w:val="en-US"/>
              </w:rPr>
              <w:t>- other project costs (M€/MWh)</w:t>
            </w:r>
          </w:p>
        </w:tc>
        <w:tc>
          <w:tcPr>
            <w:tcW w:w="567" w:type="dxa"/>
            <w:tcBorders>
              <w:top w:val="nil"/>
              <w:left w:val="nil"/>
              <w:bottom w:val="single" w:sz="4" w:space="0" w:color="auto"/>
              <w:right w:val="single" w:sz="4" w:space="0" w:color="auto"/>
            </w:tcBorders>
            <w:shd w:val="clear" w:color="auto" w:fill="FFFFFF"/>
            <w:vAlign w:val="center"/>
          </w:tcPr>
          <w:p w14:paraId="1D73FCE7" w14:textId="5AAB6EC3" w:rsidR="00162AEC" w:rsidRPr="008F5458" w:rsidRDefault="00162AEC" w:rsidP="008F5458">
            <w:pPr>
              <w:spacing w:before="100" w:beforeAutospacing="1" w:after="100" w:afterAutospacing="1" w:line="240" w:lineRule="auto"/>
              <w:jc w:val="center"/>
              <w:rPr>
                <w:rFonts w:ascii="Arial" w:eastAsia="Times New Roman" w:hAnsi="Arial" w:cs="Arial"/>
                <w:sz w:val="12"/>
                <w:szCs w:val="12"/>
                <w:highlight w:val="red"/>
                <w:lang w:val="en-US"/>
              </w:rPr>
            </w:pPr>
            <w:r w:rsidRPr="008F5458">
              <w:rPr>
                <w:rFonts w:ascii="Arial" w:eastAsia="Times New Roman" w:hAnsi="Arial" w:cs="Arial"/>
                <w:sz w:val="12"/>
                <w:szCs w:val="12"/>
                <w:lang w:val="en-US"/>
              </w:rPr>
              <w:t>0.11</w:t>
            </w:r>
          </w:p>
        </w:tc>
        <w:tc>
          <w:tcPr>
            <w:tcW w:w="757" w:type="dxa"/>
            <w:gridSpan w:val="2"/>
            <w:tcBorders>
              <w:top w:val="nil"/>
              <w:left w:val="nil"/>
              <w:bottom w:val="single" w:sz="4" w:space="0" w:color="auto"/>
              <w:right w:val="single" w:sz="4" w:space="0" w:color="auto"/>
            </w:tcBorders>
            <w:shd w:val="clear" w:color="auto" w:fill="FFFFFF"/>
            <w:vAlign w:val="center"/>
          </w:tcPr>
          <w:p w14:paraId="05B9F826" w14:textId="0A4CB400"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8F5458">
              <w:rPr>
                <w:rFonts w:ascii="Arial" w:eastAsia="Times New Roman" w:hAnsi="Arial" w:cs="Arial"/>
                <w:sz w:val="12"/>
                <w:szCs w:val="12"/>
                <w:lang w:val="en-US"/>
              </w:rPr>
              <w:t>0.11</w:t>
            </w:r>
          </w:p>
        </w:tc>
        <w:tc>
          <w:tcPr>
            <w:tcW w:w="565" w:type="dxa"/>
            <w:tcBorders>
              <w:top w:val="nil"/>
              <w:left w:val="nil"/>
              <w:bottom w:val="single" w:sz="4" w:space="0" w:color="auto"/>
              <w:right w:val="single" w:sz="4" w:space="0" w:color="auto"/>
            </w:tcBorders>
            <w:shd w:val="clear" w:color="auto" w:fill="FFFFFF"/>
            <w:vAlign w:val="center"/>
          </w:tcPr>
          <w:p w14:paraId="4A716F32" w14:textId="3BA21394"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8F5458">
              <w:rPr>
                <w:rFonts w:ascii="Arial" w:eastAsia="Times New Roman" w:hAnsi="Arial" w:cs="Arial"/>
                <w:sz w:val="12"/>
                <w:szCs w:val="12"/>
                <w:lang w:val="en-US"/>
              </w:rPr>
              <w:t>0.11</w:t>
            </w:r>
          </w:p>
        </w:tc>
        <w:tc>
          <w:tcPr>
            <w:tcW w:w="566" w:type="dxa"/>
            <w:tcBorders>
              <w:top w:val="nil"/>
              <w:left w:val="nil"/>
              <w:bottom w:val="single" w:sz="4" w:space="0" w:color="auto"/>
              <w:right w:val="nil"/>
            </w:tcBorders>
            <w:shd w:val="clear" w:color="auto" w:fill="FFFFFF"/>
            <w:vAlign w:val="center"/>
          </w:tcPr>
          <w:p w14:paraId="7CC39D23" w14:textId="53D5FBB7"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8F5458">
              <w:rPr>
                <w:rFonts w:ascii="Arial" w:eastAsia="Times New Roman" w:hAnsi="Arial" w:cs="Arial"/>
                <w:sz w:val="12"/>
                <w:szCs w:val="12"/>
                <w:lang w:val="en-US"/>
              </w:rPr>
              <w:t>0.11</w:t>
            </w:r>
          </w:p>
        </w:tc>
        <w:tc>
          <w:tcPr>
            <w:tcW w:w="567" w:type="dxa"/>
            <w:tcBorders>
              <w:top w:val="nil"/>
              <w:left w:val="nil"/>
              <w:bottom w:val="single" w:sz="4" w:space="0" w:color="auto"/>
              <w:right w:val="single" w:sz="4" w:space="0" w:color="auto"/>
            </w:tcBorders>
            <w:shd w:val="clear" w:color="auto" w:fill="FFFFFF"/>
            <w:vAlign w:val="center"/>
          </w:tcPr>
          <w:p w14:paraId="77704EF5" w14:textId="53268B59"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8F5458">
              <w:rPr>
                <w:rFonts w:ascii="Arial" w:eastAsia="Times New Roman" w:hAnsi="Arial" w:cs="Arial"/>
                <w:sz w:val="12"/>
                <w:szCs w:val="12"/>
                <w:lang w:val="en-US"/>
              </w:rPr>
              <w:t>0.11</w:t>
            </w:r>
          </w:p>
        </w:tc>
        <w:tc>
          <w:tcPr>
            <w:tcW w:w="566" w:type="dxa"/>
            <w:tcBorders>
              <w:top w:val="nil"/>
              <w:left w:val="nil"/>
              <w:bottom w:val="single" w:sz="4" w:space="0" w:color="auto"/>
              <w:right w:val="single" w:sz="4" w:space="0" w:color="auto"/>
            </w:tcBorders>
            <w:shd w:val="clear" w:color="auto" w:fill="FFFFFF"/>
            <w:vAlign w:val="center"/>
          </w:tcPr>
          <w:p w14:paraId="2A9207F6" w14:textId="03A1F663"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0.09</w:t>
            </w:r>
          </w:p>
        </w:tc>
        <w:tc>
          <w:tcPr>
            <w:tcW w:w="566" w:type="dxa"/>
            <w:tcBorders>
              <w:top w:val="nil"/>
              <w:left w:val="nil"/>
              <w:bottom w:val="single" w:sz="4" w:space="0" w:color="auto"/>
              <w:right w:val="single" w:sz="4" w:space="0" w:color="auto"/>
            </w:tcBorders>
            <w:shd w:val="clear" w:color="auto" w:fill="FFFFFF"/>
            <w:vAlign w:val="center"/>
          </w:tcPr>
          <w:p w14:paraId="3F48450E" w14:textId="3B3EFFAE"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0.11</w:t>
            </w:r>
          </w:p>
        </w:tc>
        <w:tc>
          <w:tcPr>
            <w:tcW w:w="566" w:type="dxa"/>
            <w:tcBorders>
              <w:top w:val="nil"/>
              <w:left w:val="nil"/>
              <w:bottom w:val="single" w:sz="4" w:space="0" w:color="auto"/>
              <w:right w:val="single" w:sz="4" w:space="0" w:color="auto"/>
            </w:tcBorders>
            <w:shd w:val="clear" w:color="auto" w:fill="FFFFFF"/>
            <w:vAlign w:val="center"/>
          </w:tcPr>
          <w:p w14:paraId="528DF803" w14:textId="56EB2061"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0.07</w:t>
            </w:r>
          </w:p>
        </w:tc>
        <w:tc>
          <w:tcPr>
            <w:tcW w:w="566" w:type="dxa"/>
            <w:tcBorders>
              <w:top w:val="nil"/>
              <w:left w:val="nil"/>
              <w:bottom w:val="single" w:sz="4" w:space="0" w:color="auto"/>
              <w:right w:val="single" w:sz="4" w:space="0" w:color="auto"/>
            </w:tcBorders>
            <w:shd w:val="clear" w:color="auto" w:fill="FFFFFF"/>
            <w:vAlign w:val="center"/>
          </w:tcPr>
          <w:p w14:paraId="2B706155" w14:textId="63D2F6B9"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0.11</w:t>
            </w:r>
          </w:p>
        </w:tc>
        <w:tc>
          <w:tcPr>
            <w:tcW w:w="566" w:type="dxa"/>
            <w:tcBorders>
              <w:top w:val="nil"/>
              <w:left w:val="nil"/>
              <w:bottom w:val="single" w:sz="4" w:space="0" w:color="auto"/>
              <w:right w:val="single" w:sz="4" w:space="0" w:color="auto"/>
            </w:tcBorders>
            <w:shd w:val="clear" w:color="auto" w:fill="FFFFFF"/>
            <w:vAlign w:val="center"/>
          </w:tcPr>
          <w:p w14:paraId="1152D658" w14:textId="23696860"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fldChar w:fldCharType="begin"/>
            </w:r>
            <w:r w:rsidRPr="008F5458">
              <w:rPr>
                <w:rFonts w:ascii="Arial" w:eastAsia="Times New Roman" w:hAnsi="Arial" w:cs="Arial"/>
                <w:sz w:val="12"/>
                <w:szCs w:val="12"/>
                <w:lang w:val="en-US"/>
              </w:rPr>
              <w:instrText xml:space="preserve"> REF _Ref528667067 \r \h </w:instrText>
            </w:r>
            <w:r w:rsidR="00EB15B2" w:rsidRPr="008F5458">
              <w:rPr>
                <w:rFonts w:ascii="Arial" w:eastAsia="Times New Roman" w:hAnsi="Arial" w:cs="Arial"/>
                <w:sz w:val="12"/>
                <w:szCs w:val="12"/>
                <w:lang w:val="en-US"/>
              </w:rPr>
              <w:instrText xml:space="preserve"> \* MERGEFORMAT </w:instrText>
            </w:r>
            <w:r w:rsidRPr="008F5458">
              <w:rPr>
                <w:rFonts w:ascii="Arial" w:eastAsia="Times New Roman" w:hAnsi="Arial" w:cs="Arial"/>
                <w:sz w:val="12"/>
                <w:szCs w:val="12"/>
                <w:lang w:val="en-US"/>
              </w:rPr>
            </w:r>
            <w:r w:rsidRPr="008F5458">
              <w:rPr>
                <w:rFonts w:ascii="Arial" w:eastAsia="Times New Roman" w:hAnsi="Arial" w:cs="Arial"/>
                <w:sz w:val="12"/>
                <w:szCs w:val="12"/>
                <w:lang w:val="en-US"/>
              </w:rPr>
              <w:fldChar w:fldCharType="separate"/>
            </w:r>
            <w:r w:rsidR="00E60026">
              <w:rPr>
                <w:rFonts w:ascii="Arial" w:eastAsia="Times New Roman" w:hAnsi="Arial" w:cs="Arial"/>
                <w:sz w:val="12"/>
                <w:szCs w:val="12"/>
                <w:lang w:val="en-US"/>
              </w:rPr>
              <w:t>L</w:t>
            </w:r>
            <w:r w:rsidRPr="008F5458">
              <w:rPr>
                <w:rFonts w:ascii="Arial" w:eastAsia="Times New Roman" w:hAnsi="Arial" w:cs="Arial"/>
                <w:sz w:val="12"/>
                <w:szCs w:val="12"/>
                <w:lang w:val="en-US"/>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31F5A6FE" w14:textId="722D4926" w:rsidR="00162AEC" w:rsidRPr="008F5458" w:rsidRDefault="00162AEC" w:rsidP="008F5458">
            <w:pPr>
              <w:spacing w:before="100" w:beforeAutospacing="1" w:after="100" w:afterAutospacing="1" w:line="240" w:lineRule="auto"/>
              <w:jc w:val="center"/>
              <w:rPr>
                <w:rFonts w:ascii="Arial" w:eastAsia="Times New Roman" w:hAnsi="Arial" w:cs="Arial"/>
                <w:strike/>
                <w:sz w:val="12"/>
                <w:szCs w:val="12"/>
                <w:lang w:val="en-US"/>
              </w:rPr>
            </w:pPr>
            <w:r w:rsidRPr="008F5458">
              <w:rPr>
                <w:rFonts w:ascii="Arial" w:eastAsia="Times New Roman" w:hAnsi="Arial" w:cs="Arial"/>
                <w:sz w:val="12"/>
                <w:szCs w:val="12"/>
              </w:rPr>
              <w:fldChar w:fldCharType="begin" w:fldLock="1"/>
            </w:r>
            <w:r w:rsidR="00D05697">
              <w:rPr>
                <w:rFonts w:ascii="Arial" w:eastAsia="Times New Roman" w:hAnsi="Arial" w:cs="Arial"/>
                <w:sz w:val="12"/>
                <w:szCs w:val="12"/>
              </w:rPr>
              <w:instrText>ADDIN CSL_CITATION {"citationItems":[{"id":"ITEM-1","itemData":{"URL":"https://www.tesla.com/da_DK/blog/Tesla-powerpack-enable-large-scale-sustainable-energy-south-australia?redirect=no Page","author":[{"dropping-particle":"","family":"Tesla","given":"","non-dropping-particle":"","parse-names":false,"suffix":""}],"id":"ITEM-1","issued":{"date-parts":[["2017"]]},"title":"Tesla Powerpack to Enable Large Scale Sustainable Energy to South Australia","type":"webpage"},"uris":["http://www.mendeley.com/documents/?uuid=0159f8c1-a373-405f-b0fa-8dde2e8b3be3"]},{"id":"ITEM-2","itemData":{"DOI":"10.3390/en10010108","ISSN":"19961073","abstract":"This paper offers a wide overview on the large-scale electrochemical energy projects installed in the high voltage Italian grid. Detailed descriptions of energy (charge/discharge times of about 8 h) and power intensive (charge/discharge times ranging from 0.5 h to 4 h) installations are presented with some insights into the authorization procedures, safety features, and ancillary services. These different charge/discharge times reflect the different operation uses inside the electric grid. Energy intensive storage aims at decoupling generation and utilization since, in the southern part of Italy, there has been a great growth of wind farms: these areas are characterized by a surplus of generation with respect to load absorption and to the net transport capacity of the 150 kV high voltage backbones. Power intensive storage aims at providing ancillary services inside the electric grid as primary and secondary frequency regulation, synthetic rotational inertia, and further functionalities. The return on experience of Italian installations will be able to play a key role also for other countries and other transmission system operators.","author":[{"dropping-particle":"","family":"Benato","given":</w:instrText>
            </w:r>
            <w:r w:rsidR="00D05697" w:rsidRPr="00D05697">
              <w:rPr>
                <w:rFonts w:ascii="Arial" w:eastAsia="Times New Roman" w:hAnsi="Arial" w:cs="Arial"/>
                <w:sz w:val="12"/>
                <w:szCs w:val="12"/>
                <w:lang w:val="en-US"/>
              </w:rPr>
              <w:instrText>"Roberto","non-dropping-particle":"","parse-names":false,"suffix":""},{"dropping-particle":"","family":"Bruno","given":"Gianluca","non-dropping-particle":"","parse-names":false,"suffix":""},{"dropping-particle":"","family":"Palone","given":"Francesco","non-dropping-particle":"","parse-names":false,"suffix":""},{"dropping-particle":"","family":"Polito","given":"Rosario M.","non-dropping-particle":"","parse-names":false,"suffix":""},{"dropping-particle":"","family":"Rebolini","given":"Massimo","non-dropping-particle":"","parse-names":false,"suffix":""}],"container-title":"Energies","id":"ITEM-2","issue":"1","issued":{"date-parts":[["2017"]]},"title":"Large-scale electrochemical energy storage in high voltage grids: Overview of the Italian experience","type":"article-journal","volume":"10"},"uris":["http://www.mendeley.com/documents/?uuid=784a9ee3-2811-4661-8fe3-7517902c873f"]},{"id":"ITEM-3","itemData":{"author":[{"dropping-particle":"","family":"Lazard","given":"","non-dropping-particle":"","parse-names":false,"suffix":""}],"id":"ITEM-3","issued":{"date-parts":[["2017"]]},"title":"Lazard.com | Levelized Cost of Storage 2017","type":"report"},"uris":["http://www.mendeley.com/documents/?uuid=56d03985-97ee-3fc7-9728-f80c5cd919c9"]}],"mendeley":{"formattedCitation":"[22,40,54]","plainTextFormattedCitation":"[22,40,54]","previouslyFormattedCitation":"[22,40,54]"},"properties":{"noteIndex":0},"schema":"https://github.com/citation-style-language/schema/raw/master/csl-citation.json"}</w:instrText>
            </w:r>
            <w:r w:rsidRPr="008F5458">
              <w:rPr>
                <w:rFonts w:ascii="Arial" w:eastAsia="Times New Roman" w:hAnsi="Arial" w:cs="Arial"/>
                <w:sz w:val="12"/>
                <w:szCs w:val="12"/>
              </w:rPr>
              <w:fldChar w:fldCharType="separate"/>
            </w:r>
            <w:r w:rsidR="001A7298" w:rsidRPr="001A7298">
              <w:rPr>
                <w:rFonts w:ascii="Arial" w:eastAsia="Times New Roman" w:hAnsi="Arial" w:cs="Arial"/>
                <w:noProof/>
                <w:sz w:val="12"/>
                <w:szCs w:val="12"/>
                <w:lang w:val="en-US"/>
              </w:rPr>
              <w:t>[22,40,54]</w:t>
            </w:r>
            <w:r w:rsidRPr="008F5458">
              <w:rPr>
                <w:rFonts w:ascii="Arial" w:eastAsia="Times New Roman" w:hAnsi="Arial" w:cs="Arial"/>
                <w:sz w:val="12"/>
                <w:szCs w:val="12"/>
              </w:rPr>
              <w:fldChar w:fldCharType="end"/>
            </w:r>
          </w:p>
        </w:tc>
      </w:tr>
      <w:tr w:rsidR="00162AEC" w:rsidRPr="00724C1F" w14:paraId="782B8511" w14:textId="77777777" w:rsidTr="008F5458">
        <w:trPr>
          <w:trHeight w:hRule="exact" w:val="270"/>
        </w:trPr>
        <w:tc>
          <w:tcPr>
            <w:tcW w:w="2127" w:type="dxa"/>
            <w:gridSpan w:val="2"/>
            <w:tcBorders>
              <w:top w:val="nil"/>
              <w:left w:val="single" w:sz="4" w:space="0" w:color="auto"/>
              <w:bottom w:val="single" w:sz="4" w:space="0" w:color="auto"/>
              <w:right w:val="single" w:sz="4" w:space="0" w:color="auto"/>
            </w:tcBorders>
            <w:shd w:val="clear" w:color="auto" w:fill="FFFFFF"/>
            <w:vAlign w:val="center"/>
            <w:hideMark/>
          </w:tcPr>
          <w:p w14:paraId="131FA1D6"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lang w:val="en-US"/>
              </w:rPr>
              <w:t>Fixed O&amp;M (k€2015/MW/year)</w:t>
            </w:r>
          </w:p>
        </w:tc>
        <w:tc>
          <w:tcPr>
            <w:tcW w:w="567" w:type="dxa"/>
            <w:tcBorders>
              <w:top w:val="nil"/>
              <w:left w:val="nil"/>
              <w:bottom w:val="single" w:sz="4" w:space="0" w:color="auto"/>
              <w:right w:val="single" w:sz="4" w:space="0" w:color="auto"/>
            </w:tcBorders>
            <w:shd w:val="clear" w:color="auto" w:fill="FFFFFF"/>
            <w:vAlign w:val="center"/>
          </w:tcPr>
          <w:p w14:paraId="3F903C39" w14:textId="34ACAEA7" w:rsidR="00162AEC" w:rsidRPr="008F5458" w:rsidRDefault="00162AEC" w:rsidP="008F5458">
            <w:pPr>
              <w:spacing w:before="100" w:beforeAutospacing="1" w:after="100" w:afterAutospacing="1" w:line="240" w:lineRule="auto"/>
              <w:jc w:val="center"/>
              <w:rPr>
                <w:rFonts w:ascii="Arial" w:eastAsia="Times New Roman" w:hAnsi="Arial" w:cs="Arial"/>
                <w:sz w:val="12"/>
                <w:szCs w:val="12"/>
                <w:highlight w:val="red"/>
                <w:lang w:val="en-US"/>
              </w:rPr>
            </w:pPr>
            <w:r w:rsidRPr="008F5458">
              <w:rPr>
                <w:rFonts w:ascii="Arial" w:eastAsia="Times New Roman" w:hAnsi="Arial" w:cs="Arial"/>
                <w:sz w:val="12"/>
                <w:szCs w:val="12"/>
                <w:lang w:val="en-US"/>
              </w:rPr>
              <w:t>0.54</w:t>
            </w:r>
          </w:p>
        </w:tc>
        <w:tc>
          <w:tcPr>
            <w:tcW w:w="757" w:type="dxa"/>
            <w:gridSpan w:val="2"/>
            <w:tcBorders>
              <w:top w:val="nil"/>
              <w:left w:val="nil"/>
              <w:bottom w:val="single" w:sz="4" w:space="0" w:color="auto"/>
              <w:right w:val="single" w:sz="4" w:space="0" w:color="auto"/>
            </w:tcBorders>
            <w:shd w:val="clear" w:color="auto" w:fill="FFFFFF"/>
            <w:vAlign w:val="center"/>
          </w:tcPr>
          <w:p w14:paraId="1B633A5D" w14:textId="475ECAE2"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8F5458">
              <w:rPr>
                <w:rFonts w:ascii="Arial" w:eastAsia="Times New Roman" w:hAnsi="Arial" w:cs="Arial"/>
                <w:sz w:val="12"/>
                <w:szCs w:val="12"/>
                <w:lang w:val="en-US"/>
              </w:rPr>
              <w:t>0.54</w:t>
            </w:r>
          </w:p>
        </w:tc>
        <w:tc>
          <w:tcPr>
            <w:tcW w:w="565" w:type="dxa"/>
            <w:tcBorders>
              <w:top w:val="nil"/>
              <w:left w:val="nil"/>
              <w:bottom w:val="single" w:sz="4" w:space="0" w:color="auto"/>
              <w:right w:val="single" w:sz="4" w:space="0" w:color="auto"/>
            </w:tcBorders>
            <w:shd w:val="clear" w:color="auto" w:fill="FFFFFF"/>
            <w:vAlign w:val="center"/>
          </w:tcPr>
          <w:p w14:paraId="48C2CB97" w14:textId="1A9A1359"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8F5458">
              <w:rPr>
                <w:rFonts w:ascii="Arial" w:eastAsia="Times New Roman" w:hAnsi="Arial" w:cs="Arial"/>
                <w:sz w:val="12"/>
                <w:szCs w:val="12"/>
                <w:lang w:val="en-US"/>
              </w:rPr>
              <w:t>0.54</w:t>
            </w:r>
          </w:p>
        </w:tc>
        <w:tc>
          <w:tcPr>
            <w:tcW w:w="566" w:type="dxa"/>
            <w:tcBorders>
              <w:top w:val="nil"/>
              <w:left w:val="nil"/>
              <w:bottom w:val="single" w:sz="4" w:space="0" w:color="auto"/>
              <w:right w:val="nil"/>
            </w:tcBorders>
            <w:shd w:val="clear" w:color="auto" w:fill="FFFFFF"/>
            <w:vAlign w:val="center"/>
          </w:tcPr>
          <w:p w14:paraId="74093678" w14:textId="23E50F9B"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8F5458">
              <w:rPr>
                <w:rFonts w:ascii="Arial" w:eastAsia="Times New Roman" w:hAnsi="Arial" w:cs="Arial"/>
                <w:sz w:val="12"/>
                <w:szCs w:val="12"/>
                <w:lang w:val="en-US"/>
              </w:rPr>
              <w:t>0.54</w:t>
            </w:r>
          </w:p>
        </w:tc>
        <w:tc>
          <w:tcPr>
            <w:tcW w:w="567" w:type="dxa"/>
            <w:tcBorders>
              <w:top w:val="nil"/>
              <w:left w:val="nil"/>
              <w:bottom w:val="single" w:sz="4" w:space="0" w:color="auto"/>
              <w:right w:val="single" w:sz="4" w:space="0" w:color="auto"/>
            </w:tcBorders>
            <w:shd w:val="clear" w:color="auto" w:fill="FFFFFF"/>
            <w:vAlign w:val="center"/>
          </w:tcPr>
          <w:p w14:paraId="207B98E6" w14:textId="259471B8"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8F5458">
              <w:rPr>
                <w:rFonts w:ascii="Arial" w:eastAsia="Times New Roman" w:hAnsi="Arial" w:cs="Arial"/>
                <w:sz w:val="12"/>
                <w:szCs w:val="12"/>
                <w:lang w:val="en-US"/>
              </w:rPr>
              <w:t>0.54</w:t>
            </w:r>
          </w:p>
        </w:tc>
        <w:tc>
          <w:tcPr>
            <w:tcW w:w="566" w:type="dxa"/>
            <w:tcBorders>
              <w:top w:val="nil"/>
              <w:left w:val="nil"/>
              <w:bottom w:val="single" w:sz="4" w:space="0" w:color="auto"/>
              <w:right w:val="single" w:sz="4" w:space="0" w:color="auto"/>
            </w:tcBorders>
            <w:shd w:val="clear" w:color="auto" w:fill="FFFFFF"/>
            <w:vAlign w:val="center"/>
          </w:tcPr>
          <w:p w14:paraId="40A57A69" w14:textId="3E657D4D"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0.45</w:t>
            </w:r>
          </w:p>
        </w:tc>
        <w:tc>
          <w:tcPr>
            <w:tcW w:w="566" w:type="dxa"/>
            <w:tcBorders>
              <w:top w:val="nil"/>
              <w:left w:val="nil"/>
              <w:bottom w:val="single" w:sz="4" w:space="0" w:color="auto"/>
              <w:right w:val="single" w:sz="4" w:space="0" w:color="auto"/>
            </w:tcBorders>
            <w:shd w:val="clear" w:color="auto" w:fill="FFFFFF"/>
            <w:vAlign w:val="center"/>
          </w:tcPr>
          <w:p w14:paraId="2755D33B" w14:textId="4016B4B5"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0.54</w:t>
            </w:r>
          </w:p>
        </w:tc>
        <w:tc>
          <w:tcPr>
            <w:tcW w:w="566" w:type="dxa"/>
            <w:tcBorders>
              <w:top w:val="nil"/>
              <w:left w:val="nil"/>
              <w:bottom w:val="single" w:sz="4" w:space="0" w:color="auto"/>
              <w:right w:val="single" w:sz="4" w:space="0" w:color="auto"/>
            </w:tcBorders>
            <w:shd w:val="clear" w:color="auto" w:fill="FFFFFF"/>
            <w:vAlign w:val="center"/>
          </w:tcPr>
          <w:p w14:paraId="2295440B" w14:textId="421F665C"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0.40</w:t>
            </w:r>
          </w:p>
        </w:tc>
        <w:tc>
          <w:tcPr>
            <w:tcW w:w="566" w:type="dxa"/>
            <w:tcBorders>
              <w:top w:val="nil"/>
              <w:left w:val="nil"/>
              <w:bottom w:val="single" w:sz="4" w:space="0" w:color="auto"/>
              <w:right w:val="single" w:sz="4" w:space="0" w:color="auto"/>
            </w:tcBorders>
            <w:shd w:val="clear" w:color="auto" w:fill="FFFFFF"/>
            <w:vAlign w:val="center"/>
          </w:tcPr>
          <w:p w14:paraId="53602A05" w14:textId="1B24A66E"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0.54</w:t>
            </w:r>
          </w:p>
        </w:tc>
        <w:tc>
          <w:tcPr>
            <w:tcW w:w="566" w:type="dxa"/>
            <w:tcBorders>
              <w:top w:val="nil"/>
              <w:left w:val="nil"/>
              <w:bottom w:val="single" w:sz="4" w:space="0" w:color="auto"/>
              <w:right w:val="single" w:sz="4" w:space="0" w:color="auto"/>
            </w:tcBorders>
            <w:shd w:val="clear" w:color="auto" w:fill="FFFFFF"/>
            <w:vAlign w:val="center"/>
          </w:tcPr>
          <w:p w14:paraId="2B38DB5B" w14:textId="1DD5FBBA"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fldChar w:fldCharType="begin"/>
            </w:r>
            <w:r w:rsidRPr="008F5458">
              <w:rPr>
                <w:rFonts w:ascii="Arial" w:eastAsia="Times New Roman" w:hAnsi="Arial" w:cs="Arial"/>
                <w:sz w:val="12"/>
                <w:szCs w:val="12"/>
                <w:lang w:val="en-US"/>
              </w:rPr>
              <w:instrText xml:space="preserve"> REF _Ref528668644 \r \h </w:instrText>
            </w:r>
            <w:r w:rsidR="00EB15B2" w:rsidRPr="008F5458">
              <w:rPr>
                <w:rFonts w:ascii="Arial" w:eastAsia="Times New Roman" w:hAnsi="Arial" w:cs="Arial"/>
                <w:sz w:val="12"/>
                <w:szCs w:val="12"/>
                <w:lang w:val="en-US"/>
              </w:rPr>
              <w:instrText xml:space="preserve"> \* MERGEFORMAT </w:instrText>
            </w:r>
            <w:r w:rsidRPr="008F5458">
              <w:rPr>
                <w:rFonts w:ascii="Arial" w:eastAsia="Times New Roman" w:hAnsi="Arial" w:cs="Arial"/>
                <w:sz w:val="12"/>
                <w:szCs w:val="12"/>
                <w:lang w:val="en-US"/>
              </w:rPr>
            </w:r>
            <w:r w:rsidRPr="008F5458">
              <w:rPr>
                <w:rFonts w:ascii="Arial" w:eastAsia="Times New Roman" w:hAnsi="Arial" w:cs="Arial"/>
                <w:sz w:val="12"/>
                <w:szCs w:val="12"/>
                <w:lang w:val="en-US"/>
              </w:rPr>
              <w:fldChar w:fldCharType="separate"/>
            </w:r>
            <w:r w:rsidR="00E60026">
              <w:rPr>
                <w:rFonts w:ascii="Arial" w:eastAsia="Times New Roman" w:hAnsi="Arial" w:cs="Arial"/>
                <w:sz w:val="12"/>
                <w:szCs w:val="12"/>
                <w:lang w:val="en-US"/>
              </w:rPr>
              <w:t>M</w:t>
            </w:r>
            <w:r w:rsidRPr="008F5458">
              <w:rPr>
                <w:rFonts w:ascii="Arial" w:eastAsia="Times New Roman" w:hAnsi="Arial" w:cs="Arial"/>
                <w:sz w:val="12"/>
                <w:szCs w:val="12"/>
                <w:lang w:val="en-US"/>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3F440E39" w14:textId="44D01A36" w:rsidR="00162AEC" w:rsidRPr="00986F3F" w:rsidRDefault="00162AEC" w:rsidP="008F5458">
            <w:pPr>
              <w:spacing w:before="100" w:beforeAutospacing="1" w:after="100" w:afterAutospacing="1" w:line="240" w:lineRule="auto"/>
              <w:jc w:val="center"/>
              <w:rPr>
                <w:rFonts w:ascii="Arial" w:eastAsia="Times New Roman" w:hAnsi="Arial" w:cs="Arial"/>
                <w:sz w:val="12"/>
                <w:szCs w:val="12"/>
                <w:highlight w:val="yellow"/>
                <w:lang w:val="en-US"/>
              </w:rPr>
            </w:pPr>
            <w:r w:rsidRPr="008F5458">
              <w:rPr>
                <w:rFonts w:ascii="Arial" w:eastAsia="Times New Roman" w:hAnsi="Arial" w:cs="Arial"/>
                <w:sz w:val="12"/>
                <w:szCs w:val="12"/>
                <w:lang w:val="en-US"/>
              </w:rPr>
              <w:fldChar w:fldCharType="begin" w:fldLock="1"/>
            </w:r>
            <w:r w:rsidR="007D441B">
              <w:rPr>
                <w:rFonts w:ascii="Arial" w:eastAsia="Times New Roman" w:hAnsi="Arial" w:cs="Arial"/>
                <w:sz w:val="12"/>
                <w:szCs w:val="12"/>
                <w:lang w:val="en-US"/>
              </w:rPr>
              <w:instrText>ADDIN CSL_CITATION {"citationItems":[{"id":"ITEM-1","itemData":{"author":[{"dropping-particle":"","family":"Lazard","given":"","non-dropping-particle":"","parse-names":false,"suffix":""}],"id":"ITEM-1","issued":{"date-parts":[["2017"]]},"title":"Lazard.com | Levelized Cost of Storage 2017","type":"report"},"uris":["http://www.mendeley.com/documents/?uuid=56d03985-97ee-3fc7-9728-f80c5cd919c9"]}],"mendeley":{"formattedCitation":"[22]","plainTextFormattedCitation":"[22]","previouslyFormattedCitation":"[22]"},"properties":{"noteIndex":0},"schema":"https://github.com/citation-style-language/schema/raw/master/csl-citation.json"}</w:instrText>
            </w:r>
            <w:r w:rsidRPr="008F5458">
              <w:rPr>
                <w:rFonts w:ascii="Arial" w:eastAsia="Times New Roman" w:hAnsi="Arial" w:cs="Arial"/>
                <w:sz w:val="12"/>
                <w:szCs w:val="12"/>
                <w:lang w:val="en-US"/>
              </w:rPr>
              <w:fldChar w:fldCharType="separate"/>
            </w:r>
            <w:r w:rsidR="00986F3F" w:rsidRPr="00986F3F">
              <w:rPr>
                <w:rFonts w:ascii="Arial" w:eastAsia="Times New Roman" w:hAnsi="Arial" w:cs="Arial"/>
                <w:noProof/>
                <w:sz w:val="12"/>
                <w:szCs w:val="12"/>
                <w:lang w:val="en-US"/>
              </w:rPr>
              <w:t>[22]</w:t>
            </w:r>
            <w:r w:rsidRPr="008F5458">
              <w:rPr>
                <w:rFonts w:ascii="Arial" w:eastAsia="Times New Roman" w:hAnsi="Arial" w:cs="Arial"/>
                <w:sz w:val="12"/>
                <w:szCs w:val="12"/>
              </w:rPr>
              <w:fldChar w:fldCharType="end"/>
            </w:r>
          </w:p>
        </w:tc>
      </w:tr>
      <w:tr w:rsidR="00162AEC" w:rsidRPr="00724C1F" w14:paraId="4B8DFBF2"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tcPr>
          <w:p w14:paraId="389CDD61"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lang w:val="en-US"/>
              </w:rPr>
              <w:t>Variable O&amp;M (€2015/MW/year)</w:t>
            </w:r>
          </w:p>
        </w:tc>
        <w:tc>
          <w:tcPr>
            <w:tcW w:w="567" w:type="dxa"/>
            <w:tcBorders>
              <w:top w:val="nil"/>
              <w:left w:val="nil"/>
              <w:bottom w:val="single" w:sz="4" w:space="0" w:color="auto"/>
              <w:right w:val="single" w:sz="4" w:space="0" w:color="auto"/>
            </w:tcBorders>
            <w:shd w:val="clear" w:color="auto" w:fill="FFFFFF"/>
            <w:vAlign w:val="center"/>
          </w:tcPr>
          <w:p w14:paraId="74E5A3FB" w14:textId="10EA2E74"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w:t>
            </w:r>
          </w:p>
        </w:tc>
        <w:tc>
          <w:tcPr>
            <w:tcW w:w="757" w:type="dxa"/>
            <w:gridSpan w:val="2"/>
            <w:tcBorders>
              <w:top w:val="nil"/>
              <w:left w:val="nil"/>
              <w:bottom w:val="single" w:sz="4" w:space="0" w:color="auto"/>
              <w:right w:val="single" w:sz="4" w:space="0" w:color="auto"/>
            </w:tcBorders>
            <w:shd w:val="clear" w:color="auto" w:fill="FFFFFF"/>
            <w:vAlign w:val="center"/>
          </w:tcPr>
          <w:p w14:paraId="28D0DAE8" w14:textId="06A54260"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w:t>
            </w:r>
          </w:p>
        </w:tc>
        <w:tc>
          <w:tcPr>
            <w:tcW w:w="565" w:type="dxa"/>
            <w:tcBorders>
              <w:top w:val="nil"/>
              <w:left w:val="nil"/>
              <w:bottom w:val="single" w:sz="4" w:space="0" w:color="auto"/>
              <w:right w:val="single" w:sz="4" w:space="0" w:color="auto"/>
            </w:tcBorders>
            <w:shd w:val="clear" w:color="auto" w:fill="FFFFFF"/>
            <w:vAlign w:val="center"/>
          </w:tcPr>
          <w:p w14:paraId="6F6AC088" w14:textId="0CEFFE72"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w:t>
            </w:r>
          </w:p>
        </w:tc>
        <w:tc>
          <w:tcPr>
            <w:tcW w:w="566" w:type="dxa"/>
            <w:tcBorders>
              <w:top w:val="nil"/>
              <w:left w:val="nil"/>
              <w:bottom w:val="single" w:sz="4" w:space="0" w:color="auto"/>
              <w:right w:val="nil"/>
            </w:tcBorders>
            <w:shd w:val="clear" w:color="auto" w:fill="FFFFFF"/>
            <w:vAlign w:val="center"/>
          </w:tcPr>
          <w:p w14:paraId="6D6921D5" w14:textId="6E011D46"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w:t>
            </w:r>
          </w:p>
        </w:tc>
        <w:tc>
          <w:tcPr>
            <w:tcW w:w="567" w:type="dxa"/>
            <w:tcBorders>
              <w:top w:val="nil"/>
              <w:left w:val="nil"/>
              <w:bottom w:val="single" w:sz="4" w:space="0" w:color="auto"/>
              <w:right w:val="single" w:sz="4" w:space="0" w:color="auto"/>
            </w:tcBorders>
            <w:shd w:val="clear" w:color="auto" w:fill="FFFFFF"/>
            <w:vAlign w:val="center"/>
          </w:tcPr>
          <w:p w14:paraId="7543CF1A" w14:textId="3BCCF9AC"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w:t>
            </w:r>
          </w:p>
        </w:tc>
        <w:tc>
          <w:tcPr>
            <w:tcW w:w="566" w:type="dxa"/>
            <w:tcBorders>
              <w:top w:val="nil"/>
              <w:left w:val="nil"/>
              <w:bottom w:val="single" w:sz="4" w:space="0" w:color="auto"/>
              <w:right w:val="single" w:sz="4" w:space="0" w:color="auto"/>
            </w:tcBorders>
            <w:shd w:val="clear" w:color="auto" w:fill="FFFFFF"/>
            <w:vAlign w:val="center"/>
          </w:tcPr>
          <w:p w14:paraId="456D19D9" w14:textId="6811774A"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w:t>
            </w:r>
          </w:p>
        </w:tc>
        <w:tc>
          <w:tcPr>
            <w:tcW w:w="566" w:type="dxa"/>
            <w:tcBorders>
              <w:top w:val="nil"/>
              <w:left w:val="nil"/>
              <w:bottom w:val="single" w:sz="4" w:space="0" w:color="auto"/>
              <w:right w:val="single" w:sz="4" w:space="0" w:color="auto"/>
            </w:tcBorders>
            <w:shd w:val="clear" w:color="auto" w:fill="FFFFFF"/>
            <w:vAlign w:val="center"/>
          </w:tcPr>
          <w:p w14:paraId="058567FC" w14:textId="011A4DF8"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w:t>
            </w:r>
          </w:p>
        </w:tc>
        <w:tc>
          <w:tcPr>
            <w:tcW w:w="566" w:type="dxa"/>
            <w:tcBorders>
              <w:top w:val="nil"/>
              <w:left w:val="nil"/>
              <w:bottom w:val="single" w:sz="4" w:space="0" w:color="auto"/>
              <w:right w:val="single" w:sz="4" w:space="0" w:color="auto"/>
            </w:tcBorders>
            <w:shd w:val="clear" w:color="auto" w:fill="FFFFFF"/>
            <w:vAlign w:val="center"/>
          </w:tcPr>
          <w:p w14:paraId="69F2F354" w14:textId="692DCEC6"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w:t>
            </w:r>
          </w:p>
        </w:tc>
        <w:tc>
          <w:tcPr>
            <w:tcW w:w="566" w:type="dxa"/>
            <w:tcBorders>
              <w:top w:val="nil"/>
              <w:left w:val="nil"/>
              <w:bottom w:val="single" w:sz="4" w:space="0" w:color="auto"/>
              <w:right w:val="single" w:sz="4" w:space="0" w:color="auto"/>
            </w:tcBorders>
            <w:shd w:val="clear" w:color="auto" w:fill="FFFFFF"/>
            <w:vAlign w:val="center"/>
          </w:tcPr>
          <w:p w14:paraId="286DD3FB" w14:textId="1D627E2A"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w:t>
            </w:r>
          </w:p>
        </w:tc>
        <w:tc>
          <w:tcPr>
            <w:tcW w:w="566" w:type="dxa"/>
            <w:tcBorders>
              <w:top w:val="nil"/>
              <w:left w:val="nil"/>
              <w:bottom w:val="single" w:sz="4" w:space="0" w:color="auto"/>
              <w:right w:val="single" w:sz="4" w:space="0" w:color="auto"/>
            </w:tcBorders>
            <w:shd w:val="clear" w:color="auto" w:fill="FFFFFF"/>
            <w:vAlign w:val="center"/>
          </w:tcPr>
          <w:p w14:paraId="1869FE55" w14:textId="3526C1AC"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fldChar w:fldCharType="begin"/>
            </w:r>
            <w:r w:rsidRPr="008F5458">
              <w:rPr>
                <w:rFonts w:ascii="Arial" w:eastAsia="Times New Roman" w:hAnsi="Arial" w:cs="Arial"/>
                <w:sz w:val="12"/>
                <w:szCs w:val="12"/>
                <w:lang w:val="en-US"/>
              </w:rPr>
              <w:instrText xml:space="preserve"> REF _Ref528668946 \r \h </w:instrText>
            </w:r>
            <w:r w:rsidR="00EB15B2" w:rsidRPr="008F5458">
              <w:rPr>
                <w:rFonts w:ascii="Arial" w:eastAsia="Times New Roman" w:hAnsi="Arial" w:cs="Arial"/>
                <w:sz w:val="12"/>
                <w:szCs w:val="12"/>
                <w:lang w:val="en-US"/>
              </w:rPr>
              <w:instrText xml:space="preserve"> \* MERGEFORMAT </w:instrText>
            </w:r>
            <w:r w:rsidRPr="008F5458">
              <w:rPr>
                <w:rFonts w:ascii="Arial" w:eastAsia="Times New Roman" w:hAnsi="Arial" w:cs="Arial"/>
                <w:sz w:val="12"/>
                <w:szCs w:val="12"/>
                <w:lang w:val="en-US"/>
              </w:rPr>
            </w:r>
            <w:r w:rsidRPr="008F5458">
              <w:rPr>
                <w:rFonts w:ascii="Arial" w:eastAsia="Times New Roman" w:hAnsi="Arial" w:cs="Arial"/>
                <w:sz w:val="12"/>
                <w:szCs w:val="12"/>
                <w:lang w:val="en-US"/>
              </w:rPr>
              <w:fldChar w:fldCharType="separate"/>
            </w:r>
            <w:r w:rsidR="00E60026">
              <w:rPr>
                <w:rFonts w:ascii="Arial" w:eastAsia="Times New Roman" w:hAnsi="Arial" w:cs="Arial"/>
                <w:sz w:val="12"/>
                <w:szCs w:val="12"/>
                <w:lang w:val="en-US"/>
              </w:rPr>
              <w:t>N</w:t>
            </w:r>
            <w:r w:rsidRPr="008F5458">
              <w:rPr>
                <w:rFonts w:ascii="Arial" w:eastAsia="Times New Roman" w:hAnsi="Arial" w:cs="Arial"/>
                <w:sz w:val="12"/>
                <w:szCs w:val="12"/>
                <w:lang w:val="en-US"/>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354EB48F"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highlight w:val="yellow"/>
                <w:lang w:val="en-US"/>
              </w:rPr>
            </w:pPr>
          </w:p>
        </w:tc>
      </w:tr>
      <w:tr w:rsidR="00162AEC" w:rsidRPr="00724C1F" w14:paraId="702C185A" w14:textId="77777777" w:rsidTr="008F5458">
        <w:trPr>
          <w:trHeight w:hRule="exact" w:val="255"/>
        </w:trPr>
        <w:tc>
          <w:tcPr>
            <w:tcW w:w="2127" w:type="dxa"/>
            <w:gridSpan w:val="2"/>
            <w:tcBorders>
              <w:top w:val="nil"/>
              <w:left w:val="single" w:sz="4" w:space="0" w:color="auto"/>
              <w:bottom w:val="single" w:sz="4" w:space="0" w:color="auto"/>
              <w:right w:val="single" w:sz="4" w:space="0" w:color="auto"/>
            </w:tcBorders>
            <w:shd w:val="clear" w:color="auto" w:fill="FFFFFF"/>
            <w:vAlign w:val="center"/>
          </w:tcPr>
          <w:p w14:paraId="21075E83" w14:textId="77777777" w:rsidR="00162AEC" w:rsidRPr="008F5458" w:rsidRDefault="00162AEC" w:rsidP="008F5458">
            <w:pPr>
              <w:spacing w:before="100" w:beforeAutospacing="1" w:after="100" w:afterAutospacing="1" w:line="240" w:lineRule="auto"/>
              <w:jc w:val="center"/>
              <w:rPr>
                <w:rFonts w:ascii="Arial" w:hAnsi="Arial" w:cs="Arial"/>
                <w:sz w:val="12"/>
                <w:szCs w:val="12"/>
                <w:lang w:val="en-US"/>
              </w:rPr>
            </w:pPr>
          </w:p>
        </w:tc>
        <w:tc>
          <w:tcPr>
            <w:tcW w:w="567" w:type="dxa"/>
            <w:tcBorders>
              <w:top w:val="nil"/>
              <w:left w:val="nil"/>
              <w:bottom w:val="single" w:sz="4" w:space="0" w:color="auto"/>
              <w:right w:val="single" w:sz="4" w:space="0" w:color="auto"/>
            </w:tcBorders>
            <w:shd w:val="clear" w:color="auto" w:fill="FFFFFF"/>
            <w:vAlign w:val="center"/>
          </w:tcPr>
          <w:p w14:paraId="32C19B23"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757" w:type="dxa"/>
            <w:gridSpan w:val="2"/>
            <w:tcBorders>
              <w:top w:val="nil"/>
              <w:left w:val="nil"/>
              <w:bottom w:val="single" w:sz="4" w:space="0" w:color="auto"/>
              <w:right w:val="single" w:sz="4" w:space="0" w:color="auto"/>
            </w:tcBorders>
            <w:shd w:val="clear" w:color="auto" w:fill="FFFFFF"/>
            <w:vAlign w:val="center"/>
          </w:tcPr>
          <w:p w14:paraId="4869557F"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565" w:type="dxa"/>
            <w:tcBorders>
              <w:top w:val="nil"/>
              <w:left w:val="nil"/>
              <w:bottom w:val="single" w:sz="4" w:space="0" w:color="auto"/>
              <w:right w:val="single" w:sz="4" w:space="0" w:color="auto"/>
            </w:tcBorders>
            <w:shd w:val="clear" w:color="auto" w:fill="FFFFFF"/>
            <w:vAlign w:val="center"/>
          </w:tcPr>
          <w:p w14:paraId="0C01C36E"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nil"/>
            </w:tcBorders>
            <w:shd w:val="clear" w:color="auto" w:fill="FFFFFF"/>
            <w:vAlign w:val="center"/>
          </w:tcPr>
          <w:p w14:paraId="3AB301B8"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567" w:type="dxa"/>
            <w:tcBorders>
              <w:top w:val="nil"/>
              <w:left w:val="nil"/>
              <w:bottom w:val="single" w:sz="4" w:space="0" w:color="auto"/>
              <w:right w:val="single" w:sz="4" w:space="0" w:color="auto"/>
            </w:tcBorders>
            <w:shd w:val="clear" w:color="auto" w:fill="FFFFFF"/>
            <w:vAlign w:val="center"/>
          </w:tcPr>
          <w:p w14:paraId="0055B083"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72613BB2"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173C1F05"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787EAE59"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2EF37AA1"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566" w:type="dxa"/>
            <w:tcBorders>
              <w:top w:val="nil"/>
              <w:left w:val="nil"/>
              <w:bottom w:val="single" w:sz="4" w:space="0" w:color="auto"/>
              <w:right w:val="single" w:sz="4" w:space="0" w:color="auto"/>
            </w:tcBorders>
            <w:shd w:val="clear" w:color="auto" w:fill="FFFFFF"/>
            <w:vAlign w:val="center"/>
          </w:tcPr>
          <w:p w14:paraId="4DB4345A"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p>
        </w:tc>
        <w:tc>
          <w:tcPr>
            <w:tcW w:w="892" w:type="dxa"/>
            <w:tcBorders>
              <w:top w:val="single" w:sz="4" w:space="0" w:color="auto"/>
              <w:left w:val="nil"/>
              <w:bottom w:val="single" w:sz="4" w:space="0" w:color="auto"/>
              <w:right w:val="single" w:sz="4" w:space="0" w:color="auto"/>
            </w:tcBorders>
            <w:shd w:val="clear" w:color="auto" w:fill="FFFFFF"/>
            <w:vAlign w:val="center"/>
          </w:tcPr>
          <w:p w14:paraId="15492D93"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highlight w:val="yellow"/>
                <w:lang w:val="en-US"/>
              </w:rPr>
            </w:pPr>
          </w:p>
        </w:tc>
      </w:tr>
      <w:tr w:rsidR="00162AEC" w:rsidRPr="00724C1F" w14:paraId="15F69ECC" w14:textId="77777777" w:rsidTr="008F5458">
        <w:trPr>
          <w:trHeight w:hRule="exact" w:val="255"/>
        </w:trPr>
        <w:tc>
          <w:tcPr>
            <w:tcW w:w="565" w:type="dxa"/>
            <w:tcBorders>
              <w:top w:val="nil"/>
              <w:left w:val="single" w:sz="4" w:space="0" w:color="auto"/>
              <w:bottom w:val="single" w:sz="4" w:space="0" w:color="auto"/>
              <w:right w:val="single" w:sz="4" w:space="0" w:color="auto"/>
            </w:tcBorders>
            <w:shd w:val="clear" w:color="auto" w:fill="FFFFFF"/>
            <w:vAlign w:val="center"/>
          </w:tcPr>
          <w:p w14:paraId="66AF3532" w14:textId="77777777" w:rsidR="00162AEC" w:rsidRPr="008F5458" w:rsidRDefault="00162AEC" w:rsidP="008F5458">
            <w:pPr>
              <w:spacing w:before="100" w:beforeAutospacing="1" w:after="100" w:afterAutospacing="1" w:line="240" w:lineRule="auto"/>
              <w:jc w:val="center"/>
              <w:rPr>
                <w:rFonts w:ascii="Arial" w:eastAsia="Times New Roman" w:hAnsi="Arial" w:cs="Arial"/>
                <w:b/>
                <w:bCs/>
                <w:noProof/>
                <w:sz w:val="12"/>
                <w:szCs w:val="12"/>
                <w:lang w:val="en-US"/>
              </w:rPr>
            </w:pPr>
          </w:p>
        </w:tc>
        <w:tc>
          <w:tcPr>
            <w:tcW w:w="8306" w:type="dxa"/>
            <w:gridSpan w:val="13"/>
            <w:tcBorders>
              <w:top w:val="nil"/>
              <w:left w:val="single" w:sz="4" w:space="0" w:color="auto"/>
              <w:bottom w:val="single" w:sz="4" w:space="0" w:color="auto"/>
              <w:right w:val="single" w:sz="4" w:space="0" w:color="auto"/>
            </w:tcBorders>
            <w:shd w:val="clear" w:color="auto" w:fill="FFFFFF"/>
            <w:vAlign w:val="center"/>
          </w:tcPr>
          <w:p w14:paraId="6A98ACC8" w14:textId="77777777" w:rsidR="00162AEC" w:rsidRPr="00986F3F" w:rsidRDefault="00162AEC" w:rsidP="008F5458">
            <w:pPr>
              <w:spacing w:before="100" w:beforeAutospacing="1" w:after="100" w:afterAutospacing="1" w:line="240" w:lineRule="auto"/>
              <w:jc w:val="center"/>
              <w:rPr>
                <w:rFonts w:ascii="Arial" w:eastAsia="Times New Roman" w:hAnsi="Arial" w:cs="Arial"/>
                <w:b/>
                <w:bCs/>
                <w:sz w:val="12"/>
                <w:szCs w:val="12"/>
                <w:lang w:val="en-US"/>
              </w:rPr>
            </w:pPr>
            <w:r w:rsidRPr="00986F3F">
              <w:rPr>
                <w:rFonts w:ascii="Arial" w:eastAsia="Times New Roman" w:hAnsi="Arial" w:cs="Arial"/>
                <w:b/>
                <w:bCs/>
                <w:noProof/>
                <w:sz w:val="12"/>
                <w:szCs w:val="12"/>
                <w:lang w:val="en-US"/>
              </w:rPr>
              <w:t>Technology specific</w:t>
            </w:r>
            <w:r w:rsidRPr="00986F3F">
              <w:rPr>
                <w:rFonts w:ascii="Arial" w:eastAsia="Times New Roman" w:hAnsi="Arial" w:cs="Arial"/>
                <w:b/>
                <w:bCs/>
                <w:sz w:val="12"/>
                <w:szCs w:val="12"/>
                <w:lang w:val="en-US"/>
              </w:rPr>
              <w:t xml:space="preserve"> data</w:t>
            </w:r>
          </w:p>
        </w:tc>
      </w:tr>
      <w:tr w:rsidR="00162AEC" w:rsidRPr="007D5B8E" w14:paraId="18EE55AE" w14:textId="77777777" w:rsidTr="008F5458">
        <w:trPr>
          <w:trHeight w:hRule="exact" w:val="313"/>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136B63A" w14:textId="7777777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Energy storage expansion cost (M€2015/MWh)</w:t>
            </w:r>
          </w:p>
        </w:tc>
        <w:tc>
          <w:tcPr>
            <w:tcW w:w="567" w:type="dxa"/>
            <w:tcBorders>
              <w:top w:val="single" w:sz="4" w:space="0" w:color="auto"/>
              <w:left w:val="nil"/>
              <w:bottom w:val="single" w:sz="4" w:space="0" w:color="auto"/>
              <w:right w:val="single" w:sz="4" w:space="0" w:color="auto"/>
            </w:tcBorders>
            <w:shd w:val="clear" w:color="auto" w:fill="FFFFFF"/>
            <w:vAlign w:val="center"/>
          </w:tcPr>
          <w:p w14:paraId="1AF998CD" w14:textId="2BD2AA80"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986F3F">
              <w:rPr>
                <w:rFonts w:ascii="Arial" w:hAnsi="Arial" w:cs="Arial"/>
                <w:sz w:val="12"/>
                <w:szCs w:val="12"/>
                <w:lang w:val="en-US"/>
              </w:rPr>
              <w:t>0.769</w:t>
            </w:r>
          </w:p>
        </w:tc>
        <w:tc>
          <w:tcPr>
            <w:tcW w:w="757" w:type="dxa"/>
            <w:gridSpan w:val="2"/>
            <w:tcBorders>
              <w:top w:val="single" w:sz="4" w:space="0" w:color="auto"/>
              <w:left w:val="nil"/>
              <w:bottom w:val="single" w:sz="4" w:space="0" w:color="auto"/>
              <w:right w:val="single" w:sz="4" w:space="0" w:color="auto"/>
            </w:tcBorders>
            <w:shd w:val="clear" w:color="auto" w:fill="FFFFFF"/>
            <w:vAlign w:val="center"/>
          </w:tcPr>
          <w:p w14:paraId="7467C01E" w14:textId="4BE3BC7A"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986F3F">
              <w:rPr>
                <w:rFonts w:ascii="Arial" w:hAnsi="Arial" w:cs="Arial"/>
                <w:sz w:val="12"/>
                <w:szCs w:val="12"/>
                <w:lang w:val="en-US"/>
              </w:rPr>
              <w:t>0.330</w:t>
            </w:r>
          </w:p>
        </w:tc>
        <w:tc>
          <w:tcPr>
            <w:tcW w:w="565" w:type="dxa"/>
            <w:tcBorders>
              <w:top w:val="single" w:sz="4" w:space="0" w:color="auto"/>
              <w:left w:val="nil"/>
              <w:bottom w:val="single" w:sz="4" w:space="0" w:color="auto"/>
              <w:right w:val="single" w:sz="4" w:space="0" w:color="auto"/>
            </w:tcBorders>
            <w:shd w:val="clear" w:color="auto" w:fill="FFFFFF"/>
            <w:vAlign w:val="center"/>
          </w:tcPr>
          <w:p w14:paraId="4B424253" w14:textId="7AC27533" w:rsidR="00162AEC" w:rsidRPr="008F5458" w:rsidRDefault="00162AEC" w:rsidP="008F5458">
            <w:pPr>
              <w:spacing w:before="100" w:beforeAutospacing="1" w:after="100" w:afterAutospacing="1" w:line="240" w:lineRule="auto"/>
              <w:jc w:val="center"/>
              <w:rPr>
                <w:rFonts w:ascii="Arial" w:hAnsi="Arial" w:cs="Arial"/>
                <w:sz w:val="12"/>
                <w:szCs w:val="12"/>
                <w:lang w:val="en-US"/>
              </w:rPr>
            </w:pPr>
            <w:r w:rsidRPr="00986F3F">
              <w:rPr>
                <w:rFonts w:ascii="Arial" w:hAnsi="Arial" w:cs="Arial"/>
                <w:sz w:val="12"/>
                <w:szCs w:val="12"/>
                <w:lang w:val="en-US"/>
              </w:rPr>
              <w:t>0.154</w:t>
            </w:r>
          </w:p>
        </w:tc>
        <w:tc>
          <w:tcPr>
            <w:tcW w:w="566" w:type="dxa"/>
            <w:tcBorders>
              <w:top w:val="single" w:sz="4" w:space="0" w:color="auto"/>
              <w:left w:val="nil"/>
              <w:bottom w:val="single" w:sz="4" w:space="0" w:color="auto"/>
              <w:right w:val="nil"/>
            </w:tcBorders>
            <w:shd w:val="clear" w:color="auto" w:fill="FFFFFF"/>
            <w:vAlign w:val="center"/>
          </w:tcPr>
          <w:p w14:paraId="47F734B5" w14:textId="1117206A"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986F3F">
              <w:rPr>
                <w:rFonts w:ascii="Arial" w:hAnsi="Arial" w:cs="Arial"/>
                <w:sz w:val="12"/>
                <w:szCs w:val="12"/>
                <w:lang w:val="en-US"/>
              </w:rPr>
              <w:t>0.110</w:t>
            </w:r>
          </w:p>
        </w:tc>
        <w:tc>
          <w:tcPr>
            <w:tcW w:w="567" w:type="dxa"/>
            <w:tcBorders>
              <w:top w:val="single" w:sz="4" w:space="0" w:color="auto"/>
              <w:left w:val="nil"/>
              <w:bottom w:val="single" w:sz="4" w:space="0" w:color="auto"/>
              <w:right w:val="single" w:sz="4" w:space="0" w:color="auto"/>
            </w:tcBorders>
            <w:shd w:val="clear" w:color="auto" w:fill="FFFFFF"/>
            <w:vAlign w:val="center"/>
          </w:tcPr>
          <w:p w14:paraId="71ADD353" w14:textId="3F4331CA"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986F3F">
              <w:rPr>
                <w:rFonts w:ascii="Arial" w:hAnsi="Arial" w:cs="Arial"/>
                <w:sz w:val="12"/>
                <w:szCs w:val="12"/>
                <w:lang w:val="en-US"/>
              </w:rPr>
              <w:t>0.088</w:t>
            </w:r>
          </w:p>
        </w:tc>
        <w:tc>
          <w:tcPr>
            <w:tcW w:w="566" w:type="dxa"/>
            <w:tcBorders>
              <w:top w:val="single" w:sz="4" w:space="0" w:color="auto"/>
              <w:left w:val="nil"/>
              <w:bottom w:val="single" w:sz="4" w:space="0" w:color="auto"/>
              <w:right w:val="single" w:sz="4" w:space="0" w:color="auto"/>
            </w:tcBorders>
            <w:shd w:val="clear" w:color="auto" w:fill="FFFFFF"/>
            <w:vAlign w:val="center"/>
          </w:tcPr>
          <w:p w14:paraId="3491139C" w14:textId="0BC2EAAF"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986F3F">
              <w:rPr>
                <w:rFonts w:ascii="Arial" w:eastAsia="Times New Roman" w:hAnsi="Arial" w:cs="Arial"/>
                <w:sz w:val="12"/>
                <w:szCs w:val="12"/>
                <w:lang w:val="en-US"/>
              </w:rPr>
              <w:t>0,176</w:t>
            </w:r>
          </w:p>
        </w:tc>
        <w:tc>
          <w:tcPr>
            <w:tcW w:w="566" w:type="dxa"/>
            <w:tcBorders>
              <w:top w:val="single" w:sz="4" w:space="0" w:color="auto"/>
              <w:left w:val="nil"/>
              <w:bottom w:val="single" w:sz="4" w:space="0" w:color="auto"/>
              <w:right w:val="single" w:sz="4" w:space="0" w:color="auto"/>
            </w:tcBorders>
            <w:shd w:val="clear" w:color="auto" w:fill="FFFFFF"/>
            <w:vAlign w:val="center"/>
          </w:tcPr>
          <w:p w14:paraId="3CAA1646" w14:textId="4FB1E66F"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0,374</w:t>
            </w:r>
          </w:p>
        </w:tc>
        <w:tc>
          <w:tcPr>
            <w:tcW w:w="566" w:type="dxa"/>
            <w:tcBorders>
              <w:top w:val="single" w:sz="4" w:space="0" w:color="auto"/>
              <w:left w:val="nil"/>
              <w:bottom w:val="single" w:sz="4" w:space="0" w:color="auto"/>
              <w:right w:val="single" w:sz="4" w:space="0" w:color="auto"/>
            </w:tcBorders>
            <w:shd w:val="clear" w:color="auto" w:fill="FFFFFF"/>
            <w:vAlign w:val="center"/>
          </w:tcPr>
          <w:p w14:paraId="642543A9" w14:textId="76E20644"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0,066</w:t>
            </w:r>
          </w:p>
        </w:tc>
        <w:tc>
          <w:tcPr>
            <w:tcW w:w="566" w:type="dxa"/>
            <w:tcBorders>
              <w:top w:val="single" w:sz="4" w:space="0" w:color="auto"/>
              <w:left w:val="nil"/>
              <w:bottom w:val="single" w:sz="4" w:space="0" w:color="auto"/>
              <w:right w:val="single" w:sz="4" w:space="0" w:color="auto"/>
            </w:tcBorders>
            <w:shd w:val="clear" w:color="auto" w:fill="FFFFFF"/>
            <w:vAlign w:val="center"/>
          </w:tcPr>
          <w:p w14:paraId="04A18822" w14:textId="581745A7"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0,165</w:t>
            </w:r>
          </w:p>
        </w:tc>
        <w:tc>
          <w:tcPr>
            <w:tcW w:w="566" w:type="dxa"/>
            <w:tcBorders>
              <w:top w:val="single" w:sz="4" w:space="0" w:color="auto"/>
              <w:left w:val="nil"/>
              <w:bottom w:val="single" w:sz="4" w:space="0" w:color="auto"/>
              <w:right w:val="single" w:sz="4" w:space="0" w:color="auto"/>
            </w:tcBorders>
            <w:shd w:val="clear" w:color="auto" w:fill="FFFFFF"/>
            <w:vAlign w:val="center"/>
          </w:tcPr>
          <w:p w14:paraId="43F03CBE" w14:textId="2AE0B8AE" w:rsidR="00162AEC" w:rsidRPr="008F5458" w:rsidRDefault="00162AEC"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rPr>
              <w:fldChar w:fldCharType="begin"/>
            </w:r>
            <w:r w:rsidRPr="008F5458">
              <w:rPr>
                <w:rFonts w:ascii="Arial" w:eastAsia="Times New Roman" w:hAnsi="Arial" w:cs="Arial"/>
                <w:sz w:val="12"/>
                <w:szCs w:val="12"/>
                <w:lang w:val="en-US"/>
              </w:rPr>
              <w:instrText xml:space="preserve"> REF _Ref528669041 \r \h </w:instrText>
            </w:r>
            <w:r w:rsidR="00EB15B2" w:rsidRPr="00986F3F">
              <w:rPr>
                <w:rFonts w:ascii="Arial" w:eastAsia="Times New Roman" w:hAnsi="Arial" w:cs="Arial"/>
                <w:sz w:val="12"/>
                <w:szCs w:val="12"/>
                <w:lang w:val="en-US"/>
              </w:rPr>
              <w:instrText xml:space="preserve">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lang w:val="en-US"/>
              </w:rPr>
              <w:t>O</w:t>
            </w:r>
            <w:r w:rsidRPr="008F5458">
              <w:rPr>
                <w:rFonts w:ascii="Arial" w:eastAsia="Times New Roman" w:hAnsi="Arial" w:cs="Arial"/>
                <w:sz w:val="12"/>
                <w:szCs w:val="12"/>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72572E4C" w14:textId="7DAAFE25" w:rsidR="00162AEC" w:rsidRPr="008F5458" w:rsidRDefault="00162AEC" w:rsidP="008F5458">
            <w:pPr>
              <w:spacing w:before="100" w:beforeAutospacing="1" w:after="100" w:afterAutospacing="1" w:line="240" w:lineRule="auto"/>
              <w:jc w:val="center"/>
              <w:rPr>
                <w:rFonts w:ascii="Arial" w:eastAsia="Times New Roman" w:hAnsi="Arial" w:cs="Arial"/>
                <w:sz w:val="12"/>
                <w:szCs w:val="12"/>
                <w:highlight w:val="yellow"/>
              </w:rPr>
            </w:pPr>
            <w:r w:rsidRPr="008F5458">
              <w:rPr>
                <w:rFonts w:ascii="Arial" w:eastAsia="Times New Roman" w:hAnsi="Arial" w:cs="Arial"/>
                <w:sz w:val="12"/>
                <w:szCs w:val="12"/>
              </w:rPr>
              <w:fldChar w:fldCharType="begin" w:fldLock="1"/>
            </w:r>
            <w:r w:rsidR="001A7298">
              <w:rPr>
                <w:rFonts w:ascii="Arial" w:eastAsia="Times New Roman" w:hAnsi="Arial" w:cs="Arial"/>
                <w:sz w:val="12"/>
                <w:szCs w:val="12"/>
                <w:lang w:val="en-US"/>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2018","type":"webpage"},"uris":["http://www.mendeley.com/documents/?uuid=6c087b37-53e2-47c6-b97f-c3beaf314c66"]},{"id":"ITEM-2","itemData":{"ISBN":"0065-4299","abstract":"Renewable energy","author":[{"dropping-particle":"","family":"International Renewable Energy Agency","given":"","non-dropping-particle":"","parse-names":false,"suffix":""}],"id":"ITEM-2","issue":"January","issued":{"date-parts":[["2015"]]},"number-of-pages":"1-60","title":"IRENA Battery Storage Report 2015","type":"report"},"uris":["http://www.mendeley.com/documents/?uuid=f37efa12-4f6d-4ea8-b094-05d3d7be7f5e"]}],"mendeley":{"formattedCitation":"[44,48]","plainTextFormattedCitation":"[44,48]","previouslyFormattedCitation":"[44,48]"},"properties":{"noteIndex":0},"schema":"https://github.com/citation-style-language/schema/raw/master/csl-citation.json"}</w:instrText>
            </w:r>
            <w:r w:rsidRPr="008F5458">
              <w:rPr>
                <w:rFonts w:ascii="Arial" w:eastAsia="Times New Roman" w:hAnsi="Arial" w:cs="Arial"/>
                <w:sz w:val="12"/>
                <w:szCs w:val="12"/>
              </w:rPr>
              <w:fldChar w:fldCharType="separate"/>
            </w:r>
            <w:r w:rsidR="00B60186" w:rsidRPr="00B60186">
              <w:rPr>
                <w:rFonts w:ascii="Arial" w:eastAsia="Times New Roman" w:hAnsi="Arial" w:cs="Arial"/>
                <w:noProof/>
                <w:sz w:val="12"/>
                <w:szCs w:val="12"/>
              </w:rPr>
              <w:t>[44,48]</w:t>
            </w:r>
            <w:r w:rsidRPr="008F5458">
              <w:rPr>
                <w:rFonts w:ascii="Arial" w:eastAsia="Times New Roman" w:hAnsi="Arial" w:cs="Arial"/>
                <w:sz w:val="12"/>
                <w:szCs w:val="12"/>
              </w:rPr>
              <w:fldChar w:fldCharType="end"/>
            </w:r>
          </w:p>
        </w:tc>
      </w:tr>
      <w:tr w:rsidR="00EB15B2" w:rsidRPr="00E60026" w14:paraId="56D215E2" w14:textId="77777777" w:rsidTr="008F5458">
        <w:trPr>
          <w:trHeight w:hRule="exact" w:val="418"/>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0A59BA46" w14:textId="77777777" w:rsidR="00EB15B2" w:rsidRPr="008F5458" w:rsidRDefault="00EB15B2"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Output capacity expansion cost (M€2015/MW)</w:t>
            </w:r>
          </w:p>
        </w:tc>
        <w:tc>
          <w:tcPr>
            <w:tcW w:w="567" w:type="dxa"/>
            <w:tcBorders>
              <w:top w:val="single" w:sz="4" w:space="0" w:color="auto"/>
              <w:left w:val="nil"/>
              <w:bottom w:val="single" w:sz="4" w:space="0" w:color="auto"/>
              <w:right w:val="single" w:sz="4" w:space="0" w:color="auto"/>
            </w:tcBorders>
            <w:shd w:val="clear" w:color="auto" w:fill="FFFFFF"/>
            <w:vAlign w:val="center"/>
            <w:hideMark/>
          </w:tcPr>
          <w:p w14:paraId="2F4BBC8A" w14:textId="3B3698BD"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0.29</w:t>
            </w:r>
          </w:p>
        </w:tc>
        <w:tc>
          <w:tcPr>
            <w:tcW w:w="757" w:type="dxa"/>
            <w:gridSpan w:val="2"/>
            <w:tcBorders>
              <w:top w:val="single" w:sz="4" w:space="0" w:color="auto"/>
              <w:left w:val="nil"/>
              <w:bottom w:val="single" w:sz="4" w:space="0" w:color="auto"/>
              <w:right w:val="single" w:sz="4" w:space="0" w:color="auto"/>
            </w:tcBorders>
            <w:shd w:val="clear" w:color="auto" w:fill="FFFFFF"/>
            <w:vAlign w:val="center"/>
            <w:hideMark/>
          </w:tcPr>
          <w:p w14:paraId="078CBAF3" w14:textId="46373C43"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0.27</w:t>
            </w:r>
          </w:p>
        </w:tc>
        <w:tc>
          <w:tcPr>
            <w:tcW w:w="565" w:type="dxa"/>
            <w:tcBorders>
              <w:top w:val="single" w:sz="4" w:space="0" w:color="auto"/>
              <w:left w:val="nil"/>
              <w:bottom w:val="single" w:sz="4" w:space="0" w:color="auto"/>
              <w:right w:val="single" w:sz="4" w:space="0" w:color="auto"/>
            </w:tcBorders>
            <w:shd w:val="clear" w:color="auto" w:fill="FFFFFF"/>
            <w:vAlign w:val="center"/>
            <w:hideMark/>
          </w:tcPr>
          <w:p w14:paraId="3CECB453" w14:textId="0690133F"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0.20</w:t>
            </w:r>
          </w:p>
        </w:tc>
        <w:tc>
          <w:tcPr>
            <w:tcW w:w="566" w:type="dxa"/>
            <w:tcBorders>
              <w:top w:val="single" w:sz="4" w:space="0" w:color="auto"/>
              <w:left w:val="nil"/>
              <w:bottom w:val="single" w:sz="4" w:space="0" w:color="auto"/>
              <w:right w:val="nil"/>
            </w:tcBorders>
            <w:shd w:val="clear" w:color="auto" w:fill="FFFFFF"/>
            <w:vAlign w:val="center"/>
          </w:tcPr>
          <w:p w14:paraId="5FCEA8E5" w14:textId="603F0ECF"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0.16</w:t>
            </w:r>
          </w:p>
        </w:tc>
        <w:tc>
          <w:tcPr>
            <w:tcW w:w="567" w:type="dxa"/>
            <w:tcBorders>
              <w:top w:val="single" w:sz="4" w:space="0" w:color="auto"/>
              <w:left w:val="nil"/>
              <w:bottom w:val="single" w:sz="4" w:space="0" w:color="auto"/>
              <w:right w:val="single" w:sz="4" w:space="0" w:color="auto"/>
            </w:tcBorders>
            <w:shd w:val="clear" w:color="auto" w:fill="FFFFFF"/>
            <w:vAlign w:val="center"/>
          </w:tcPr>
          <w:p w14:paraId="163243BE" w14:textId="6E27FA81"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0.13</w:t>
            </w:r>
          </w:p>
        </w:tc>
        <w:tc>
          <w:tcPr>
            <w:tcW w:w="566" w:type="dxa"/>
            <w:tcBorders>
              <w:top w:val="single" w:sz="4" w:space="0" w:color="auto"/>
              <w:left w:val="nil"/>
              <w:bottom w:val="single" w:sz="4" w:space="0" w:color="auto"/>
              <w:right w:val="single" w:sz="4" w:space="0" w:color="auto"/>
            </w:tcBorders>
            <w:shd w:val="clear" w:color="auto" w:fill="FFFFFF"/>
            <w:vAlign w:val="center"/>
          </w:tcPr>
          <w:p w14:paraId="215D8EBE" w14:textId="06384E3E"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lang w:val="en-US"/>
              </w:rPr>
              <w:t>0.24</w:t>
            </w:r>
          </w:p>
        </w:tc>
        <w:tc>
          <w:tcPr>
            <w:tcW w:w="566" w:type="dxa"/>
            <w:tcBorders>
              <w:top w:val="single" w:sz="4" w:space="0" w:color="auto"/>
              <w:left w:val="nil"/>
              <w:bottom w:val="single" w:sz="4" w:space="0" w:color="auto"/>
              <w:right w:val="single" w:sz="4" w:space="0" w:color="auto"/>
            </w:tcBorders>
            <w:shd w:val="clear" w:color="auto" w:fill="FFFFFF"/>
            <w:vAlign w:val="center"/>
          </w:tcPr>
          <w:p w14:paraId="1D39C3C7" w14:textId="391E5B31"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lang w:val="en-US"/>
              </w:rPr>
              <w:t>0.51</w:t>
            </w:r>
          </w:p>
        </w:tc>
        <w:tc>
          <w:tcPr>
            <w:tcW w:w="566" w:type="dxa"/>
            <w:tcBorders>
              <w:top w:val="single" w:sz="4" w:space="0" w:color="auto"/>
              <w:left w:val="nil"/>
              <w:bottom w:val="single" w:sz="4" w:space="0" w:color="auto"/>
              <w:right w:val="single" w:sz="4" w:space="0" w:color="auto"/>
            </w:tcBorders>
            <w:shd w:val="clear" w:color="auto" w:fill="FFFFFF"/>
            <w:vAlign w:val="center"/>
          </w:tcPr>
          <w:p w14:paraId="4C1857F9" w14:textId="5C9D4941"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lang w:val="en-US"/>
              </w:rPr>
              <w:t>0.10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5CF3CB83" w14:textId="19103661"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lang w:val="en-US"/>
              </w:rPr>
              <w:t>0,25</w:t>
            </w:r>
          </w:p>
        </w:tc>
        <w:tc>
          <w:tcPr>
            <w:tcW w:w="566" w:type="dxa"/>
            <w:tcBorders>
              <w:top w:val="single" w:sz="4" w:space="0" w:color="auto"/>
              <w:left w:val="nil"/>
              <w:bottom w:val="single" w:sz="4" w:space="0" w:color="auto"/>
              <w:right w:val="single" w:sz="4" w:space="0" w:color="auto"/>
            </w:tcBorders>
            <w:shd w:val="clear" w:color="auto" w:fill="FFFFFF"/>
            <w:vAlign w:val="center"/>
          </w:tcPr>
          <w:p w14:paraId="0FD35B8D" w14:textId="0A19B2D9" w:rsidR="00EB15B2" w:rsidRPr="008F5458" w:rsidRDefault="00EB15B2"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_Ref528669245 \r \h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00E60026">
              <w:rPr>
                <w:rFonts w:ascii="Arial" w:eastAsia="Times New Roman" w:hAnsi="Arial" w:cs="Arial"/>
                <w:sz w:val="12"/>
                <w:szCs w:val="12"/>
              </w:rPr>
              <w:t>P</w:t>
            </w:r>
            <w:r w:rsidRPr="008F5458">
              <w:rPr>
                <w:rFonts w:ascii="Arial" w:eastAsia="Times New Roman" w:hAnsi="Arial" w:cs="Arial"/>
                <w:sz w:val="12"/>
                <w:szCs w:val="12"/>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3A6BE679" w14:textId="4F6AF249" w:rsidR="00EB15B2" w:rsidRPr="00E60026" w:rsidRDefault="00EB15B2" w:rsidP="008F5458">
            <w:pPr>
              <w:spacing w:before="100" w:beforeAutospacing="1" w:after="100" w:afterAutospacing="1" w:line="240" w:lineRule="auto"/>
              <w:jc w:val="center"/>
              <w:rPr>
                <w:rFonts w:ascii="Arial" w:eastAsia="Times New Roman" w:hAnsi="Arial" w:cs="Arial"/>
                <w:sz w:val="12"/>
                <w:szCs w:val="12"/>
                <w:highlight w:val="yellow"/>
                <w:lang w:val="en-US"/>
              </w:rPr>
            </w:pPr>
            <w:r w:rsidRPr="008F5458">
              <w:rPr>
                <w:rFonts w:ascii="Arial" w:hAnsi="Arial" w:cs="Arial"/>
                <w:sz w:val="12"/>
                <w:szCs w:val="12"/>
                <w:lang w:val="en-US"/>
              </w:rPr>
              <w:fldChar w:fldCharType="begin" w:fldLock="1"/>
            </w:r>
            <w:r w:rsidR="00A15D71">
              <w:rPr>
                <w:rFonts w:ascii="Arial" w:hAnsi="Arial" w:cs="Arial"/>
                <w:sz w:val="12"/>
                <w:szCs w:val="12"/>
                <w:lang w:val="en-US"/>
              </w:rPr>
              <w:instrText>ADDIN CSL_CITATION {"citationItems":[{"id":"ITEM-1","itemData":{"DOI":"10.3390/en10010108","ISSN":"19961073","abstract":"This paper offers a wide overview on the large-scale electrochemical energy projects installed in the high voltage Italian grid. Detailed descriptions of energy (charge/discharge times of about 8 h) and power intensive (charge/discharge times ranging from 0.5 h to 4 h) installations are presented with some insights into the authorization procedures, safety features, and ancillary services. These different charge/discharge times reflect the different operation uses inside the electric grid. Energy intensive storage aims at decoupling generation and utilization since, in the southern part of Italy, there has been a great growth of wind farms: these areas are characterized by a surplus of generation with respect to load absorption and to the net transport capacity of the 150 kV high voltage backbones. Power intensive storage aims at providing ancillary services inside the electric grid as primary and secondary frequency regulation, synthetic rotational inertia, and further functionalities. The return on experience of Italian installations will be able to play a key role also for other countries and other transmission system operators.","author":[{"dropping-particle":"","family":"Benato","given":"Roberto","non-dropping-particle":"","parse-names":false,"suffix":""},{"dropping-particle":"","family":"Bruno","given":"Gianluca","non-dropping-particle":"","parse-names":false,"suffix":""},{"dropping-particle":"","family":"Palone","given":"Francesco","non-dropping-particle":"","parse-names":false,"suffix":""},{"dropping-particle":"","family":"Polito","given":"Rosario M.","non-dropping-particle":"","parse-names":false,"suffix":""},{"dropping-particle":"","family":"Rebolini","given":"Massimo","non-dropping-particle":"","parse-names":false,"suffix":""}],"container-title":"Energies","id":"ITEM-1","issue":"1","issued":{"date-parts":[["2017"]]},"title":"Large-scale electrochemical energy storage in high voltage grids: Overview of the Italian experience","type":"article-journal","volume":"10"},"uris":["http://www.mendeley.com/documents/?uuid=784a9ee3-2811-4661-8fe3-7517902c873f"]},{"id":"ITEM-2","itemData":{"DOI":"10.1016/j.rser.2014.10.011","ISBN":"1364-0321","ISSN":"13640321","abstract":"Large-scale deployment of intermittent renewable energy (namely wind energy and solar PV) may entail new challenges in power systems and more volatility in power prices in liberalized electricity markets. Energy storage can diminish this imbalance, relieving the grid congestion, and promoting distributed generation. The economic implications of grid-scale electrical energy storage technologies are however obscure for the experts, power grid operators, regulators, and power producers. A meticulous technoeconomic or cost-benefit analysis of electricity storage systems requires consistent, updated cost data and a holistic cost analysis framework. To this end, this study critically examines the existing literature in the analysis of life cycle costs of utility-scale electricity storage systems, providing an updated database for the cost elements (capital costs, operational and maintenance costs, and replacement costs). Moreover, life cycle costs and levelized cost of electricity delivered by electrical energy storage is analyzed, employing Monte Carlo method to consider uncertainties. The examined energy storage technologies include pumped hydropower storage, compressed air energy storage (CAES), flywheel, electrochemical batteries (e.g. lead-acid, NaS, Li-ion, and Ni-Cd), flow batteries (e.g. vanadium-redox), superconducting magnetic energy storage, supercapacitors, and hydrogen energy storage (power to gas technologies). The results illustrate the economy of different storage systems for three main applications: bulk energy storage, T&amp;D support services, and frequency regulation.","author":[{"dropping-particle":"","family":"Zakeri","given":"Behnam","non-dropping-particle":"","parse-names":false,"suffix":""},{"dropping-particle":"","family":"Syri","given":"Sanna","non-dropping-particle":"","parse-names":false,"suffix":""}],"container-title":"Renewable and Sustainable Energy Reviews","id":"ITEM-2","issued":{"date-parts":[["2015"]]},"page":"569-596","publisher":"Elsevier","title":"Electrical energy storage systems: A comparative life cycle cost analysis","type":"article-journal","volume":"42"},"uris":["http://www.mendeley.com/documents/?uuid=ed24dad4-ad20-4717-90f6-1ba73103b412","http://www.mendeley.com/documents/?uuid=f6d7c79f-22cc-4fe6-aafa-ad68ccce8797","http://www.mendeley.com/documents/?uuid=8b6c9318-6d50-48b5-bd42-237a97c1deae"]},{"id":"ITEM-3","itemData":{"DOI":"SAND2013-5131","ISBN":"SAND2013-5131","abstract":"The Electricity Storage Handbook (Handbook) is a how-to guide for utility and rural cooperative engineers, planners, and decision makers to plan and implement energy storage projects. The Handbook also serves as an information resource for investors and venture capitalists, providing the latest developments in technologies and tools to guide their evaluations of energy storage opportunities. It includes a comprehensive database of the cost of current storage systems in a wide variety of electric utility and customer services, along with interconnection schematics. A list of significant past and present energy storage projects is provided for a practical perspective. This Handbook, jointly sponsored by the U.S. Department of Energy and the Electric Power Research Institute in collaboration with the National Rural Electric Cooperative Association, is published in electronic form at www.sandia.gov/ess.","author":[{"dropping-particle":"","family":"Huff","given":"Georgianne","non-dropping-particle":"","parse-names":false,"suffix":""},{"dropping-particle":"","family":"Currier","given":"Aileen B.","non-dropping-particle":"","parse-names":false,"suffix":""},{"dropping-particle":"","family":"Kaun","given":"Benjamin C.","non-dropping-particle":"","parse-names":false,"suffix":""},{"dropping-particle":"","family":"Rastler","given":"Dan M.","non-dropping-particle":"","parse-names":false,"suffix":""},{"dropping-particle":"","family":"Chen","given":"Stella Bingqing","non-dropping-particle":"","parse-names":false,"suffix":""},{"dropping-particle":"","family":"Bradshaw","given":"Dale T.","non-dropping-particle":"","parse-names":false,"suffix":""},{"dropping-particle":"","family":"Gauntlett","given":"William D.","non-dropping-particle":"","parse-names":false,"suffix":""}],"container-title":"Report SAND2013- …","id":"ITEM-3","issue":"July","issued":{"date-parts":[["2013"]]},"number-of-pages":"340","title":"DOE/EPRI 2013 electricity storage handbook in collaboration with NRECA","type":"report"},"uris":["http://www.mendeley.com/documents/?uuid=3186654e-214c-451c-a7b1-4876c9bb2657","http://www.mendeley.com/documents/?uuid=324174d6-54cb-4e5f-99b0-53f2aafbf7c4","http://www.mendeley.com/documents/?uuid=3faac734-aa45-41d5-ac65-f5174d6d9e3c"]}],"mendeley":{"formattedCitation":"[54–56]","plainTextFormattedCitation":"[54–56]","previouslyFormattedCitation":"[54–56]"},"properties":{"noteIndex":0},"schema":"https://github.com/citation-style-language/schema/raw/master/csl-citation.json"}</w:instrText>
            </w:r>
            <w:r w:rsidRPr="008F5458">
              <w:rPr>
                <w:rFonts w:ascii="Arial" w:hAnsi="Arial" w:cs="Arial"/>
                <w:sz w:val="12"/>
                <w:szCs w:val="12"/>
                <w:lang w:val="en-US"/>
              </w:rPr>
              <w:fldChar w:fldCharType="separate"/>
            </w:r>
            <w:r w:rsidR="00A15D71" w:rsidRPr="00A15D71">
              <w:rPr>
                <w:rFonts w:ascii="Arial" w:hAnsi="Arial" w:cs="Arial"/>
                <w:noProof/>
                <w:sz w:val="12"/>
                <w:szCs w:val="12"/>
                <w:lang w:val="en-US"/>
              </w:rPr>
              <w:t>[54–56]</w:t>
            </w:r>
            <w:r w:rsidRPr="008F5458">
              <w:rPr>
                <w:rFonts w:ascii="Arial" w:hAnsi="Arial" w:cs="Arial"/>
                <w:sz w:val="12"/>
                <w:szCs w:val="12"/>
                <w:lang w:val="en-US"/>
              </w:rPr>
              <w:fldChar w:fldCharType="end"/>
            </w:r>
          </w:p>
        </w:tc>
      </w:tr>
      <w:tr w:rsidR="00775E92" w:rsidRPr="00D35F9A" w14:paraId="25F2669E" w14:textId="77777777" w:rsidTr="00775E92">
        <w:trPr>
          <w:trHeight w:hRule="exact" w:val="369"/>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A5B53C7" w14:textId="5CE832A0" w:rsidR="00775E92" w:rsidRPr="008F5458" w:rsidRDefault="00775E92" w:rsidP="008F5458">
            <w:pPr>
              <w:spacing w:before="100" w:beforeAutospacing="1" w:after="100" w:afterAutospacing="1" w:line="240" w:lineRule="auto"/>
              <w:jc w:val="center"/>
              <w:rPr>
                <w:rFonts w:ascii="Arial" w:hAnsi="Arial" w:cs="Arial"/>
                <w:noProof/>
                <w:sz w:val="12"/>
                <w:szCs w:val="12"/>
                <w:lang w:val="en-US"/>
              </w:rPr>
            </w:pPr>
            <w:r w:rsidRPr="00D35F9A">
              <w:rPr>
                <w:rFonts w:ascii="Arial" w:hAnsi="Arial" w:cs="Arial"/>
                <w:noProof/>
                <w:sz w:val="12"/>
                <w:szCs w:val="12"/>
                <w:lang w:val="en-US"/>
              </w:rPr>
              <w:t>Alternative Investment cost (M€2015/MW)</w:t>
            </w:r>
          </w:p>
        </w:tc>
        <w:tc>
          <w:tcPr>
            <w:tcW w:w="567" w:type="dxa"/>
            <w:tcBorders>
              <w:top w:val="single" w:sz="4" w:space="0" w:color="auto"/>
              <w:left w:val="nil"/>
              <w:bottom w:val="single" w:sz="4" w:space="0" w:color="auto"/>
              <w:right w:val="single" w:sz="4" w:space="0" w:color="auto"/>
            </w:tcBorders>
            <w:shd w:val="clear" w:color="auto" w:fill="FFFFFF"/>
            <w:vAlign w:val="center"/>
          </w:tcPr>
          <w:p w14:paraId="2CA9DF7F" w14:textId="4A7A21CB" w:rsidR="00775E92" w:rsidRPr="00775E92" w:rsidRDefault="00775E92" w:rsidP="00775E92">
            <w:pPr>
              <w:spacing w:before="100" w:beforeAutospacing="1" w:after="100" w:afterAutospacing="1" w:line="240" w:lineRule="auto"/>
              <w:jc w:val="center"/>
              <w:rPr>
                <w:rFonts w:ascii="Arial" w:eastAsia="Times New Roman" w:hAnsi="Arial" w:cs="Arial"/>
                <w:sz w:val="12"/>
                <w:szCs w:val="12"/>
                <w:lang w:val="en-US"/>
              </w:rPr>
            </w:pPr>
            <w:r w:rsidRPr="00775E92">
              <w:rPr>
                <w:rFonts w:ascii="Arial" w:hAnsi="Arial" w:cs="Arial"/>
                <w:color w:val="000000"/>
                <w:sz w:val="12"/>
                <w:szCs w:val="12"/>
              </w:rPr>
              <w:t>0.48</w:t>
            </w:r>
          </w:p>
        </w:tc>
        <w:tc>
          <w:tcPr>
            <w:tcW w:w="757" w:type="dxa"/>
            <w:gridSpan w:val="2"/>
            <w:tcBorders>
              <w:top w:val="single" w:sz="4" w:space="0" w:color="auto"/>
              <w:left w:val="nil"/>
              <w:bottom w:val="single" w:sz="4" w:space="0" w:color="auto"/>
              <w:right w:val="single" w:sz="4" w:space="0" w:color="auto"/>
            </w:tcBorders>
            <w:shd w:val="clear" w:color="auto" w:fill="FFFFFF"/>
            <w:vAlign w:val="center"/>
          </w:tcPr>
          <w:p w14:paraId="0BEFDBB0" w14:textId="2B76ADDA" w:rsidR="00775E92" w:rsidRPr="00775E92" w:rsidRDefault="00775E92" w:rsidP="00775E92">
            <w:pPr>
              <w:spacing w:before="100" w:beforeAutospacing="1" w:after="100" w:afterAutospacing="1" w:line="240" w:lineRule="auto"/>
              <w:jc w:val="center"/>
              <w:rPr>
                <w:rFonts w:ascii="Arial" w:hAnsi="Arial" w:cs="Arial"/>
                <w:sz w:val="12"/>
                <w:szCs w:val="12"/>
                <w:lang w:val="en-US"/>
              </w:rPr>
            </w:pPr>
            <w:r w:rsidRPr="00775E92">
              <w:rPr>
                <w:rFonts w:ascii="Arial" w:hAnsi="Arial" w:cs="Arial"/>
                <w:color w:val="000000"/>
                <w:sz w:val="12"/>
                <w:szCs w:val="12"/>
              </w:rPr>
              <w:t>0.35</w:t>
            </w:r>
          </w:p>
        </w:tc>
        <w:tc>
          <w:tcPr>
            <w:tcW w:w="565" w:type="dxa"/>
            <w:tcBorders>
              <w:top w:val="single" w:sz="4" w:space="0" w:color="auto"/>
              <w:left w:val="nil"/>
              <w:bottom w:val="single" w:sz="4" w:space="0" w:color="auto"/>
              <w:right w:val="single" w:sz="4" w:space="0" w:color="auto"/>
            </w:tcBorders>
            <w:shd w:val="clear" w:color="auto" w:fill="FFFFFF"/>
            <w:vAlign w:val="center"/>
          </w:tcPr>
          <w:p w14:paraId="0BCBAC88" w14:textId="0C0B9EA7" w:rsidR="00775E92" w:rsidRPr="00775E92" w:rsidRDefault="00775E92" w:rsidP="00775E92">
            <w:pPr>
              <w:spacing w:before="100" w:beforeAutospacing="1" w:after="100" w:afterAutospacing="1" w:line="240" w:lineRule="auto"/>
              <w:jc w:val="center"/>
              <w:rPr>
                <w:rFonts w:ascii="Arial" w:hAnsi="Arial" w:cs="Arial"/>
                <w:sz w:val="12"/>
                <w:szCs w:val="12"/>
                <w:lang w:val="en-US"/>
              </w:rPr>
            </w:pPr>
            <w:r w:rsidRPr="00775E92">
              <w:rPr>
                <w:rFonts w:ascii="Arial" w:hAnsi="Arial" w:cs="Arial"/>
                <w:color w:val="000000"/>
                <w:sz w:val="12"/>
                <w:szCs w:val="12"/>
              </w:rPr>
              <w:t>0.24</w:t>
            </w:r>
          </w:p>
        </w:tc>
        <w:tc>
          <w:tcPr>
            <w:tcW w:w="566" w:type="dxa"/>
            <w:tcBorders>
              <w:top w:val="single" w:sz="4" w:space="0" w:color="auto"/>
              <w:left w:val="nil"/>
              <w:bottom w:val="single" w:sz="4" w:space="0" w:color="auto"/>
              <w:right w:val="nil"/>
            </w:tcBorders>
            <w:shd w:val="clear" w:color="auto" w:fill="FFFFFF"/>
            <w:vAlign w:val="center"/>
          </w:tcPr>
          <w:p w14:paraId="1FA69CB9" w14:textId="7E4FFB46" w:rsidR="00775E92" w:rsidRPr="00775E92" w:rsidRDefault="00775E92" w:rsidP="00775E92">
            <w:pPr>
              <w:spacing w:before="100" w:beforeAutospacing="1" w:after="100" w:afterAutospacing="1" w:line="240" w:lineRule="auto"/>
              <w:jc w:val="center"/>
              <w:rPr>
                <w:rFonts w:ascii="Arial" w:hAnsi="Arial" w:cs="Arial"/>
                <w:sz w:val="12"/>
                <w:szCs w:val="12"/>
                <w:lang w:val="en-US"/>
              </w:rPr>
            </w:pPr>
            <w:r w:rsidRPr="00775E92">
              <w:rPr>
                <w:rFonts w:ascii="Arial" w:hAnsi="Arial" w:cs="Arial"/>
                <w:color w:val="000000"/>
                <w:sz w:val="12"/>
                <w:szCs w:val="12"/>
              </w:rPr>
              <w:t>0.19</w:t>
            </w:r>
          </w:p>
        </w:tc>
        <w:tc>
          <w:tcPr>
            <w:tcW w:w="567" w:type="dxa"/>
            <w:tcBorders>
              <w:top w:val="single" w:sz="4" w:space="0" w:color="auto"/>
              <w:left w:val="nil"/>
              <w:bottom w:val="single" w:sz="4" w:space="0" w:color="auto"/>
              <w:right w:val="single" w:sz="4" w:space="0" w:color="auto"/>
            </w:tcBorders>
            <w:shd w:val="clear" w:color="auto" w:fill="FFFFFF"/>
            <w:vAlign w:val="center"/>
          </w:tcPr>
          <w:p w14:paraId="55D72B57" w14:textId="6BC87665" w:rsidR="00775E92" w:rsidRPr="00775E92" w:rsidRDefault="00775E92" w:rsidP="00775E92">
            <w:pPr>
              <w:spacing w:before="100" w:beforeAutospacing="1" w:after="100" w:afterAutospacing="1" w:line="240" w:lineRule="auto"/>
              <w:jc w:val="center"/>
              <w:rPr>
                <w:rFonts w:ascii="Arial" w:hAnsi="Arial" w:cs="Arial"/>
                <w:sz w:val="12"/>
                <w:szCs w:val="12"/>
                <w:lang w:val="en-US"/>
              </w:rPr>
            </w:pPr>
            <w:r w:rsidRPr="00775E92">
              <w:rPr>
                <w:rFonts w:ascii="Arial" w:hAnsi="Arial" w:cs="Arial"/>
                <w:color w:val="000000"/>
                <w:sz w:val="12"/>
                <w:szCs w:val="12"/>
              </w:rPr>
              <w:t>0.15</w:t>
            </w:r>
          </w:p>
        </w:tc>
        <w:tc>
          <w:tcPr>
            <w:tcW w:w="566" w:type="dxa"/>
            <w:tcBorders>
              <w:top w:val="single" w:sz="4" w:space="0" w:color="auto"/>
              <w:left w:val="nil"/>
              <w:bottom w:val="single" w:sz="4" w:space="0" w:color="auto"/>
              <w:right w:val="single" w:sz="4" w:space="0" w:color="auto"/>
            </w:tcBorders>
            <w:shd w:val="clear" w:color="auto" w:fill="FFFFFF"/>
            <w:vAlign w:val="center"/>
          </w:tcPr>
          <w:p w14:paraId="3AA6830B" w14:textId="49AB91BC" w:rsidR="00775E92" w:rsidRPr="00775E92" w:rsidRDefault="00775E92" w:rsidP="00775E92">
            <w:pPr>
              <w:spacing w:before="100" w:beforeAutospacing="1" w:after="100" w:afterAutospacing="1" w:line="240" w:lineRule="auto"/>
              <w:jc w:val="center"/>
              <w:rPr>
                <w:rFonts w:ascii="Arial" w:eastAsia="Times New Roman" w:hAnsi="Arial" w:cs="Arial"/>
                <w:sz w:val="12"/>
                <w:szCs w:val="12"/>
                <w:lang w:val="en-US"/>
              </w:rPr>
            </w:pPr>
            <w:r w:rsidRPr="00775E92">
              <w:rPr>
                <w:rFonts w:ascii="Arial" w:hAnsi="Arial" w:cs="Arial"/>
                <w:color w:val="000000"/>
                <w:sz w:val="12"/>
                <w:szCs w:val="12"/>
              </w:rPr>
              <w:t>0.28</w:t>
            </w:r>
          </w:p>
        </w:tc>
        <w:tc>
          <w:tcPr>
            <w:tcW w:w="566" w:type="dxa"/>
            <w:tcBorders>
              <w:top w:val="single" w:sz="4" w:space="0" w:color="auto"/>
              <w:left w:val="nil"/>
              <w:bottom w:val="single" w:sz="4" w:space="0" w:color="auto"/>
              <w:right w:val="single" w:sz="4" w:space="0" w:color="auto"/>
            </w:tcBorders>
            <w:shd w:val="clear" w:color="auto" w:fill="FFFFFF"/>
            <w:vAlign w:val="center"/>
          </w:tcPr>
          <w:p w14:paraId="20FE200E" w14:textId="429620C1" w:rsidR="00775E92" w:rsidRPr="00775E92" w:rsidRDefault="00775E92" w:rsidP="00775E92">
            <w:pPr>
              <w:spacing w:before="100" w:beforeAutospacing="1" w:after="100" w:afterAutospacing="1" w:line="240" w:lineRule="auto"/>
              <w:jc w:val="center"/>
              <w:rPr>
                <w:rFonts w:ascii="Arial" w:eastAsia="Times New Roman" w:hAnsi="Arial" w:cs="Arial"/>
                <w:sz w:val="12"/>
                <w:szCs w:val="12"/>
                <w:lang w:val="en-US"/>
              </w:rPr>
            </w:pPr>
            <w:proofErr w:type="gramStart"/>
            <w:r w:rsidRPr="00775E92">
              <w:rPr>
                <w:rFonts w:ascii="Arial" w:hAnsi="Arial" w:cs="Arial"/>
                <w:color w:val="000000"/>
                <w:sz w:val="12"/>
                <w:szCs w:val="12"/>
              </w:rPr>
              <w:t>0.6</w:t>
            </w:r>
            <w:proofErr w:type="gramEnd"/>
          </w:p>
        </w:tc>
        <w:tc>
          <w:tcPr>
            <w:tcW w:w="566" w:type="dxa"/>
            <w:tcBorders>
              <w:top w:val="single" w:sz="4" w:space="0" w:color="auto"/>
              <w:left w:val="nil"/>
              <w:bottom w:val="single" w:sz="4" w:space="0" w:color="auto"/>
              <w:right w:val="single" w:sz="4" w:space="0" w:color="auto"/>
            </w:tcBorders>
            <w:shd w:val="clear" w:color="auto" w:fill="FFFFFF"/>
            <w:vAlign w:val="center"/>
          </w:tcPr>
          <w:p w14:paraId="50207182" w14:textId="2B31E6C5" w:rsidR="00775E92" w:rsidRPr="00775E92" w:rsidRDefault="00775E92" w:rsidP="00775E92">
            <w:pPr>
              <w:spacing w:before="100" w:beforeAutospacing="1" w:after="100" w:afterAutospacing="1" w:line="240" w:lineRule="auto"/>
              <w:jc w:val="center"/>
              <w:rPr>
                <w:rFonts w:ascii="Arial" w:eastAsia="Times New Roman" w:hAnsi="Arial" w:cs="Arial"/>
                <w:sz w:val="12"/>
                <w:szCs w:val="12"/>
                <w:lang w:val="en-US"/>
              </w:rPr>
            </w:pPr>
            <w:r w:rsidRPr="00775E92">
              <w:rPr>
                <w:rFonts w:ascii="Arial" w:hAnsi="Arial" w:cs="Arial"/>
                <w:color w:val="000000"/>
                <w:sz w:val="12"/>
                <w:szCs w:val="12"/>
              </w:rPr>
              <w:t>0.12</w:t>
            </w:r>
          </w:p>
        </w:tc>
        <w:tc>
          <w:tcPr>
            <w:tcW w:w="566" w:type="dxa"/>
            <w:tcBorders>
              <w:top w:val="single" w:sz="4" w:space="0" w:color="auto"/>
              <w:left w:val="nil"/>
              <w:bottom w:val="single" w:sz="4" w:space="0" w:color="auto"/>
              <w:right w:val="single" w:sz="4" w:space="0" w:color="auto"/>
            </w:tcBorders>
            <w:shd w:val="clear" w:color="auto" w:fill="FFFFFF"/>
            <w:vAlign w:val="center"/>
          </w:tcPr>
          <w:p w14:paraId="07AF5974" w14:textId="1C1B3D09" w:rsidR="00775E92" w:rsidRPr="00775E92" w:rsidRDefault="00775E92" w:rsidP="00775E92">
            <w:pPr>
              <w:spacing w:before="100" w:beforeAutospacing="1" w:after="100" w:afterAutospacing="1" w:line="240" w:lineRule="auto"/>
              <w:jc w:val="center"/>
              <w:rPr>
                <w:rFonts w:ascii="Arial" w:eastAsia="Times New Roman" w:hAnsi="Arial" w:cs="Arial"/>
                <w:sz w:val="12"/>
                <w:szCs w:val="12"/>
                <w:lang w:val="en-US"/>
              </w:rPr>
            </w:pPr>
            <w:r w:rsidRPr="00775E92">
              <w:rPr>
                <w:rFonts w:ascii="Arial" w:hAnsi="Arial" w:cs="Arial"/>
                <w:color w:val="000000"/>
                <w:sz w:val="12"/>
                <w:szCs w:val="12"/>
              </w:rPr>
              <w:t>0.29</w:t>
            </w:r>
          </w:p>
        </w:tc>
        <w:tc>
          <w:tcPr>
            <w:tcW w:w="566" w:type="dxa"/>
            <w:tcBorders>
              <w:top w:val="single" w:sz="4" w:space="0" w:color="auto"/>
              <w:left w:val="nil"/>
              <w:bottom w:val="single" w:sz="4" w:space="0" w:color="auto"/>
              <w:right w:val="single" w:sz="4" w:space="0" w:color="auto"/>
            </w:tcBorders>
            <w:shd w:val="clear" w:color="auto" w:fill="FFFFFF"/>
            <w:vAlign w:val="center"/>
          </w:tcPr>
          <w:p w14:paraId="6D0766B8" w14:textId="76BFEA04" w:rsidR="00775E92" w:rsidRPr="00D35F9A" w:rsidRDefault="00775E92" w:rsidP="008F5458">
            <w:pPr>
              <w:spacing w:before="100" w:beforeAutospacing="1" w:after="100" w:afterAutospacing="1" w:line="240" w:lineRule="auto"/>
              <w:jc w:val="center"/>
              <w:rPr>
                <w:rFonts w:ascii="Arial" w:eastAsia="Times New Roman" w:hAnsi="Arial" w:cs="Arial"/>
                <w:sz w:val="12"/>
                <w:szCs w:val="12"/>
                <w:lang w:val="en-US"/>
              </w:rPr>
            </w:pPr>
            <w:r>
              <w:rPr>
                <w:rFonts w:ascii="Arial" w:eastAsia="Times New Roman" w:hAnsi="Arial" w:cs="Arial"/>
                <w:sz w:val="12"/>
                <w:szCs w:val="12"/>
                <w:lang w:val="en-US"/>
              </w:rPr>
              <w:fldChar w:fldCharType="begin"/>
            </w:r>
            <w:r>
              <w:rPr>
                <w:rFonts w:ascii="Arial" w:eastAsia="Times New Roman" w:hAnsi="Arial" w:cs="Arial"/>
                <w:sz w:val="12"/>
                <w:szCs w:val="12"/>
                <w:lang w:val="en-US"/>
              </w:rPr>
              <w:instrText xml:space="preserve"> REF _Ref528918119 \r \h  \* MERGEFORMAT </w:instrText>
            </w:r>
            <w:r>
              <w:rPr>
                <w:rFonts w:ascii="Arial" w:eastAsia="Times New Roman" w:hAnsi="Arial" w:cs="Arial"/>
                <w:sz w:val="12"/>
                <w:szCs w:val="12"/>
                <w:lang w:val="en-US"/>
              </w:rPr>
            </w:r>
            <w:r>
              <w:rPr>
                <w:rFonts w:ascii="Arial" w:eastAsia="Times New Roman" w:hAnsi="Arial" w:cs="Arial"/>
                <w:sz w:val="12"/>
                <w:szCs w:val="12"/>
                <w:lang w:val="en-US"/>
              </w:rPr>
              <w:fldChar w:fldCharType="separate"/>
            </w:r>
            <w:r>
              <w:rPr>
                <w:rFonts w:ascii="Arial" w:eastAsia="Times New Roman" w:hAnsi="Arial" w:cs="Arial"/>
                <w:sz w:val="12"/>
                <w:szCs w:val="12"/>
                <w:lang w:val="en-US"/>
              </w:rPr>
              <w:t>Q</w:t>
            </w:r>
            <w:r>
              <w:rPr>
                <w:rFonts w:ascii="Arial" w:eastAsia="Times New Roman" w:hAnsi="Arial" w:cs="Arial"/>
                <w:sz w:val="12"/>
                <w:szCs w:val="12"/>
                <w:lang w:val="en-US"/>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4FFC87CB" w14:textId="2A377AA2" w:rsidR="00775E92" w:rsidRPr="00D35F9A" w:rsidRDefault="00775E92" w:rsidP="008F5458">
            <w:pPr>
              <w:spacing w:before="100" w:beforeAutospacing="1" w:after="100" w:afterAutospacing="1" w:line="240" w:lineRule="auto"/>
              <w:jc w:val="center"/>
              <w:rPr>
                <w:rFonts w:ascii="Arial" w:eastAsia="Times New Roman" w:hAnsi="Arial" w:cs="Arial"/>
                <w:sz w:val="12"/>
                <w:szCs w:val="12"/>
                <w:lang w:val="en-US"/>
              </w:rPr>
            </w:pPr>
            <w:r>
              <w:rPr>
                <w:rFonts w:ascii="Arial" w:hAnsi="Arial" w:cs="Arial"/>
                <w:sz w:val="12"/>
                <w:szCs w:val="12"/>
                <w:lang w:val="en-US"/>
              </w:rPr>
              <w:fldChar w:fldCharType="begin" w:fldLock="1"/>
            </w:r>
            <w:r>
              <w:rPr>
                <w:rFonts w:ascii="Arial" w:hAnsi="Arial" w:cs="Arial"/>
                <w:sz w:val="12"/>
                <w:szCs w:val="12"/>
                <w:lang w:val="en-US"/>
              </w:rPr>
              <w:instrText>ADDIN CSL_CITATION {"citationItems":[{"id":"ITEM-1","itemData":{"DOI":"10.3390/en10010108","ISSN":"19961073","abstract":"This paper offers a wide overview on the large-scale electrochemical energy projects installed in the high voltage Italian grid. Detailed descriptions of energy (charge/discharge times of about 8 h) and power intensive (charge/discharge times ranging from 0.5 h to 4 h) installations are presented with some insights into the authorization procedures, safety features, and ancillary services. These different charge/discharge times reflect the different operation uses inside the electric grid. Energy intensive storage aims at decoupling generation and utilization since, in the southern part of Italy, there has been a great growth of wind farms: these areas are characterized by a surplus of generation with respect to load absorption and to the net transport capacity of the 150 kV high voltage backbones. Power intensive storage aims at providing ancillary services inside the electric grid as primary and secondary frequency regulation, synthetic rotational inertia, and further functionalities. The return on experience of Italian installations will be able to play a key role also for other countries and other transmission system operators.","author":[{"dropping-particle":"","family":"Benato","given":"Roberto","non-dropping-particle":"","parse-names":false,"suffix":""},{"dropping-particle":"","family":"Bruno","given":"Gianluca","non-dropping-particle":"","parse-names":false,"suffix":""},{"dropping-particle":"","family":"Palone","given":"Francesco","non-dropping-particle":"","parse-names":false,"suffix":""},{"dropping-particle":"","family":"Polito","given":"Rosario M.","non-dropping-particle":"","parse-names":false,"suffix":""},{"dropping-particle":"","family":"Rebolini","given":"Massimo","non-dropping-particle":"","parse-names":false,"suffix":""}],"container-title":"Energies","id":"ITEM-1","issue":"1","issued":{"date-parts":[["2017"]]},"title":"Large-scale electrochemical energy storage in high voltage grids: Overview of the Italian experience","type":"article-journal","volume":"10"},"uris":["http://www.mendeley.com/documents/?uuid=784a9ee3-2811-4661-8fe3-7517902c873f"]},{"id":"ITEM-2","itemData":{"DOI":"10.1016/j.rser.2014.10.011","ISBN":"1364-0321","ISSN":"13640321","abstract":"Large-scale deployment of intermittent renewable energy (namely wind energy and solar PV) may entail new challenges in power systems and more volatility in power prices in liberalized electricity markets. Energy storage can diminish this imbalance, relieving the grid congestion, and promoting distributed generation. The economic implications of grid-scale electrical energy storage technologies are however obscure for the experts, power grid operators, regulators, and power producers. A meticulous technoeconomic or cost-benefit analysis of electricity storage systems requires consistent, updated cost data and a holistic cost analysis framework. To this end, this study critically examines the existing literature in the analysis of life cycle costs of utility-scale electricity storage systems, providing an updated database for the cost elements (capital costs, operational and maintenance costs, and replacement costs). Moreover, life cycle costs and levelized cost of electricity delivered by electrical energy storage is analyzed, employing Monte Carlo method to consider uncertainties. The examined energy storage technologies include pumped hydropower storage, compressed air energy storage (CAES), flywheel, electrochemical batteries (e.g. lead-acid, NaS, Li-ion, and Ni-Cd), flow batteries (e.g. vanadium-redox), superconducting magnetic energy storage, supercapacitors, and hydrogen energy storage (power to gas technologies). The results illustrate the economy of different storage systems for three main applications: bulk energy storage, T&amp;D support services, and frequency regulation.","author":[{"dropping-particle":"","family":"Zakeri","given":"Behnam","non-dropping-particle":"","parse-names":false,"suffix":""},{"dropping-particle":"","family":"Syri","given":"Sanna","non-dropping-particle":"","parse-names":false,"suffix":""}],"container-title":"Renewable and Sustainable Energy Reviews","id":"ITEM-2","issued":{"date-parts":[["2015"]]},"page":"569-596","publisher":"Elsevier","title":"Electrical energy storage systems: A comparative life cycle cost analysis","type":"article-journal","volume":"42"},"uris":["http://www.mendeley.com/documents/?uuid=ed24dad4-ad20-4717-90f6-1ba73103b412","http://www.mendeley.com/documents/?uuid=f6d7c79f-22cc-4fe6-aafa-ad68ccce8797","http://www.mendeley.com/documents/?uuid=8b6c9318-6d50-48b5-bd42-237a97c1deae"]},{"id":"ITEM-3","itemData":{"DOI":"SAND2013-5131","ISBN":"SAND2013-5131","abstract":"The Electricity Storage Handbook (Handbook) is a how-to guide for utility and rural cooperative engineers, planners, and decision makers to plan and implement energy storage projects. The Handbook also serves as an information resource for investors and venture capitalists, providing the latest developments in technologies and tools to guide their evaluations of energy storage opportunities. It includes a comprehensive database of the cost of current storage systems in a wide variety of electric utility and customer services, along with interconnection schematics. A list of significant past and present energy storage projects is provided for a practical perspective. This Handbook, jointly sponsored by the U.S. Department of Energy and the Electric Power Research Institute in collaboration with the National Rural Electric Cooperative Association, is published in electronic form at www.sandia.gov/ess.","author":[{"dropping-particle":"","family":"Huff","given":"Georgianne","non-dropping-particle":"","parse-names":false,"suffix":""},{"dropping-particle":"","family":"Currier","given":"Aileen B.","non-dropping-particle":"","parse-names":false,"suffix":""},{"dropping-particle":"","family":"Kaun","given":"Benjamin C.","non-dropping-particle":"","parse-names":false,"suffix":""},{"dropping-particle":"","family":"Rastler","given":"Dan M.","non-dropping-particle":"","parse-names":false,"suffix":""},{"dropping-particle":"","family":"Chen","given":"Stella Bingqing","non-dropping-particle":"","parse-names":false,"suffix":""},{"dropping-particle":"","family":"Bradshaw","given":"Dale T.","non-dropping-particle":"","parse-names":false,"suffix":""},{"dropping-particle":"","family":"Gauntlett","given":"William D.","non-dropping-particle":"","parse-names":false,"suffix":""}],"container-title":"Report SAND2013- …","id":"ITEM-3","issue":"July","issued":{"date-parts":[["2013"]]},"number-of-pages":"340","title":"DOE/EPRI 2013 electricity storage handbook in collaboration with NRECA","type":"report"},"uris":["http://www.mendeley.com/documents/?uuid=3186654e-214c-451c-a7b1-4876c9bb2657","http://www.mendeley.com/documents/?uuid=324174d6-54cb-4e5f-99b0-53f2aafbf7c4","http://www.mendeley.com/documents/?uuid=3faac734-aa45-41d5-ac65-f5174d6d9e3c"]},{"id":"ITEM-4","itemData":{"URL":"https://bnef.turtl.co/story/neo2018.pdf?autoprint=true&amp;teaser=true","author":[{"dropping-particle":"","family":"Bloomberg New Energy Finance","given":"","non-dropping-particle":"","parse-names":false,"suffix":""}],"id":"ITEM-4","issued":{"date-parts":[["2018"]]},"title":"New Energy Outlook 2018","type":"webpage"},"uris":["http://www.mendeley.com/documents/?uuid=6c087b37-53e2-47c6-b97f-c3beaf314c66"]},{"id":"ITEM-5","itemData":{"ISBN":"0065-4299","abstract":"Renewable energy","author":[{"dropping-particle":"","family":"International Renewable Energy Agency","given":"","non-dropping-particle":"","parse-names":false,"suffix":""}],"id":"ITEM-5","issue":"January","issued":{"date-parts":[["2015"]]},"number-of-pages":"1-60","title":"IRENA Battery Storage Report 2015","type":"report"},"uris":["http://www.mendeley.com/documents/?uuid=f37efa12-4f6d-4ea8-b094-05d3d7be7f5e"]},{"id":"ITEM-6","itemData":{"URL":"http://energystorage.org/energy-storage/case-studies/frequency-regulation-services-and-firm-wind-product-aes-energy-storage","author":[{"dropping-particle":"","family":"Energy Storage Association","given":"","non-dropping-particle":"","parse-names":false,"suffix":""}],"id":"ITEM-6","issued":{"date-parts":[["2018"]]},"page":"1-2","title":"Frequency Regulation Services and a Firm Wind Product: AES Energy Storage Laurel Mountain Battery Energy Storage","type":"webpage"},"uris":["http://www.mendeley.com/documents/?uuid=e7e05aa4-40ec-477d-820e-622beb82b2d8","http://www.mendeley.com/documents/?uuid=6fdd9f87-4ea8-4ec5-b7d8-77a678edd2e4","http://www.mendeley.com/documents/?uuid=9d6c3288-5833-4495-8c58-65e03a4e4678"]}],"mendeley":{"formattedCitation":"[41,44,48,54–56]","plainTextFormattedCitation":"[41,44,48,54–56]"},"properties":{"noteIndex":0},"schema":"https://github.com/citation-style-language/schema/raw/master/csl-citation.json"}</w:instrText>
            </w:r>
            <w:r>
              <w:rPr>
                <w:rFonts w:ascii="Arial" w:hAnsi="Arial" w:cs="Arial"/>
                <w:sz w:val="12"/>
                <w:szCs w:val="12"/>
                <w:lang w:val="en-US"/>
              </w:rPr>
              <w:fldChar w:fldCharType="separate"/>
            </w:r>
            <w:r w:rsidRPr="00674516">
              <w:rPr>
                <w:rFonts w:ascii="Arial" w:hAnsi="Arial" w:cs="Arial"/>
                <w:noProof/>
                <w:sz w:val="12"/>
                <w:szCs w:val="12"/>
                <w:lang w:val="en-US"/>
              </w:rPr>
              <w:t>[41,44,48,54–56]</w:t>
            </w:r>
            <w:r>
              <w:rPr>
                <w:rFonts w:ascii="Arial" w:hAnsi="Arial" w:cs="Arial"/>
                <w:sz w:val="12"/>
                <w:szCs w:val="12"/>
                <w:lang w:val="en-US"/>
              </w:rPr>
              <w:fldChar w:fldCharType="end"/>
            </w:r>
          </w:p>
        </w:tc>
      </w:tr>
      <w:tr w:rsidR="00E60026" w:rsidRPr="007D5B8E" w14:paraId="04D36F7D" w14:textId="77777777" w:rsidTr="008F5458">
        <w:trPr>
          <w:trHeight w:hRule="exact" w:val="369"/>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AACDCE0" w14:textId="53EE45E9" w:rsidR="00E60026" w:rsidRPr="008F5458"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noProof/>
                <w:sz w:val="12"/>
                <w:szCs w:val="12"/>
                <w:lang w:val="en-US"/>
              </w:rPr>
              <w:t>Lifetime</w:t>
            </w:r>
            <w:r w:rsidRPr="008F5458">
              <w:rPr>
                <w:rFonts w:ascii="Arial" w:hAnsi="Arial" w:cs="Arial"/>
                <w:sz w:val="12"/>
                <w:szCs w:val="12"/>
                <w:lang w:val="en-US"/>
              </w:rPr>
              <w:t xml:space="preserve"> in </w:t>
            </w:r>
            <w:r w:rsidRPr="008F5458">
              <w:rPr>
                <w:rFonts w:ascii="Arial" w:hAnsi="Arial" w:cs="Arial"/>
                <w:noProof/>
                <w:sz w:val="12"/>
                <w:szCs w:val="12"/>
                <w:lang w:val="en-US"/>
              </w:rPr>
              <w:t>total</w:t>
            </w:r>
            <w:r w:rsidRPr="008F5458">
              <w:rPr>
                <w:rFonts w:ascii="Arial" w:hAnsi="Arial" w:cs="Arial"/>
                <w:sz w:val="12"/>
                <w:szCs w:val="12"/>
                <w:lang w:val="en-US"/>
              </w:rPr>
              <w:t xml:space="preserve"> number of cycles</w:t>
            </w:r>
          </w:p>
        </w:tc>
        <w:tc>
          <w:tcPr>
            <w:tcW w:w="567" w:type="dxa"/>
            <w:tcBorders>
              <w:top w:val="single" w:sz="4" w:space="0" w:color="auto"/>
              <w:left w:val="nil"/>
              <w:bottom w:val="single" w:sz="4" w:space="0" w:color="auto"/>
              <w:right w:val="single" w:sz="4" w:space="0" w:color="auto"/>
            </w:tcBorders>
            <w:shd w:val="clear" w:color="auto" w:fill="FFFFFF"/>
            <w:vAlign w:val="center"/>
            <w:hideMark/>
          </w:tcPr>
          <w:p w14:paraId="34A2665A" w14:textId="5DA1B831"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E60026">
              <w:rPr>
                <w:rFonts w:ascii="Arial" w:eastAsia="Times New Roman" w:hAnsi="Arial" w:cs="Arial"/>
                <w:sz w:val="12"/>
                <w:szCs w:val="12"/>
                <w:lang w:val="en-US"/>
              </w:rPr>
              <w:t>6000</w:t>
            </w:r>
          </w:p>
        </w:tc>
        <w:tc>
          <w:tcPr>
            <w:tcW w:w="757" w:type="dxa"/>
            <w:gridSpan w:val="2"/>
            <w:tcBorders>
              <w:top w:val="single" w:sz="4" w:space="0" w:color="auto"/>
              <w:left w:val="nil"/>
              <w:bottom w:val="single" w:sz="4" w:space="0" w:color="auto"/>
              <w:right w:val="single" w:sz="4" w:space="0" w:color="auto"/>
            </w:tcBorders>
            <w:shd w:val="clear" w:color="auto" w:fill="FFFFFF"/>
            <w:vAlign w:val="center"/>
            <w:hideMark/>
          </w:tcPr>
          <w:p w14:paraId="2C472FF9" w14:textId="26737618"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E60026">
              <w:rPr>
                <w:rFonts w:ascii="Arial" w:hAnsi="Arial" w:cs="Arial"/>
                <w:sz w:val="12"/>
                <w:szCs w:val="12"/>
                <w:lang w:val="en-US"/>
              </w:rPr>
              <w:t>14000</w:t>
            </w:r>
          </w:p>
        </w:tc>
        <w:tc>
          <w:tcPr>
            <w:tcW w:w="565" w:type="dxa"/>
            <w:tcBorders>
              <w:top w:val="single" w:sz="4" w:space="0" w:color="auto"/>
              <w:left w:val="nil"/>
              <w:bottom w:val="single" w:sz="4" w:space="0" w:color="auto"/>
              <w:right w:val="single" w:sz="4" w:space="0" w:color="auto"/>
            </w:tcBorders>
            <w:shd w:val="clear" w:color="auto" w:fill="FFFFFF"/>
            <w:vAlign w:val="center"/>
            <w:hideMark/>
          </w:tcPr>
          <w:p w14:paraId="4F3E9423" w14:textId="5794293A"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E60026">
              <w:rPr>
                <w:rFonts w:ascii="Arial" w:hAnsi="Arial" w:cs="Arial"/>
                <w:sz w:val="12"/>
                <w:szCs w:val="12"/>
                <w:lang w:val="en-US"/>
              </w:rPr>
              <w:t>30000</w:t>
            </w:r>
          </w:p>
        </w:tc>
        <w:tc>
          <w:tcPr>
            <w:tcW w:w="566" w:type="dxa"/>
            <w:tcBorders>
              <w:top w:val="single" w:sz="4" w:space="0" w:color="auto"/>
              <w:left w:val="nil"/>
              <w:bottom w:val="single" w:sz="4" w:space="0" w:color="auto"/>
              <w:right w:val="nil"/>
            </w:tcBorders>
            <w:shd w:val="clear" w:color="auto" w:fill="FFFFFF"/>
            <w:vAlign w:val="center"/>
          </w:tcPr>
          <w:p w14:paraId="2EC5E206" w14:textId="26187A7B"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E60026">
              <w:rPr>
                <w:rFonts w:ascii="Arial" w:hAnsi="Arial" w:cs="Arial"/>
                <w:sz w:val="12"/>
                <w:szCs w:val="12"/>
                <w:lang w:val="en-US"/>
              </w:rPr>
              <w:t>40000</w:t>
            </w:r>
          </w:p>
        </w:tc>
        <w:tc>
          <w:tcPr>
            <w:tcW w:w="567" w:type="dxa"/>
            <w:tcBorders>
              <w:top w:val="single" w:sz="4" w:space="0" w:color="auto"/>
              <w:left w:val="nil"/>
              <w:bottom w:val="single" w:sz="4" w:space="0" w:color="auto"/>
              <w:right w:val="single" w:sz="4" w:space="0" w:color="auto"/>
            </w:tcBorders>
            <w:shd w:val="clear" w:color="auto" w:fill="FFFFFF"/>
            <w:vAlign w:val="center"/>
          </w:tcPr>
          <w:p w14:paraId="787CDBD0" w14:textId="5E0B243C"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E60026">
              <w:rPr>
                <w:rFonts w:ascii="Arial" w:hAnsi="Arial" w:cs="Arial"/>
                <w:sz w:val="12"/>
                <w:szCs w:val="12"/>
                <w:lang w:val="en-US"/>
              </w:rPr>
              <w:t>50000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6909C062" w14:textId="1E02F311"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E60026">
              <w:rPr>
                <w:rFonts w:ascii="Arial" w:eastAsia="Times New Roman" w:hAnsi="Arial" w:cs="Arial"/>
                <w:sz w:val="12"/>
                <w:szCs w:val="12"/>
                <w:lang w:val="en-US"/>
              </w:rPr>
              <w:t>10000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36265954" w14:textId="4278D006"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E60026">
              <w:rPr>
                <w:rFonts w:ascii="Arial" w:eastAsia="Times New Roman" w:hAnsi="Arial" w:cs="Arial"/>
                <w:sz w:val="12"/>
                <w:szCs w:val="12"/>
                <w:lang w:val="en-US"/>
              </w:rPr>
              <w:t>16000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783DAA4D" w14:textId="2FD14B13"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E60026">
              <w:rPr>
                <w:rFonts w:ascii="Arial" w:eastAsia="Times New Roman" w:hAnsi="Arial" w:cs="Arial"/>
                <w:sz w:val="12"/>
                <w:szCs w:val="12"/>
                <w:lang w:val="en-US"/>
              </w:rPr>
              <w:t>20000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70BB546A" w14:textId="0B39EA07"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E60026">
              <w:rPr>
                <w:rFonts w:ascii="Arial" w:eastAsia="Times New Roman" w:hAnsi="Arial" w:cs="Arial"/>
                <w:sz w:val="12"/>
                <w:szCs w:val="12"/>
                <w:lang w:val="en-US"/>
              </w:rPr>
              <w:t>70000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5DA25DDE" w14:textId="219D1E2F" w:rsidR="00E60026" w:rsidRPr="00E60026"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rPr>
              <w:fldChar w:fldCharType="begin"/>
            </w:r>
            <w:r w:rsidRPr="00E60026">
              <w:rPr>
                <w:rFonts w:ascii="Arial" w:eastAsia="Times New Roman" w:hAnsi="Arial" w:cs="Arial"/>
                <w:sz w:val="12"/>
                <w:szCs w:val="12"/>
                <w:lang w:val="en-US"/>
              </w:rPr>
              <w:instrText xml:space="preserve"> REF _Ref528669265 \r \h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sidRPr="00E60026">
              <w:rPr>
                <w:rFonts w:ascii="Arial" w:eastAsia="Times New Roman" w:hAnsi="Arial" w:cs="Arial"/>
                <w:sz w:val="12"/>
                <w:szCs w:val="12"/>
                <w:lang w:val="en-US"/>
              </w:rPr>
              <w:t>R</w:t>
            </w:r>
            <w:r w:rsidRPr="008F5458">
              <w:rPr>
                <w:rFonts w:ascii="Arial" w:eastAsia="Times New Roman" w:hAnsi="Arial" w:cs="Arial"/>
                <w:sz w:val="12"/>
                <w:szCs w:val="12"/>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38F7F520" w14:textId="57FD032B" w:rsidR="00E60026" w:rsidRPr="008F5458" w:rsidRDefault="00E60026" w:rsidP="008F5458">
            <w:pPr>
              <w:spacing w:before="100" w:beforeAutospacing="1" w:after="100" w:afterAutospacing="1" w:line="240" w:lineRule="auto"/>
              <w:jc w:val="center"/>
              <w:rPr>
                <w:rFonts w:ascii="Arial" w:eastAsia="Times New Roman" w:hAnsi="Arial" w:cs="Arial"/>
                <w:sz w:val="12"/>
                <w:szCs w:val="12"/>
                <w:highlight w:val="yellow"/>
              </w:rPr>
            </w:pPr>
            <w:r>
              <w:rPr>
                <w:rFonts w:ascii="Arial" w:eastAsia="Times New Roman" w:hAnsi="Arial" w:cs="Arial"/>
                <w:sz w:val="12"/>
                <w:szCs w:val="12"/>
              </w:rPr>
              <w:fldChar w:fldCharType="begin" w:fldLock="1"/>
            </w:r>
            <w:r w:rsidRPr="00E60026">
              <w:rPr>
                <w:rFonts w:ascii="Arial" w:eastAsia="Times New Roman" w:hAnsi="Arial" w:cs="Arial"/>
                <w:sz w:val="12"/>
                <w:szCs w:val="12"/>
                <w:lang w:val="en-US"/>
              </w:rPr>
              <w:instrText>ADDIN CSL_CITATION {"citationItems":[{"id":"ITEM-1","itemData":{"URL":"http://www.samsungsdi.com/upload/ess_brochure/Samsung SDI brochure_EN.pdf","author":[{"dropping-particle":"","family":"Samsung","given":"","non-dropping-particle":"","parse-names":false,"suffix":""}],"id":"ITEM-1","issued":{"date-parts":[["2016"]]},"title":"Smart Battery Systems for Energy Storage","type":"webpage"},"uris":["http://www.mendeley.com/documents/?uuid=aa5734ba-3c56-47bf-9618-c8840e938469"]},{"id":"ITEM-2","itemData":{"URL":"https://www.ads-tec.de/fileadmin/download/doc/brochure/Datasheet_Energy_Industrial_EN.pdf","author":[{"dropping-particle":"","family":"adstec","given":"","non-dropping-particle":"","parse-names":false,"suffix":""}],"id":"ITEM-2","issued":{"date-parts":[["2018"]]},"title":"StoraXe Industrial &amp; Infrastructure Scalable battery storage system","type":"webpage"},"uris":["http://www.mendeley.com/documents/?uuid=2f3bd72e-b3eb-48ee-ad97-c8a6359d05f0"]},{"id":"ITEM-3","itemData":{"author":[{"dropping-particle":"","family":"Kokam Co.","given":"Ltd.","non-dropping-particle":"","parse-names":false,"suffix":""}],"id":"ITEM-3","issued":{"date-parts":[["2017"]]},"page":"1","title":"Kokam Li-ion / Polymer Cell","type":"article-journal"},"uris":["http://www.mend</w:instrText>
            </w:r>
            <w:r>
              <w:rPr>
                <w:rFonts w:ascii="Arial" w:eastAsia="Times New Roman" w:hAnsi="Arial" w:cs="Arial"/>
                <w:sz w:val="12"/>
                <w:szCs w:val="12"/>
              </w:rPr>
              <w:instrText>eley.com/documents/?uuid=3e0e91c0-5fbe-4912-843b-5a01f5d4b414"]},{"id":"ITEM-4","itemData":{"author":[{"dropping-particle":"","family":"Kokam Co.","given":"Ltd.","non-dropping-particle":"","parse-names":false,"suffix":""}],"id":"ITEM-4","issued":{"date-parts":[["2018"]]},"title":"Total Energy Storage Solution Provider","type":"article-journal"},"uris":["http://www.mendeley.com/documents/?uuid=6292833a-db6b-4e5f-a323-c417fd09c817"]}],"mendeley":{"formattedCitation":"[3–5,14]","plainTextFormattedCitation":"[3–5,14]","previouslyFormattedCitation":"[3–5,14]"},"properties":{"noteIndex":0},"schema":"https://github.com/citation-style-language/schema/raw/master/csl-citation.json"}</w:instrText>
            </w:r>
            <w:r>
              <w:rPr>
                <w:rFonts w:ascii="Arial" w:eastAsia="Times New Roman" w:hAnsi="Arial" w:cs="Arial"/>
                <w:sz w:val="12"/>
                <w:szCs w:val="12"/>
              </w:rPr>
              <w:fldChar w:fldCharType="separate"/>
            </w:r>
            <w:r w:rsidRPr="00D05697">
              <w:rPr>
                <w:rFonts w:ascii="Arial" w:eastAsia="Times New Roman" w:hAnsi="Arial" w:cs="Arial"/>
                <w:noProof/>
                <w:sz w:val="12"/>
                <w:szCs w:val="12"/>
              </w:rPr>
              <w:t>[3–5,14]</w:t>
            </w:r>
            <w:r>
              <w:rPr>
                <w:rFonts w:ascii="Arial" w:eastAsia="Times New Roman" w:hAnsi="Arial" w:cs="Arial"/>
                <w:sz w:val="12"/>
                <w:szCs w:val="12"/>
              </w:rPr>
              <w:fldChar w:fldCharType="end"/>
            </w:r>
          </w:p>
        </w:tc>
      </w:tr>
      <w:tr w:rsidR="00E60026" w:rsidRPr="007D5B8E" w14:paraId="18A44D77" w14:textId="77777777" w:rsidTr="008F5458">
        <w:trPr>
          <w:trHeight w:hRule="exact" w:val="255"/>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E68CEED" w14:textId="77777777"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proofErr w:type="spellStart"/>
            <w:r w:rsidRPr="008F5458">
              <w:rPr>
                <w:rFonts w:ascii="Arial" w:eastAsia="Times New Roman" w:hAnsi="Arial" w:cs="Arial"/>
                <w:sz w:val="12"/>
                <w:szCs w:val="12"/>
              </w:rPr>
              <w:t>Specific</w:t>
            </w:r>
            <w:proofErr w:type="spellEnd"/>
            <w:r w:rsidRPr="008F5458">
              <w:rPr>
                <w:rFonts w:ascii="Arial" w:eastAsia="Times New Roman" w:hAnsi="Arial" w:cs="Arial"/>
                <w:sz w:val="12"/>
                <w:szCs w:val="12"/>
              </w:rPr>
              <w:t xml:space="preserve"> power (W/kg)</w:t>
            </w:r>
          </w:p>
        </w:tc>
        <w:tc>
          <w:tcPr>
            <w:tcW w:w="567" w:type="dxa"/>
            <w:tcBorders>
              <w:top w:val="single" w:sz="4" w:space="0" w:color="auto"/>
              <w:left w:val="nil"/>
              <w:bottom w:val="single" w:sz="4" w:space="0" w:color="auto"/>
              <w:right w:val="single" w:sz="4" w:space="0" w:color="auto"/>
            </w:tcBorders>
            <w:shd w:val="clear" w:color="auto" w:fill="FFFFFF"/>
            <w:vAlign w:val="center"/>
          </w:tcPr>
          <w:p w14:paraId="55D71CA2" w14:textId="76EF4189"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569</w:t>
            </w:r>
          </w:p>
        </w:tc>
        <w:tc>
          <w:tcPr>
            <w:tcW w:w="757" w:type="dxa"/>
            <w:gridSpan w:val="2"/>
            <w:tcBorders>
              <w:top w:val="single" w:sz="4" w:space="0" w:color="auto"/>
              <w:left w:val="nil"/>
              <w:bottom w:val="single" w:sz="4" w:space="0" w:color="auto"/>
              <w:right w:val="single" w:sz="4" w:space="0" w:color="auto"/>
            </w:tcBorders>
            <w:shd w:val="clear" w:color="auto" w:fill="FFFFFF"/>
            <w:vAlign w:val="center"/>
          </w:tcPr>
          <w:p w14:paraId="38725815" w14:textId="03273C87"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700</w:t>
            </w:r>
          </w:p>
        </w:tc>
        <w:tc>
          <w:tcPr>
            <w:tcW w:w="565" w:type="dxa"/>
            <w:tcBorders>
              <w:top w:val="single" w:sz="4" w:space="0" w:color="auto"/>
              <w:left w:val="nil"/>
              <w:bottom w:val="single" w:sz="4" w:space="0" w:color="auto"/>
              <w:right w:val="single" w:sz="4" w:space="0" w:color="auto"/>
            </w:tcBorders>
            <w:shd w:val="clear" w:color="auto" w:fill="FFFFFF"/>
            <w:vAlign w:val="center"/>
          </w:tcPr>
          <w:p w14:paraId="15A9E051" w14:textId="39B23264"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900</w:t>
            </w:r>
          </w:p>
        </w:tc>
        <w:tc>
          <w:tcPr>
            <w:tcW w:w="566" w:type="dxa"/>
            <w:tcBorders>
              <w:top w:val="single" w:sz="4" w:space="0" w:color="auto"/>
              <w:left w:val="nil"/>
              <w:bottom w:val="single" w:sz="4" w:space="0" w:color="auto"/>
              <w:right w:val="nil"/>
            </w:tcBorders>
            <w:shd w:val="clear" w:color="auto" w:fill="FFFFFF"/>
            <w:vAlign w:val="center"/>
          </w:tcPr>
          <w:p w14:paraId="310F503B" w14:textId="725E0033"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1000</w:t>
            </w:r>
          </w:p>
        </w:tc>
        <w:tc>
          <w:tcPr>
            <w:tcW w:w="567" w:type="dxa"/>
            <w:tcBorders>
              <w:top w:val="single" w:sz="4" w:space="0" w:color="auto"/>
              <w:left w:val="nil"/>
              <w:bottom w:val="single" w:sz="4" w:space="0" w:color="auto"/>
              <w:right w:val="single" w:sz="4" w:space="0" w:color="auto"/>
            </w:tcBorders>
            <w:shd w:val="clear" w:color="auto" w:fill="FFFFFF"/>
            <w:vAlign w:val="center"/>
          </w:tcPr>
          <w:p w14:paraId="3385A1E1" w14:textId="493E87F2"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1200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28A0024A" w14:textId="48F05C93"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600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1D84AAA6" w14:textId="4CD243B1"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900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05936D03" w14:textId="3C7E8F8F"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1000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03C9C33E" w14:textId="62D9B06E"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2000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6E53C902" w14:textId="16EED4D3"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_Ref528670685 \r \h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Pr>
                <w:rFonts w:ascii="Arial" w:eastAsia="Times New Roman" w:hAnsi="Arial" w:cs="Arial"/>
                <w:sz w:val="12"/>
                <w:szCs w:val="12"/>
              </w:rPr>
              <w:t>S</w:t>
            </w:r>
            <w:r w:rsidRPr="008F5458">
              <w:rPr>
                <w:rFonts w:ascii="Arial" w:eastAsia="Times New Roman" w:hAnsi="Arial" w:cs="Arial"/>
                <w:sz w:val="12"/>
                <w:szCs w:val="12"/>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1F53475E" w14:textId="65A1BA6F" w:rsidR="00E60026" w:rsidRPr="008F5458" w:rsidRDefault="00E60026" w:rsidP="008F5458">
            <w:pPr>
              <w:spacing w:before="100" w:beforeAutospacing="1" w:after="100" w:afterAutospacing="1" w:line="240" w:lineRule="auto"/>
              <w:jc w:val="center"/>
              <w:rPr>
                <w:rFonts w:ascii="Arial" w:eastAsia="Times New Roman" w:hAnsi="Arial" w:cs="Arial"/>
                <w:sz w:val="12"/>
                <w:szCs w:val="12"/>
                <w:highlight w:val="yellow"/>
              </w:rPr>
            </w:pPr>
            <w:r w:rsidRPr="008F5458">
              <w:rPr>
                <w:rFonts w:ascii="Arial" w:hAnsi="Arial" w:cs="Arial"/>
                <w:sz w:val="12"/>
                <w:szCs w:val="12"/>
                <w:lang w:val="en-US"/>
              </w:rPr>
              <w:fldChar w:fldCharType="begin" w:fldLock="1"/>
            </w:r>
            <w:r>
              <w:rPr>
                <w:rFonts w:ascii="Arial" w:hAnsi="Arial" w:cs="Arial"/>
                <w:sz w:val="12"/>
                <w:szCs w:val="12"/>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Solutions","type":"webpage"},"uris":["http://www.mendeley.com/documents/?uuid=8daf1546-d22a-4e17-b6ef-d1d6ad53c301"]},{"id":"ITEM-2","itemData":{"DOI":"10.1038/ncomms9494","ISBN":"8613823769","author":[{"dropping-particle":"","family":"LG Chem","given":"","non-dropping-particle":"","parse-names":false,"suffix":""}],"id":"ITEM-2","issue":"July","issued":{"date-parts":[["2016"]]},"page":"7","title":"Change your enery. Change your life.","type":"webpage"},"uris":["http://www.mendeley.com/documents/?uuid=d939fabc-a503-4170-89ae-7d16fdb08e97","http://www.mendeley.com/documents/?uuid=cff469b1-6b65-4f75-837d-e3730c801831"]}],"mendeley":{"formattedCitation":"[2,24]","plainTextFormattedCitation":"[2,24]","previouslyFormattedCitation":"[2,24]"},"properties":{"noteIndex":0},"schema":"https://github.com/citation-style-language/schema/raw/master/csl-citation.json"}</w:instrText>
            </w:r>
            <w:r w:rsidRPr="008F5458">
              <w:rPr>
                <w:rFonts w:ascii="Arial" w:hAnsi="Arial" w:cs="Arial"/>
                <w:sz w:val="12"/>
                <w:szCs w:val="12"/>
                <w:lang w:val="en-US"/>
              </w:rPr>
              <w:fldChar w:fldCharType="separate"/>
            </w:r>
            <w:r w:rsidRPr="00986F3F">
              <w:rPr>
                <w:rFonts w:ascii="Arial" w:hAnsi="Arial" w:cs="Arial"/>
                <w:noProof/>
                <w:sz w:val="12"/>
                <w:szCs w:val="12"/>
                <w:lang w:val="en-US"/>
              </w:rPr>
              <w:t>[2,24]</w:t>
            </w:r>
            <w:r w:rsidRPr="008F5458">
              <w:rPr>
                <w:rFonts w:ascii="Arial" w:hAnsi="Arial" w:cs="Arial"/>
                <w:sz w:val="12"/>
                <w:szCs w:val="12"/>
                <w:lang w:val="en-US"/>
              </w:rPr>
              <w:fldChar w:fldCharType="end"/>
            </w:r>
          </w:p>
        </w:tc>
      </w:tr>
      <w:tr w:rsidR="00E60026" w:rsidRPr="007D5B8E" w14:paraId="7DCD8867" w14:textId="77777777" w:rsidTr="008F5458">
        <w:trPr>
          <w:trHeight w:hRule="exact" w:val="255"/>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723C8E11" w14:textId="77777777"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 xml:space="preserve">Power </w:t>
            </w:r>
            <w:proofErr w:type="spellStart"/>
            <w:r w:rsidRPr="008F5458">
              <w:rPr>
                <w:rFonts w:ascii="Arial" w:eastAsia="Times New Roman" w:hAnsi="Arial" w:cs="Arial"/>
                <w:sz w:val="12"/>
                <w:szCs w:val="12"/>
              </w:rPr>
              <w:t>density</w:t>
            </w:r>
            <w:proofErr w:type="spellEnd"/>
            <w:r w:rsidRPr="008F5458">
              <w:rPr>
                <w:rFonts w:ascii="Arial" w:eastAsia="Times New Roman" w:hAnsi="Arial" w:cs="Arial"/>
                <w:sz w:val="12"/>
                <w:szCs w:val="12"/>
              </w:rPr>
              <w:t xml:space="preserve"> (kW/m3)</w:t>
            </w:r>
          </w:p>
        </w:tc>
        <w:tc>
          <w:tcPr>
            <w:tcW w:w="567" w:type="dxa"/>
            <w:tcBorders>
              <w:top w:val="single" w:sz="4" w:space="0" w:color="auto"/>
              <w:left w:val="nil"/>
              <w:bottom w:val="single" w:sz="4" w:space="0" w:color="auto"/>
              <w:right w:val="single" w:sz="4" w:space="0" w:color="auto"/>
            </w:tcBorders>
            <w:shd w:val="clear" w:color="auto" w:fill="FFFFFF"/>
            <w:vAlign w:val="center"/>
          </w:tcPr>
          <w:p w14:paraId="18231917" w14:textId="53B21BAE"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708</w:t>
            </w:r>
          </w:p>
        </w:tc>
        <w:tc>
          <w:tcPr>
            <w:tcW w:w="757" w:type="dxa"/>
            <w:gridSpan w:val="2"/>
            <w:tcBorders>
              <w:top w:val="single" w:sz="4" w:space="0" w:color="auto"/>
              <w:left w:val="nil"/>
              <w:bottom w:val="single" w:sz="4" w:space="0" w:color="auto"/>
              <w:right w:val="single" w:sz="4" w:space="0" w:color="auto"/>
            </w:tcBorders>
            <w:shd w:val="clear" w:color="auto" w:fill="FFFFFF"/>
            <w:vAlign w:val="center"/>
          </w:tcPr>
          <w:p w14:paraId="15864506" w14:textId="2E7D071F"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800</w:t>
            </w:r>
          </w:p>
        </w:tc>
        <w:tc>
          <w:tcPr>
            <w:tcW w:w="565" w:type="dxa"/>
            <w:tcBorders>
              <w:top w:val="single" w:sz="4" w:space="0" w:color="auto"/>
              <w:left w:val="nil"/>
              <w:bottom w:val="single" w:sz="4" w:space="0" w:color="auto"/>
              <w:right w:val="single" w:sz="4" w:space="0" w:color="auto"/>
            </w:tcBorders>
            <w:shd w:val="clear" w:color="auto" w:fill="FFFFFF"/>
            <w:vAlign w:val="center"/>
          </w:tcPr>
          <w:p w14:paraId="5B12BD76" w14:textId="47F5A6B2"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1000</w:t>
            </w:r>
          </w:p>
        </w:tc>
        <w:tc>
          <w:tcPr>
            <w:tcW w:w="566" w:type="dxa"/>
            <w:tcBorders>
              <w:top w:val="single" w:sz="4" w:space="0" w:color="auto"/>
              <w:left w:val="nil"/>
              <w:bottom w:val="single" w:sz="4" w:space="0" w:color="auto"/>
              <w:right w:val="nil"/>
            </w:tcBorders>
            <w:shd w:val="clear" w:color="auto" w:fill="FFFFFF"/>
            <w:vAlign w:val="center"/>
          </w:tcPr>
          <w:p w14:paraId="78FB403D" w14:textId="0753D36D" w:rsidR="00E60026" w:rsidRPr="008F5458"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rPr>
              <w:t>1200</w:t>
            </w:r>
          </w:p>
        </w:tc>
        <w:tc>
          <w:tcPr>
            <w:tcW w:w="567" w:type="dxa"/>
            <w:tcBorders>
              <w:top w:val="single" w:sz="4" w:space="0" w:color="auto"/>
              <w:left w:val="nil"/>
              <w:bottom w:val="single" w:sz="4" w:space="0" w:color="auto"/>
              <w:right w:val="single" w:sz="4" w:space="0" w:color="auto"/>
            </w:tcBorders>
            <w:shd w:val="clear" w:color="auto" w:fill="FFFFFF"/>
            <w:vAlign w:val="center"/>
          </w:tcPr>
          <w:p w14:paraId="59DC6556" w14:textId="5059DC96" w:rsidR="00E60026" w:rsidRPr="008F5458"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hAnsi="Arial" w:cs="Arial"/>
                <w:sz w:val="12"/>
                <w:szCs w:val="12"/>
              </w:rPr>
              <w:t>1400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772873C6" w14:textId="4181E09A" w:rsidR="00E60026" w:rsidRPr="008F5458"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750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65EE6378" w14:textId="2E92580D" w:rsidR="00E60026" w:rsidRPr="008F5458"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900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056AEC35" w14:textId="12456246" w:rsidR="00E60026" w:rsidRPr="008F5458"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1200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71F45929" w14:textId="3A9C3D79" w:rsidR="00E60026" w:rsidRPr="008F5458" w:rsidRDefault="00E60026" w:rsidP="008F5458">
            <w:pPr>
              <w:spacing w:before="100" w:beforeAutospacing="1" w:after="100" w:afterAutospacing="1" w:line="240" w:lineRule="auto"/>
              <w:jc w:val="center"/>
              <w:rPr>
                <w:rFonts w:ascii="Arial" w:eastAsia="Times New Roman" w:hAnsi="Arial" w:cs="Arial"/>
                <w:sz w:val="12"/>
                <w:szCs w:val="12"/>
                <w:lang w:val="en-US"/>
              </w:rPr>
            </w:pPr>
            <w:r w:rsidRPr="008F5458">
              <w:rPr>
                <w:rFonts w:ascii="Arial" w:eastAsia="Times New Roman" w:hAnsi="Arial" w:cs="Arial"/>
                <w:sz w:val="12"/>
                <w:szCs w:val="12"/>
                <w:lang w:val="en-US"/>
              </w:rPr>
              <w:t>2000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460D64AB" w14:textId="13D402A1"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_Ref528670685 \r \h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Pr>
                <w:rFonts w:ascii="Arial" w:eastAsia="Times New Roman" w:hAnsi="Arial" w:cs="Arial"/>
                <w:sz w:val="12"/>
                <w:szCs w:val="12"/>
              </w:rPr>
              <w:t>S</w:t>
            </w:r>
            <w:r w:rsidRPr="008F5458">
              <w:rPr>
                <w:rFonts w:ascii="Arial" w:eastAsia="Times New Roman" w:hAnsi="Arial" w:cs="Arial"/>
                <w:sz w:val="12"/>
                <w:szCs w:val="12"/>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0ADBC7D2" w14:textId="72A7DFF1" w:rsidR="00E60026" w:rsidRPr="008F5458" w:rsidRDefault="00E60026" w:rsidP="008F5458">
            <w:pPr>
              <w:spacing w:before="100" w:beforeAutospacing="1" w:after="100" w:afterAutospacing="1" w:line="240" w:lineRule="auto"/>
              <w:jc w:val="center"/>
              <w:rPr>
                <w:rFonts w:ascii="Arial" w:eastAsia="Times New Roman" w:hAnsi="Arial" w:cs="Arial"/>
                <w:sz w:val="12"/>
                <w:szCs w:val="12"/>
                <w:highlight w:val="yellow"/>
              </w:rPr>
            </w:pPr>
            <w:r w:rsidRPr="008F5458">
              <w:rPr>
                <w:rFonts w:ascii="Arial" w:hAnsi="Arial" w:cs="Arial"/>
                <w:sz w:val="12"/>
                <w:szCs w:val="12"/>
                <w:lang w:val="en-US"/>
              </w:rPr>
              <w:fldChar w:fldCharType="begin" w:fldLock="1"/>
            </w:r>
            <w:r>
              <w:rPr>
                <w:rFonts w:ascii="Arial" w:hAnsi="Arial" w:cs="Arial"/>
                <w:sz w:val="12"/>
                <w:szCs w:val="12"/>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Solutions","type":"webpage"},"uris":["http://www.mendeley.com/documents/?uuid=8daf1546-d22a-4e17-b6ef-d1d6ad53c301"]},{"id":"ITEM-2","itemData":{"DOI":"10.1038/ncomms9494","ISBN":"8613823769","author":[{"dropping-particle":"","family":"LG Chem","given":"","non-dropping-particle":"","parse-names":false,"suffix":""}],"id":"ITEM-2","issue":"July","issued":{"date-parts":[["2016"]]},"page":"7","title":"Change your enery. Change your life.","type":"webpage"},"uris":["http://www.mendeley.com/documents/?uuid=d939fabc-a503-4170-89ae-7d16fdb08e97","http://www.mendeley.com/documents/?uuid=cff469b1-6b65-4f75-837d-e3730c801831"]}],"mendeley":{"formattedCitation":"[2,24]","plainTextFormattedCitation":"[2,24]","previouslyFormattedCitation":"[2,24]"},"properties":{"noteIndex":0},"schema":"https://github.com/citation-style-language/schema/raw/master/csl-citation.json"}</w:instrText>
            </w:r>
            <w:r w:rsidRPr="008F5458">
              <w:rPr>
                <w:rFonts w:ascii="Arial" w:hAnsi="Arial" w:cs="Arial"/>
                <w:sz w:val="12"/>
                <w:szCs w:val="12"/>
                <w:lang w:val="en-US"/>
              </w:rPr>
              <w:fldChar w:fldCharType="separate"/>
            </w:r>
            <w:r w:rsidRPr="00986F3F">
              <w:rPr>
                <w:rFonts w:ascii="Arial" w:hAnsi="Arial" w:cs="Arial"/>
                <w:noProof/>
                <w:sz w:val="12"/>
                <w:szCs w:val="12"/>
                <w:lang w:val="en-US"/>
              </w:rPr>
              <w:t>[2,24]</w:t>
            </w:r>
            <w:r w:rsidRPr="008F5458">
              <w:rPr>
                <w:rFonts w:ascii="Arial" w:hAnsi="Arial" w:cs="Arial"/>
                <w:sz w:val="12"/>
                <w:szCs w:val="12"/>
                <w:lang w:val="en-US"/>
              </w:rPr>
              <w:fldChar w:fldCharType="end"/>
            </w:r>
          </w:p>
        </w:tc>
      </w:tr>
      <w:tr w:rsidR="00E60026" w:rsidRPr="007D5B8E" w14:paraId="67CF1BE3" w14:textId="77777777" w:rsidTr="008F5458">
        <w:trPr>
          <w:trHeight w:hRule="exact" w:val="255"/>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0F6C1D1" w14:textId="77777777"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proofErr w:type="spellStart"/>
            <w:r w:rsidRPr="008F5458">
              <w:rPr>
                <w:rFonts w:ascii="Arial" w:eastAsia="Times New Roman" w:hAnsi="Arial" w:cs="Arial"/>
                <w:sz w:val="12"/>
                <w:szCs w:val="12"/>
              </w:rPr>
              <w:t>Specific</w:t>
            </w:r>
            <w:proofErr w:type="spellEnd"/>
            <w:r w:rsidRPr="008F5458">
              <w:rPr>
                <w:rFonts w:ascii="Arial" w:eastAsia="Times New Roman" w:hAnsi="Arial" w:cs="Arial"/>
                <w:sz w:val="12"/>
                <w:szCs w:val="12"/>
              </w:rPr>
              <w:t xml:space="preserve"> </w:t>
            </w:r>
            <w:proofErr w:type="spellStart"/>
            <w:r w:rsidRPr="008F5458">
              <w:rPr>
                <w:rFonts w:ascii="Arial" w:eastAsia="Times New Roman" w:hAnsi="Arial" w:cs="Arial"/>
                <w:sz w:val="12"/>
                <w:szCs w:val="12"/>
              </w:rPr>
              <w:t>energy</w:t>
            </w:r>
            <w:proofErr w:type="spellEnd"/>
            <w:r w:rsidRPr="008F5458">
              <w:rPr>
                <w:rFonts w:ascii="Arial" w:eastAsia="Times New Roman" w:hAnsi="Arial" w:cs="Arial"/>
                <w:sz w:val="12"/>
                <w:szCs w:val="12"/>
              </w:rPr>
              <w:t xml:space="preserve"> (</w:t>
            </w:r>
            <w:proofErr w:type="spellStart"/>
            <w:r w:rsidRPr="008F5458">
              <w:rPr>
                <w:rFonts w:ascii="Arial" w:eastAsia="Times New Roman" w:hAnsi="Arial" w:cs="Arial"/>
                <w:sz w:val="12"/>
                <w:szCs w:val="12"/>
              </w:rPr>
              <w:t>Wh</w:t>
            </w:r>
            <w:proofErr w:type="spellEnd"/>
            <w:r w:rsidRPr="008F5458">
              <w:rPr>
                <w:rFonts w:ascii="Arial" w:eastAsia="Times New Roman" w:hAnsi="Arial" w:cs="Arial"/>
                <w:sz w:val="12"/>
                <w:szCs w:val="12"/>
              </w:rPr>
              <w:t>/kg)</w:t>
            </w:r>
          </w:p>
        </w:tc>
        <w:tc>
          <w:tcPr>
            <w:tcW w:w="567" w:type="dxa"/>
            <w:tcBorders>
              <w:top w:val="single" w:sz="4" w:space="0" w:color="auto"/>
              <w:left w:val="nil"/>
              <w:bottom w:val="single" w:sz="4" w:space="0" w:color="auto"/>
              <w:right w:val="single" w:sz="4" w:space="0" w:color="auto"/>
            </w:tcBorders>
            <w:shd w:val="clear" w:color="auto" w:fill="FFFFFF"/>
            <w:vAlign w:val="center"/>
            <w:hideMark/>
          </w:tcPr>
          <w:p w14:paraId="25764612" w14:textId="3869A1F6"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95</w:t>
            </w:r>
          </w:p>
        </w:tc>
        <w:tc>
          <w:tcPr>
            <w:tcW w:w="757" w:type="dxa"/>
            <w:gridSpan w:val="2"/>
            <w:tcBorders>
              <w:top w:val="single" w:sz="4" w:space="0" w:color="auto"/>
              <w:left w:val="nil"/>
              <w:bottom w:val="single" w:sz="4" w:space="0" w:color="auto"/>
              <w:right w:val="single" w:sz="4" w:space="0" w:color="auto"/>
            </w:tcBorders>
            <w:shd w:val="clear" w:color="auto" w:fill="FFFFFF"/>
            <w:vAlign w:val="center"/>
          </w:tcPr>
          <w:p w14:paraId="456ADD88" w14:textId="0A49A287"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105</w:t>
            </w:r>
          </w:p>
        </w:tc>
        <w:tc>
          <w:tcPr>
            <w:tcW w:w="565" w:type="dxa"/>
            <w:tcBorders>
              <w:top w:val="single" w:sz="4" w:space="0" w:color="auto"/>
              <w:left w:val="nil"/>
              <w:bottom w:val="single" w:sz="4" w:space="0" w:color="auto"/>
              <w:right w:val="single" w:sz="4" w:space="0" w:color="auto"/>
            </w:tcBorders>
            <w:shd w:val="clear" w:color="auto" w:fill="FFFFFF"/>
            <w:vAlign w:val="center"/>
          </w:tcPr>
          <w:p w14:paraId="2FC17EB4" w14:textId="45ECCB24"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139</w:t>
            </w:r>
          </w:p>
        </w:tc>
        <w:tc>
          <w:tcPr>
            <w:tcW w:w="566" w:type="dxa"/>
            <w:tcBorders>
              <w:top w:val="single" w:sz="4" w:space="0" w:color="auto"/>
              <w:left w:val="nil"/>
              <w:bottom w:val="single" w:sz="4" w:space="0" w:color="auto"/>
              <w:right w:val="nil"/>
            </w:tcBorders>
            <w:shd w:val="clear" w:color="auto" w:fill="FFFFFF"/>
            <w:vAlign w:val="center"/>
          </w:tcPr>
          <w:p w14:paraId="2D268021" w14:textId="283A0377"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174</w:t>
            </w:r>
          </w:p>
        </w:tc>
        <w:tc>
          <w:tcPr>
            <w:tcW w:w="567" w:type="dxa"/>
            <w:tcBorders>
              <w:top w:val="single" w:sz="4" w:space="0" w:color="auto"/>
              <w:left w:val="nil"/>
              <w:bottom w:val="single" w:sz="4" w:space="0" w:color="auto"/>
              <w:right w:val="single" w:sz="4" w:space="0" w:color="auto"/>
            </w:tcBorders>
            <w:shd w:val="clear" w:color="auto" w:fill="FFFFFF"/>
            <w:vAlign w:val="center"/>
          </w:tcPr>
          <w:p w14:paraId="390E496E" w14:textId="54A3A879"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209</w:t>
            </w:r>
          </w:p>
        </w:tc>
        <w:tc>
          <w:tcPr>
            <w:tcW w:w="566" w:type="dxa"/>
            <w:tcBorders>
              <w:top w:val="single" w:sz="4" w:space="0" w:color="auto"/>
              <w:left w:val="nil"/>
              <w:bottom w:val="single" w:sz="4" w:space="0" w:color="auto"/>
              <w:right w:val="single" w:sz="4" w:space="0" w:color="auto"/>
            </w:tcBorders>
            <w:shd w:val="clear" w:color="auto" w:fill="FFFFFF"/>
            <w:vAlign w:val="center"/>
          </w:tcPr>
          <w:p w14:paraId="7423D9D3" w14:textId="6246826F"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1E685DD4" w14:textId="28E24F67"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140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24E45054" w14:textId="447C433A"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150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65EA76D6" w14:textId="10E68EB8"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300</w:t>
            </w:r>
          </w:p>
        </w:tc>
        <w:tc>
          <w:tcPr>
            <w:tcW w:w="566" w:type="dxa"/>
            <w:tcBorders>
              <w:top w:val="single" w:sz="4" w:space="0" w:color="auto"/>
              <w:left w:val="nil"/>
              <w:bottom w:val="single" w:sz="4" w:space="0" w:color="auto"/>
              <w:right w:val="single" w:sz="4" w:space="0" w:color="auto"/>
            </w:tcBorders>
            <w:shd w:val="clear" w:color="auto" w:fill="FFFFFF"/>
            <w:vAlign w:val="center"/>
          </w:tcPr>
          <w:p w14:paraId="6EDDE527" w14:textId="47758ECA"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_Ref528670685 \r \h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Pr>
                <w:rFonts w:ascii="Arial" w:eastAsia="Times New Roman" w:hAnsi="Arial" w:cs="Arial"/>
                <w:sz w:val="12"/>
                <w:szCs w:val="12"/>
              </w:rPr>
              <w:t>S</w:t>
            </w:r>
            <w:r w:rsidRPr="008F5458">
              <w:rPr>
                <w:rFonts w:ascii="Arial" w:eastAsia="Times New Roman" w:hAnsi="Arial" w:cs="Arial"/>
                <w:sz w:val="12"/>
                <w:szCs w:val="12"/>
              </w:rPr>
              <w:fldChar w:fldCharType="end"/>
            </w:r>
          </w:p>
        </w:tc>
        <w:tc>
          <w:tcPr>
            <w:tcW w:w="892" w:type="dxa"/>
            <w:tcBorders>
              <w:top w:val="single" w:sz="4" w:space="0" w:color="auto"/>
              <w:left w:val="nil"/>
              <w:bottom w:val="single" w:sz="4" w:space="0" w:color="auto"/>
              <w:right w:val="single" w:sz="4" w:space="0" w:color="auto"/>
            </w:tcBorders>
            <w:shd w:val="clear" w:color="auto" w:fill="FFFFFF"/>
            <w:vAlign w:val="center"/>
          </w:tcPr>
          <w:p w14:paraId="51ACFB35" w14:textId="3DC3C9EB" w:rsidR="00E60026" w:rsidRPr="008F5458" w:rsidRDefault="00E60026" w:rsidP="008F5458">
            <w:pPr>
              <w:spacing w:before="100" w:beforeAutospacing="1" w:after="100" w:afterAutospacing="1" w:line="240" w:lineRule="auto"/>
              <w:jc w:val="center"/>
              <w:rPr>
                <w:rFonts w:ascii="Arial" w:eastAsia="Times New Roman" w:hAnsi="Arial" w:cs="Arial"/>
                <w:sz w:val="12"/>
                <w:szCs w:val="12"/>
                <w:highlight w:val="yellow"/>
              </w:rPr>
            </w:pPr>
            <w:r w:rsidRPr="008F5458">
              <w:rPr>
                <w:rFonts w:ascii="Arial" w:hAnsi="Arial" w:cs="Arial"/>
                <w:sz w:val="12"/>
                <w:szCs w:val="12"/>
                <w:lang w:val="en-US"/>
              </w:rPr>
              <w:fldChar w:fldCharType="begin" w:fldLock="1"/>
            </w:r>
            <w:r>
              <w:rPr>
                <w:rFonts w:ascii="Arial" w:hAnsi="Arial" w:cs="Arial"/>
                <w:sz w:val="12"/>
                <w:szCs w:val="12"/>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Solutions","type":"webpage"},"uris":["http://www.mendeley.com/documents/?uuid=8daf1546-d22a-4e17-b6ef-d1d6ad53c301"]},{"id":"ITEM-2","itemData":{"DOI":"10.1038/ncomms9494","ISBN":"8613823769","author":[{"dropping-particle":"","family":"LG Chem","given":"","non-dropping-particle":"","parse-names":false,"suffix":""}],"id":"ITEM-2","issue":"July","issued":{"date-parts":[["2016"]]},"page":"7","title":"Change your enery. Change your life.","type":"webpage"},"uris":["http://www.mendeley.com/documents/?uuid=d939fabc-a503-4170-89ae-7d16fdb08e97","http://www.mendeley.com/documents/?uuid=cff469b1-6b65-4f75-837d-e3730c801831"]}],"mendeley":{"formattedCitation":"[2,24]","plainTextFormattedCitation":"[2,24]","previouslyFormattedCitation":"[2,24]"},"properties":{"noteIndex":0},"schema":"https://github.com/citation-style-language/schema/raw/master/csl-citation.json"}</w:instrText>
            </w:r>
            <w:r w:rsidRPr="008F5458">
              <w:rPr>
                <w:rFonts w:ascii="Arial" w:hAnsi="Arial" w:cs="Arial"/>
                <w:sz w:val="12"/>
                <w:szCs w:val="12"/>
                <w:lang w:val="en-US"/>
              </w:rPr>
              <w:fldChar w:fldCharType="separate"/>
            </w:r>
            <w:r w:rsidRPr="00986F3F">
              <w:rPr>
                <w:rFonts w:ascii="Arial" w:hAnsi="Arial" w:cs="Arial"/>
                <w:noProof/>
                <w:sz w:val="12"/>
                <w:szCs w:val="12"/>
                <w:lang w:val="en-US"/>
              </w:rPr>
              <w:t>[2,24]</w:t>
            </w:r>
            <w:r w:rsidRPr="008F5458">
              <w:rPr>
                <w:rFonts w:ascii="Arial" w:hAnsi="Arial" w:cs="Arial"/>
                <w:sz w:val="12"/>
                <w:szCs w:val="12"/>
                <w:lang w:val="en-US"/>
              </w:rPr>
              <w:fldChar w:fldCharType="end"/>
            </w:r>
          </w:p>
        </w:tc>
      </w:tr>
      <w:tr w:rsidR="00E60026" w:rsidRPr="007D5B8E" w14:paraId="59714456" w14:textId="77777777" w:rsidTr="008F5458">
        <w:trPr>
          <w:trHeight w:hRule="exact" w:val="255"/>
        </w:trPr>
        <w:tc>
          <w:tcPr>
            <w:tcW w:w="212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0F6DB7F2" w14:textId="77777777"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 xml:space="preserve">Energy </w:t>
            </w:r>
            <w:proofErr w:type="spellStart"/>
            <w:r w:rsidRPr="008F5458">
              <w:rPr>
                <w:rFonts w:ascii="Arial" w:eastAsia="Times New Roman" w:hAnsi="Arial" w:cs="Arial"/>
                <w:sz w:val="12"/>
                <w:szCs w:val="12"/>
              </w:rPr>
              <w:t>density</w:t>
            </w:r>
            <w:proofErr w:type="spellEnd"/>
            <w:r w:rsidRPr="008F5458">
              <w:rPr>
                <w:rFonts w:ascii="Arial" w:eastAsia="Times New Roman" w:hAnsi="Arial" w:cs="Arial"/>
                <w:sz w:val="12"/>
                <w:szCs w:val="12"/>
              </w:rPr>
              <w:t xml:space="preserve"> (kWh/m3)</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F3688A4" w14:textId="6FA3C69A"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118</w:t>
            </w:r>
          </w:p>
        </w:tc>
        <w:tc>
          <w:tcPr>
            <w:tcW w:w="75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A24F197" w14:textId="2583054C"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130</w:t>
            </w:r>
          </w:p>
        </w:tc>
        <w:tc>
          <w:tcPr>
            <w:tcW w:w="565" w:type="dxa"/>
            <w:tcBorders>
              <w:top w:val="single" w:sz="4" w:space="0" w:color="auto"/>
              <w:left w:val="single" w:sz="4" w:space="0" w:color="auto"/>
              <w:bottom w:val="single" w:sz="4" w:space="0" w:color="auto"/>
              <w:right w:val="single" w:sz="4" w:space="0" w:color="auto"/>
            </w:tcBorders>
            <w:shd w:val="clear" w:color="auto" w:fill="FFFFFF"/>
            <w:vAlign w:val="center"/>
          </w:tcPr>
          <w:p w14:paraId="26550AFE" w14:textId="2E6EF832"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173</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279383A6" w14:textId="723469DB"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216</w:t>
            </w: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14:paraId="612E34D2" w14:textId="5FCDF2A3"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hAnsi="Arial" w:cs="Arial"/>
                <w:sz w:val="12"/>
                <w:szCs w:val="12"/>
              </w:rPr>
              <w:t>260</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44AD3B00" w14:textId="77FDD1D4"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150</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44BD3941" w14:textId="5F679991"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200</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2A4A4CAE" w14:textId="247B2A91"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200</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7F6C6F6C" w14:textId="241CBCD1"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t>400</w:t>
            </w:r>
          </w:p>
        </w:tc>
        <w:tc>
          <w:tcPr>
            <w:tcW w:w="566" w:type="dxa"/>
            <w:tcBorders>
              <w:top w:val="single" w:sz="4" w:space="0" w:color="auto"/>
              <w:left w:val="single" w:sz="4" w:space="0" w:color="auto"/>
              <w:bottom w:val="single" w:sz="4" w:space="0" w:color="auto"/>
              <w:right w:val="single" w:sz="4" w:space="0" w:color="auto"/>
            </w:tcBorders>
            <w:shd w:val="clear" w:color="auto" w:fill="FFFFFF"/>
            <w:vAlign w:val="center"/>
          </w:tcPr>
          <w:p w14:paraId="7DFB759F" w14:textId="03F3ACFC" w:rsidR="00E60026" w:rsidRPr="008F5458" w:rsidRDefault="00E60026" w:rsidP="008F5458">
            <w:pPr>
              <w:spacing w:before="100" w:beforeAutospacing="1" w:after="100" w:afterAutospacing="1" w:line="240" w:lineRule="auto"/>
              <w:jc w:val="center"/>
              <w:rPr>
                <w:rFonts w:ascii="Arial" w:eastAsia="Times New Roman" w:hAnsi="Arial" w:cs="Arial"/>
                <w:sz w:val="12"/>
                <w:szCs w:val="12"/>
              </w:rPr>
            </w:pPr>
            <w:r w:rsidRPr="008F5458">
              <w:rPr>
                <w:rFonts w:ascii="Arial" w:eastAsia="Times New Roman" w:hAnsi="Arial" w:cs="Arial"/>
                <w:sz w:val="12"/>
                <w:szCs w:val="12"/>
              </w:rPr>
              <w:fldChar w:fldCharType="begin"/>
            </w:r>
            <w:r w:rsidRPr="008F5458">
              <w:rPr>
                <w:rFonts w:ascii="Arial" w:eastAsia="Times New Roman" w:hAnsi="Arial" w:cs="Arial"/>
                <w:sz w:val="12"/>
                <w:szCs w:val="12"/>
              </w:rPr>
              <w:instrText xml:space="preserve"> REF _Ref528670685 \r \h  \* MERGEFORMAT </w:instrText>
            </w:r>
            <w:r w:rsidRPr="008F5458">
              <w:rPr>
                <w:rFonts w:ascii="Arial" w:eastAsia="Times New Roman" w:hAnsi="Arial" w:cs="Arial"/>
                <w:sz w:val="12"/>
                <w:szCs w:val="12"/>
              </w:rPr>
            </w:r>
            <w:r w:rsidRPr="008F5458">
              <w:rPr>
                <w:rFonts w:ascii="Arial" w:eastAsia="Times New Roman" w:hAnsi="Arial" w:cs="Arial"/>
                <w:sz w:val="12"/>
                <w:szCs w:val="12"/>
              </w:rPr>
              <w:fldChar w:fldCharType="separate"/>
            </w:r>
            <w:r>
              <w:rPr>
                <w:rFonts w:ascii="Arial" w:eastAsia="Times New Roman" w:hAnsi="Arial" w:cs="Arial"/>
                <w:sz w:val="12"/>
                <w:szCs w:val="12"/>
              </w:rPr>
              <w:t>S</w:t>
            </w:r>
            <w:r w:rsidRPr="008F5458">
              <w:rPr>
                <w:rFonts w:ascii="Arial" w:eastAsia="Times New Roman" w:hAnsi="Arial" w:cs="Arial"/>
                <w:sz w:val="12"/>
                <w:szCs w:val="12"/>
              </w:rPr>
              <w:fldChar w:fldCharType="end"/>
            </w:r>
          </w:p>
        </w:tc>
        <w:tc>
          <w:tcPr>
            <w:tcW w:w="892" w:type="dxa"/>
            <w:tcBorders>
              <w:top w:val="single" w:sz="4" w:space="0" w:color="auto"/>
              <w:left w:val="single" w:sz="4" w:space="0" w:color="auto"/>
              <w:bottom w:val="single" w:sz="4" w:space="0" w:color="auto"/>
              <w:right w:val="single" w:sz="4" w:space="0" w:color="auto"/>
            </w:tcBorders>
            <w:shd w:val="clear" w:color="auto" w:fill="FFFFFF"/>
            <w:vAlign w:val="center"/>
          </w:tcPr>
          <w:p w14:paraId="32DC4A7A" w14:textId="403E09F5" w:rsidR="00E60026" w:rsidRPr="008F5458" w:rsidRDefault="00E60026" w:rsidP="008F5458">
            <w:pPr>
              <w:spacing w:before="100" w:beforeAutospacing="1" w:after="100" w:afterAutospacing="1" w:line="240" w:lineRule="auto"/>
              <w:jc w:val="center"/>
              <w:rPr>
                <w:rFonts w:ascii="Arial" w:eastAsia="Times New Roman" w:hAnsi="Arial" w:cs="Arial"/>
                <w:sz w:val="12"/>
                <w:szCs w:val="12"/>
                <w:highlight w:val="yellow"/>
              </w:rPr>
            </w:pPr>
            <w:r w:rsidRPr="008F5458">
              <w:rPr>
                <w:rFonts w:ascii="Arial" w:hAnsi="Arial" w:cs="Arial"/>
                <w:sz w:val="12"/>
                <w:szCs w:val="12"/>
                <w:lang w:val="en-US"/>
              </w:rPr>
              <w:fldChar w:fldCharType="begin" w:fldLock="1"/>
            </w:r>
            <w:r>
              <w:rPr>
                <w:rFonts w:ascii="Arial" w:hAnsi="Arial" w:cs="Arial"/>
                <w:sz w:val="12"/>
                <w:szCs w:val="12"/>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Solutions","type":"webpage"},"uris":["http://www.mendeley.com/documents/?uuid=8daf1546-d22a-4e17-b6ef-d1d6ad53c301"]},{"id":"ITEM-2","itemData":{"DOI":"10.1038/ncomms9494","ISBN":"8613823769","author":[{"dropping-particle":"","family":"LG Chem","given":"","non-dropping-particle":"","parse-names":false,"suffix":""}],"id":"ITEM-2","issue":"July","issued":{"date-parts":[["2016"]]},"page":"7","title":"Change your enery. Change your life.","type":"webpage"},"uris":["http://www.mendeley.com/documents/?uuid=d939fabc-a503-4170-89ae-7d16fdb08e97","http://www.mendeley.com/documents/?uuid=cff469b1-6b65-4f75-837d-e3730c801831"]}],"mendeley":{"formattedCitation":"[2,24]","plainTextFormattedCitation":"[2,24]","previouslyFormattedCitation":"[2,24]"},"properties":{"noteIndex":0},"schema":"https://github.com/citation-style-language/schema/raw/master/csl-citation.json"}</w:instrText>
            </w:r>
            <w:r w:rsidRPr="008F5458">
              <w:rPr>
                <w:rFonts w:ascii="Arial" w:hAnsi="Arial" w:cs="Arial"/>
                <w:sz w:val="12"/>
                <w:szCs w:val="12"/>
                <w:lang w:val="en-US"/>
              </w:rPr>
              <w:fldChar w:fldCharType="separate"/>
            </w:r>
            <w:r w:rsidRPr="00986F3F">
              <w:rPr>
                <w:rFonts w:ascii="Arial" w:hAnsi="Arial" w:cs="Arial"/>
                <w:noProof/>
                <w:sz w:val="12"/>
                <w:szCs w:val="12"/>
                <w:lang w:val="en-US"/>
              </w:rPr>
              <w:t>[2,24]</w:t>
            </w:r>
            <w:r w:rsidRPr="008F5458">
              <w:rPr>
                <w:rFonts w:ascii="Arial" w:hAnsi="Arial" w:cs="Arial"/>
                <w:sz w:val="12"/>
                <w:szCs w:val="12"/>
                <w:lang w:val="en-US"/>
              </w:rPr>
              <w:fldChar w:fldCharType="end"/>
            </w:r>
          </w:p>
        </w:tc>
      </w:tr>
      <w:tr w:rsidR="00E60026" w:rsidRPr="00351DB6" w14:paraId="7EC506FE" w14:textId="77777777" w:rsidTr="00162AEC">
        <w:trPr>
          <w:trHeight w:hRule="exact" w:val="255"/>
        </w:trPr>
        <w:tc>
          <w:tcPr>
            <w:tcW w:w="2127" w:type="dxa"/>
            <w:gridSpan w:val="2"/>
            <w:tcBorders>
              <w:top w:val="single" w:sz="4" w:space="0" w:color="auto"/>
              <w:left w:val="nil"/>
              <w:bottom w:val="nil"/>
              <w:right w:val="nil"/>
            </w:tcBorders>
            <w:shd w:val="clear" w:color="auto" w:fill="FFFFFF"/>
            <w:vAlign w:val="center"/>
          </w:tcPr>
          <w:p w14:paraId="69578768" w14:textId="12715D1D" w:rsidR="00E60026" w:rsidRPr="00351DB6" w:rsidRDefault="00E60026" w:rsidP="00072754">
            <w:pPr>
              <w:jc w:val="center"/>
              <w:rPr>
                <w:rFonts w:ascii="Arial" w:hAnsi="Arial" w:cs="Arial"/>
                <w:b/>
                <w:bCs/>
                <w:sz w:val="12"/>
                <w:szCs w:val="12"/>
                <w:lang w:val="en-US"/>
              </w:rPr>
            </w:pPr>
            <w:r w:rsidRPr="00351DB6">
              <w:rPr>
                <w:rFonts w:ascii="Arial" w:hAnsi="Arial" w:cs="Arial"/>
                <w:b/>
                <w:bCs/>
                <w:sz w:val="12"/>
                <w:szCs w:val="12"/>
                <w:lang w:val="en-US"/>
              </w:rPr>
              <w:t>** 1 € = 1.</w:t>
            </w:r>
            <w:r>
              <w:rPr>
                <w:rFonts w:ascii="Arial" w:hAnsi="Arial" w:cs="Arial"/>
                <w:b/>
                <w:bCs/>
                <w:sz w:val="12"/>
                <w:szCs w:val="12"/>
                <w:lang w:val="en-US"/>
              </w:rPr>
              <w:t>14</w:t>
            </w:r>
            <w:r w:rsidRPr="00351DB6">
              <w:rPr>
                <w:rFonts w:ascii="Arial" w:hAnsi="Arial" w:cs="Arial"/>
                <w:b/>
                <w:bCs/>
                <w:sz w:val="12"/>
                <w:szCs w:val="12"/>
                <w:lang w:val="en-US"/>
              </w:rPr>
              <w:t xml:space="preserve"> US$</w:t>
            </w:r>
          </w:p>
          <w:p w14:paraId="5DF29DC3"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567" w:type="dxa"/>
            <w:tcBorders>
              <w:top w:val="single" w:sz="4" w:space="0" w:color="auto"/>
              <w:left w:val="nil"/>
              <w:bottom w:val="nil"/>
              <w:right w:val="nil"/>
            </w:tcBorders>
            <w:shd w:val="clear" w:color="auto" w:fill="FFFFFF"/>
            <w:vAlign w:val="center"/>
          </w:tcPr>
          <w:p w14:paraId="3F9B1AC8"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757" w:type="dxa"/>
            <w:gridSpan w:val="2"/>
            <w:tcBorders>
              <w:top w:val="single" w:sz="4" w:space="0" w:color="auto"/>
              <w:left w:val="nil"/>
              <w:bottom w:val="nil"/>
              <w:right w:val="nil"/>
            </w:tcBorders>
            <w:shd w:val="clear" w:color="auto" w:fill="FFFFFF"/>
            <w:vAlign w:val="center"/>
          </w:tcPr>
          <w:p w14:paraId="3C5F356F"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565" w:type="dxa"/>
            <w:tcBorders>
              <w:top w:val="single" w:sz="4" w:space="0" w:color="auto"/>
              <w:left w:val="nil"/>
              <w:bottom w:val="nil"/>
              <w:right w:val="nil"/>
            </w:tcBorders>
            <w:shd w:val="clear" w:color="auto" w:fill="FFFFFF"/>
            <w:vAlign w:val="center"/>
          </w:tcPr>
          <w:p w14:paraId="2B91C7CE"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566" w:type="dxa"/>
            <w:tcBorders>
              <w:top w:val="single" w:sz="4" w:space="0" w:color="auto"/>
              <w:left w:val="nil"/>
              <w:bottom w:val="nil"/>
              <w:right w:val="nil"/>
            </w:tcBorders>
            <w:shd w:val="clear" w:color="auto" w:fill="FFFFFF"/>
          </w:tcPr>
          <w:p w14:paraId="12AAF392"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567" w:type="dxa"/>
            <w:tcBorders>
              <w:top w:val="single" w:sz="4" w:space="0" w:color="auto"/>
              <w:left w:val="nil"/>
              <w:bottom w:val="nil"/>
              <w:right w:val="nil"/>
            </w:tcBorders>
            <w:shd w:val="clear" w:color="auto" w:fill="FFFFFF"/>
            <w:vAlign w:val="center"/>
          </w:tcPr>
          <w:p w14:paraId="434ED153"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566" w:type="dxa"/>
            <w:tcBorders>
              <w:top w:val="single" w:sz="4" w:space="0" w:color="auto"/>
              <w:left w:val="nil"/>
              <w:bottom w:val="nil"/>
              <w:right w:val="nil"/>
            </w:tcBorders>
            <w:shd w:val="clear" w:color="auto" w:fill="FFFFFF"/>
            <w:vAlign w:val="center"/>
          </w:tcPr>
          <w:p w14:paraId="41C13A37"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566" w:type="dxa"/>
            <w:tcBorders>
              <w:top w:val="single" w:sz="4" w:space="0" w:color="auto"/>
              <w:left w:val="nil"/>
              <w:bottom w:val="nil"/>
              <w:right w:val="nil"/>
            </w:tcBorders>
            <w:shd w:val="clear" w:color="auto" w:fill="FFFFFF"/>
            <w:vAlign w:val="center"/>
          </w:tcPr>
          <w:p w14:paraId="2CE31A63"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566" w:type="dxa"/>
            <w:tcBorders>
              <w:top w:val="single" w:sz="4" w:space="0" w:color="auto"/>
              <w:left w:val="nil"/>
              <w:bottom w:val="nil"/>
              <w:right w:val="nil"/>
            </w:tcBorders>
            <w:shd w:val="clear" w:color="auto" w:fill="FFFFFF"/>
            <w:vAlign w:val="center"/>
          </w:tcPr>
          <w:p w14:paraId="1F78099B"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566" w:type="dxa"/>
            <w:tcBorders>
              <w:top w:val="single" w:sz="4" w:space="0" w:color="auto"/>
              <w:left w:val="nil"/>
              <w:bottom w:val="nil"/>
              <w:right w:val="nil"/>
            </w:tcBorders>
            <w:shd w:val="clear" w:color="auto" w:fill="FFFFFF"/>
            <w:vAlign w:val="center"/>
          </w:tcPr>
          <w:p w14:paraId="5B153747"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566" w:type="dxa"/>
            <w:tcBorders>
              <w:top w:val="single" w:sz="4" w:space="0" w:color="auto"/>
              <w:left w:val="nil"/>
              <w:bottom w:val="nil"/>
              <w:right w:val="nil"/>
            </w:tcBorders>
            <w:shd w:val="clear" w:color="auto" w:fill="FFFFFF"/>
            <w:vAlign w:val="center"/>
          </w:tcPr>
          <w:p w14:paraId="57F692EE" w14:textId="77777777" w:rsidR="00E60026" w:rsidRPr="00351DB6" w:rsidRDefault="00E60026" w:rsidP="00072754">
            <w:pPr>
              <w:spacing w:after="0" w:line="240" w:lineRule="auto"/>
              <w:jc w:val="center"/>
              <w:rPr>
                <w:rFonts w:ascii="Arial" w:eastAsia="Times New Roman" w:hAnsi="Arial" w:cs="Arial"/>
                <w:sz w:val="12"/>
                <w:szCs w:val="12"/>
                <w:lang w:val="en-US"/>
              </w:rPr>
            </w:pPr>
          </w:p>
        </w:tc>
        <w:tc>
          <w:tcPr>
            <w:tcW w:w="892" w:type="dxa"/>
            <w:tcBorders>
              <w:top w:val="single" w:sz="4" w:space="0" w:color="auto"/>
              <w:left w:val="nil"/>
              <w:bottom w:val="nil"/>
              <w:right w:val="nil"/>
            </w:tcBorders>
            <w:shd w:val="clear" w:color="auto" w:fill="FFFFFF"/>
            <w:vAlign w:val="center"/>
          </w:tcPr>
          <w:p w14:paraId="296FA322" w14:textId="77777777" w:rsidR="00E60026" w:rsidRPr="00351DB6" w:rsidRDefault="00E60026" w:rsidP="00072754">
            <w:pPr>
              <w:spacing w:after="0" w:line="240" w:lineRule="auto"/>
              <w:jc w:val="center"/>
              <w:rPr>
                <w:rFonts w:ascii="Arial" w:eastAsia="Times New Roman" w:hAnsi="Arial" w:cs="Arial"/>
                <w:sz w:val="12"/>
                <w:szCs w:val="12"/>
                <w:lang w:val="en-US"/>
              </w:rPr>
            </w:pPr>
          </w:p>
        </w:tc>
      </w:tr>
    </w:tbl>
    <w:p w14:paraId="60041B3C" w14:textId="18AADC2D" w:rsidR="00684C45" w:rsidRPr="008F5458" w:rsidRDefault="00E06D29" w:rsidP="00684C45">
      <w:pPr>
        <w:rPr>
          <w:rFonts w:ascii="Times New Roman" w:hAnsi="Times New Roman" w:cs="Times New Roman"/>
          <w:lang w:val="en-US"/>
        </w:rPr>
      </w:pPr>
      <w:r>
        <w:rPr>
          <w:rFonts w:ascii="Times New Roman" w:hAnsi="Times New Roman" w:cs="Times New Roman"/>
          <w:lang w:val="en-US"/>
        </w:rPr>
        <w:lastRenderedPageBreak/>
        <w:t xml:space="preserve">Data Sheet </w:t>
      </w:r>
      <w:r w:rsidR="00684C45" w:rsidRPr="00E72E6F">
        <w:rPr>
          <w:rFonts w:ascii="Times New Roman" w:hAnsi="Times New Roman" w:cs="Times New Roman"/>
          <w:lang w:val="en-US"/>
        </w:rPr>
        <w:t xml:space="preserve">Notes: </w:t>
      </w:r>
    </w:p>
    <w:p w14:paraId="1895BCAB" w14:textId="0CB6E32F" w:rsidR="00684C45" w:rsidRPr="004D7228" w:rsidRDefault="00684C45"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bookmarkStart w:id="100" w:name="_Ref528590632"/>
      <w:r w:rsidRPr="004D7228">
        <w:rPr>
          <w:rFonts w:ascii="Times New Roman" w:hAnsi="Times New Roman" w:cs="Times New Roman"/>
          <w:lang w:val="en-US"/>
        </w:rPr>
        <w:t xml:space="preserve">One unit defined as a 40 feet container including LIB system and excluding power conversion system. Values </w:t>
      </w:r>
      <w:r w:rsidR="007C2D8F" w:rsidRPr="004D7228">
        <w:rPr>
          <w:rFonts w:ascii="Times New Roman" w:hAnsi="Times New Roman" w:cs="Times New Roman"/>
          <w:lang w:val="en-US"/>
        </w:rPr>
        <w:t xml:space="preserve">for 2015-2030 are </w:t>
      </w:r>
      <w:r w:rsidRPr="004D7228">
        <w:rPr>
          <w:rFonts w:ascii="Times New Roman" w:hAnsi="Times New Roman" w:cs="Times New Roman"/>
          <w:lang w:val="en-US"/>
        </w:rPr>
        <w:t xml:space="preserve">taken from Samsung SDI brochures for grid-connected LIBs </w:t>
      </w:r>
      <w:r w:rsidR="007C2D8F" w:rsidRPr="004D7228">
        <w:rPr>
          <w:rFonts w:ascii="Times New Roman" w:hAnsi="Times New Roman" w:cs="Times New Roman"/>
          <w:lang w:val="en-US"/>
        </w:rPr>
        <w:t xml:space="preserve">from </w:t>
      </w:r>
      <w:r w:rsidRPr="004D7228">
        <w:rPr>
          <w:rFonts w:ascii="Times New Roman" w:hAnsi="Times New Roman" w:cs="Times New Roman"/>
          <w:lang w:val="en-US"/>
        </w:rPr>
        <w:t>2016 and 2018</w:t>
      </w:r>
      <w:r w:rsidR="004D7228">
        <w:rPr>
          <w:rFonts w:ascii="Times New Roman" w:hAnsi="Times New Roman" w:cs="Times New Roman"/>
          <w:lang w:val="en-US"/>
        </w:rPr>
        <w:t xml:space="preserve"> </w:t>
      </w:r>
      <w:r w:rsidR="00C828CC" w:rsidRPr="004D7228">
        <w:rPr>
          <w:rFonts w:ascii="Times New Roman" w:hAnsi="Times New Roman" w:cs="Times New Roman"/>
        </w:rPr>
        <w:fldChar w:fldCharType="begin" w:fldLock="1"/>
      </w:r>
      <w:r w:rsidR="00C828CC">
        <w:rPr>
          <w:rFonts w:ascii="Times New Roman" w:hAnsi="Times New Roman" w:cs="Times New Roman"/>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Solutions","type":"webpage"},"uris":["http://www.mendeley.com/documents/?uuid=8daf1546-d22a-4e17-b6ef-d1d6ad53c301"]},{"id":"ITEM-2","itemData":{"URL":"http://www.samsungsdi.com/upload/ess_brochure/Samsung SDI brochure_EN.pdf","author":[{"dropping-particle":"","family":"Samsung","given":"","non-dropping-particle":"","parse-names":false,"suffix":""}],"id":"ITEM-2","issued":{"date-parts":[["2016"]]},"title":"Smart Battery Systems for Energy Storage","type":"webpage"},"uris":["http://www.mendeley.com/documents/?uuid=aa5734ba-3c56-47bf-9618-c8840e938469"]}],"mendeley":{"formattedCitation":"[2,14]","plainTextFormattedCitation":"[2,14]","previouslyFormattedCitation":"[2,14]"},"properties":{"noteIndex":0},"schema":"https://github.com/citation-style-language/schema/raw/master/csl-citation.json"}</w:instrText>
      </w:r>
      <w:r w:rsidR="00C828CC" w:rsidRPr="004D7228">
        <w:rPr>
          <w:rFonts w:ascii="Times New Roman" w:hAnsi="Times New Roman" w:cs="Times New Roman"/>
        </w:rPr>
        <w:fldChar w:fldCharType="separate"/>
      </w:r>
      <w:r w:rsidR="00C828CC" w:rsidRPr="00C828CC">
        <w:rPr>
          <w:rFonts w:ascii="Times New Roman" w:hAnsi="Times New Roman" w:cs="Times New Roman"/>
          <w:noProof/>
          <w:lang w:val="en-US"/>
        </w:rPr>
        <w:t>[2,14]</w:t>
      </w:r>
      <w:r w:rsidR="00C828CC" w:rsidRPr="004D7228">
        <w:rPr>
          <w:rFonts w:ascii="Times New Roman" w:hAnsi="Times New Roman" w:cs="Times New Roman"/>
          <w:lang w:val="en-US"/>
        </w:rPr>
        <w:fldChar w:fldCharType="end"/>
      </w:r>
      <w:r w:rsidRPr="004D7228">
        <w:rPr>
          <w:rFonts w:ascii="Times New Roman" w:hAnsi="Times New Roman" w:cs="Times New Roman"/>
          <w:lang w:val="en-US"/>
        </w:rPr>
        <w:t>.</w:t>
      </w:r>
      <w:bookmarkEnd w:id="100"/>
      <w:r w:rsidRPr="004D7228">
        <w:rPr>
          <w:rFonts w:ascii="Times New Roman" w:hAnsi="Times New Roman" w:cs="Times New Roman"/>
          <w:lang w:val="en-US"/>
        </w:rPr>
        <w:t xml:space="preserve"> </w:t>
      </w:r>
    </w:p>
    <w:p w14:paraId="4373A6DD" w14:textId="16F95F9A" w:rsidR="00684C45" w:rsidRPr="004D7228" w:rsidRDefault="00684C45"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bookmarkStart w:id="101" w:name="_Ref528590707"/>
      <w:r w:rsidRPr="004D7228">
        <w:rPr>
          <w:rFonts w:ascii="Times New Roman" w:hAnsi="Times New Roman" w:cs="Times New Roman"/>
          <w:lang w:val="en-US"/>
        </w:rPr>
        <w:t xml:space="preserve">Power output are set to 3 times the energy capacity as it is the standard grid-connected LIBs designed for power purposes </w:t>
      </w:r>
      <w:r w:rsidR="004D7228" w:rsidRPr="004D7228">
        <w:rPr>
          <w:rFonts w:ascii="Times New Roman" w:hAnsi="Times New Roman" w:cs="Times New Roman"/>
        </w:rPr>
        <w:fldChar w:fldCharType="begin" w:fldLock="1"/>
      </w:r>
      <w:r w:rsidR="00C828CC">
        <w:rPr>
          <w:rFonts w:ascii="Times New Roman" w:hAnsi="Times New Roman" w:cs="Times New Roman"/>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Solutions","type":"webpage"},"uris":["http://www.mendeley.com/documents/?uuid=8daf1546-d22a-4e17-b6ef-d1d6ad53c301"]},{"id":"ITEM-2","itemData":{"URL":"http://www.samsungsdi.com/upload/ess_brochure/Samsung SDI brochure_EN.pdf","author":[{"dropping-particle":"","family":"Samsung","given":"","non-dropping-particle":"","parse-names":false,"suffix":""}],"id":"ITEM-2","issued":{"date-parts":[["2016"]]},"title":"Smart Battery Systems for Energy Storage","type":"webpage"},"uris":["http://www.mendeley.com/documents/?uuid=aa5734ba-3c56-47bf-9618-c8840e938469"]}],"mendeley":{"formattedCitation":"[2,14]","plainTextFormattedCitation":"[2,14]","previouslyFormattedCitation":"[2,14]"},"properties":{"noteIndex":0},"schema":"https://github.com/citation-style-language/schema/raw/master/csl-citation.json"}</w:instrText>
      </w:r>
      <w:r w:rsidR="004D7228" w:rsidRPr="004D7228">
        <w:rPr>
          <w:rFonts w:ascii="Times New Roman" w:hAnsi="Times New Roman" w:cs="Times New Roman"/>
        </w:rPr>
        <w:fldChar w:fldCharType="separate"/>
      </w:r>
      <w:r w:rsidR="00C828CC" w:rsidRPr="00C828CC">
        <w:rPr>
          <w:rFonts w:ascii="Times New Roman" w:hAnsi="Times New Roman" w:cs="Times New Roman"/>
          <w:noProof/>
          <w:lang w:val="en-US"/>
        </w:rPr>
        <w:t>[2,14]</w:t>
      </w:r>
      <w:r w:rsidR="004D7228" w:rsidRPr="004D7228">
        <w:rPr>
          <w:rFonts w:ascii="Times New Roman" w:hAnsi="Times New Roman" w:cs="Times New Roman"/>
          <w:lang w:val="en-US"/>
        </w:rPr>
        <w:fldChar w:fldCharType="end"/>
      </w:r>
      <w:r w:rsidRPr="004D7228">
        <w:rPr>
          <w:rFonts w:ascii="Times New Roman" w:hAnsi="Times New Roman" w:cs="Times New Roman"/>
          <w:lang w:val="en-US"/>
        </w:rPr>
        <w:t>.</w:t>
      </w:r>
      <w:bookmarkEnd w:id="101"/>
      <w:r w:rsidRPr="004D7228">
        <w:rPr>
          <w:rFonts w:ascii="Times New Roman" w:hAnsi="Times New Roman" w:cs="Times New Roman"/>
          <w:lang w:val="en-US"/>
        </w:rPr>
        <w:t xml:space="preserve"> </w:t>
      </w:r>
    </w:p>
    <w:p w14:paraId="0C1F8EC1" w14:textId="7BDE8BE8" w:rsidR="00C86EA6" w:rsidRPr="004D7228" w:rsidRDefault="00C86EA6"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r w:rsidRPr="004D7228">
        <w:rPr>
          <w:rFonts w:ascii="Times New Roman" w:hAnsi="Times New Roman" w:cs="Times New Roman"/>
          <w:lang w:val="en-US"/>
        </w:rPr>
        <w:t xml:space="preserve">The </w:t>
      </w:r>
      <w:r w:rsidR="00B51587" w:rsidRPr="004D7228">
        <w:rPr>
          <w:rFonts w:ascii="Times New Roman" w:hAnsi="Times New Roman" w:cs="Times New Roman"/>
          <w:lang w:val="en-US"/>
        </w:rPr>
        <w:t xml:space="preserve">average </w:t>
      </w:r>
      <w:r w:rsidRPr="004D7228">
        <w:rPr>
          <w:rFonts w:ascii="Times New Roman" w:hAnsi="Times New Roman" w:cs="Times New Roman"/>
          <w:lang w:val="en-US"/>
        </w:rPr>
        <w:t xml:space="preserve">DC roundtrip efficiency is expected to increase </w:t>
      </w:r>
      <w:r w:rsidR="00B51587" w:rsidRPr="004D7228">
        <w:rPr>
          <w:rFonts w:ascii="Times New Roman" w:hAnsi="Times New Roman" w:cs="Times New Roman"/>
          <w:lang w:val="en-US"/>
        </w:rPr>
        <w:t xml:space="preserve">slightly </w:t>
      </w:r>
      <w:r w:rsidRPr="004D7228">
        <w:rPr>
          <w:rFonts w:ascii="Times New Roman" w:hAnsi="Times New Roman" w:cs="Times New Roman"/>
          <w:lang w:val="en-US"/>
        </w:rPr>
        <w:t xml:space="preserve">as the storage cost in $/kWh decreases </w:t>
      </w:r>
      <w:r w:rsidR="007C2D8F" w:rsidRPr="004D7228">
        <w:rPr>
          <w:rFonts w:ascii="Times New Roman" w:hAnsi="Times New Roman" w:cs="Times New Roman"/>
          <w:lang w:val="en-US"/>
        </w:rPr>
        <w:t>since</w:t>
      </w:r>
      <w:r w:rsidRPr="004D7228">
        <w:rPr>
          <w:rFonts w:ascii="Times New Roman" w:hAnsi="Times New Roman" w:cs="Times New Roman"/>
          <w:lang w:val="en-US"/>
        </w:rPr>
        <w:t xml:space="preserve"> </w:t>
      </w:r>
      <w:r w:rsidR="00B51587" w:rsidRPr="004D7228">
        <w:rPr>
          <w:rFonts w:ascii="Times New Roman" w:hAnsi="Times New Roman" w:cs="Times New Roman"/>
          <w:lang w:val="en-US"/>
        </w:rPr>
        <w:t xml:space="preserve">this promotes operation at lower C-rates. </w:t>
      </w:r>
      <w:r w:rsidR="007C2D8F" w:rsidRPr="004D7228">
        <w:rPr>
          <w:rFonts w:ascii="Times New Roman" w:hAnsi="Times New Roman" w:cs="Times New Roman"/>
          <w:lang w:val="en-US"/>
        </w:rPr>
        <w:t>The RT eff</w:t>
      </w:r>
      <w:r w:rsidR="006C407C" w:rsidRPr="004D7228">
        <w:rPr>
          <w:rFonts w:ascii="Times New Roman" w:hAnsi="Times New Roman" w:cs="Times New Roman"/>
          <w:lang w:val="en-US"/>
        </w:rPr>
        <w:t>.</w:t>
      </w:r>
      <w:r w:rsidR="007C2D8F" w:rsidRPr="004D7228">
        <w:rPr>
          <w:rFonts w:ascii="Times New Roman" w:hAnsi="Times New Roman" w:cs="Times New Roman"/>
          <w:lang w:val="en-US"/>
        </w:rPr>
        <w:t xml:space="preserve"> vs</w:t>
      </w:r>
      <w:r w:rsidR="006C407C" w:rsidRPr="004D7228">
        <w:rPr>
          <w:rFonts w:ascii="Times New Roman" w:hAnsi="Times New Roman" w:cs="Times New Roman"/>
          <w:lang w:val="en-US"/>
        </w:rPr>
        <w:t>.</w:t>
      </w:r>
      <w:r w:rsidR="007C2D8F" w:rsidRPr="004D7228">
        <w:rPr>
          <w:rFonts w:ascii="Times New Roman" w:hAnsi="Times New Roman" w:cs="Times New Roman"/>
          <w:lang w:val="en-US"/>
        </w:rPr>
        <w:t xml:space="preserve"> C-rate is exemplified in </w:t>
      </w:r>
      <w:r w:rsidR="007C2D8F" w:rsidRPr="004D7228">
        <w:rPr>
          <w:rFonts w:ascii="Times New Roman" w:hAnsi="Times New Roman" w:cs="Times New Roman"/>
          <w:lang w:val="en-US"/>
        </w:rPr>
        <w:fldChar w:fldCharType="begin"/>
      </w:r>
      <w:r w:rsidR="007C2D8F" w:rsidRPr="004D7228">
        <w:rPr>
          <w:rFonts w:ascii="Times New Roman" w:hAnsi="Times New Roman" w:cs="Times New Roman"/>
          <w:lang w:val="en-US"/>
        </w:rPr>
        <w:instrText xml:space="preserve"> REF _Ref528138495 \h  \* MERGEFORMAT </w:instrText>
      </w:r>
      <w:r w:rsidR="007C2D8F" w:rsidRPr="004D7228">
        <w:rPr>
          <w:rFonts w:ascii="Times New Roman" w:hAnsi="Times New Roman" w:cs="Times New Roman"/>
          <w:lang w:val="en-US"/>
        </w:rPr>
      </w:r>
      <w:r w:rsidR="007C2D8F" w:rsidRPr="004D7228">
        <w:rPr>
          <w:rFonts w:ascii="Times New Roman" w:hAnsi="Times New Roman" w:cs="Times New Roman"/>
          <w:lang w:val="en-US"/>
        </w:rPr>
        <w:fldChar w:fldCharType="separate"/>
      </w:r>
      <w:r w:rsidR="00E60026" w:rsidRPr="00E60026">
        <w:rPr>
          <w:rFonts w:ascii="Times New Roman" w:hAnsi="Times New Roman" w:cs="Times New Roman"/>
          <w:lang w:val="en-US"/>
        </w:rPr>
        <w:t xml:space="preserve">Figure </w:t>
      </w:r>
      <w:r w:rsidR="00E60026" w:rsidRPr="00E60026">
        <w:rPr>
          <w:rFonts w:ascii="Times New Roman" w:hAnsi="Times New Roman" w:cs="Times New Roman"/>
          <w:noProof/>
          <w:lang w:val="en-US"/>
        </w:rPr>
        <w:t>7</w:t>
      </w:r>
      <w:r w:rsidR="007C2D8F" w:rsidRPr="004D7228">
        <w:rPr>
          <w:rFonts w:ascii="Times New Roman" w:hAnsi="Times New Roman" w:cs="Times New Roman"/>
          <w:lang w:val="en-US"/>
        </w:rPr>
        <w:fldChar w:fldCharType="end"/>
      </w:r>
      <w:r w:rsidR="004D7228">
        <w:rPr>
          <w:rFonts w:ascii="Times New Roman" w:hAnsi="Times New Roman" w:cs="Times New Roman"/>
          <w:lang w:val="en-US"/>
        </w:rPr>
        <w:t xml:space="preserve"> </w:t>
      </w:r>
      <w:r w:rsidR="004D7228" w:rsidRPr="004D7228">
        <w:rPr>
          <w:rFonts w:ascii="Times New Roman" w:hAnsi="Times New Roman" w:cs="Times New Roman"/>
        </w:rPr>
        <w:fldChar w:fldCharType="begin" w:fldLock="1"/>
      </w:r>
      <w:r w:rsidR="001A7298">
        <w:rPr>
          <w:rFonts w:ascii="Times New Roman" w:hAnsi="Times New Roman" w:cs="Times New Roman"/>
          <w:lang w:val="en-US"/>
        </w:rPr>
        <w:instrText>ADDIN CSL_CITATION {"citationItems":[{"id":"ITEM-1","itemData":{"author":[{"dropping-particle":"","family":"Kokam Co.","given":"Ltd.","non-dropping-particle":"","parse-names":false,"suffix":""}],"id":"ITEM-1","issued":{"date-parts":[["2018"]]},"title":"Total Energy Storage Solution Provider","type":"article-journal"},"uris":["http://www.mendeley.com/documents/?uuid=6292833a-db6b-4e5f-a323-c417fd09c817"]},{"id":"ITEM-2","itemData":{"author":[{"dropping-particle":"","family":"Danish Technological Institute","given":"","non-dropping-particle":"","parse-names":false,"suffix":""}],"id":"ITEM-2","issue":"10739","issued":{"date-parts":[["2017"]]},"number-of-pages":"1-123","title":"BESS project Smart grid ready Battery Energy Storage System for future grid","type":"report"},"uris":["http://www.mendeley.com/documents/?uuid=439f66b3-466a-48bd-a7e3-70cf05d85bc9"]}],"mendeley":{"formattedCitation":"[3,51]","plainTextFormattedCitation":"[3,51]","previouslyFormattedCitation":"[3,51]"},"properties":{"noteIndex":0},"schema":"https://github.com/citation-style-language/schema/raw/master/csl-citation.json"}</w:instrText>
      </w:r>
      <w:r w:rsidR="004D7228" w:rsidRPr="004D7228">
        <w:rPr>
          <w:rFonts w:ascii="Times New Roman" w:hAnsi="Times New Roman" w:cs="Times New Roman"/>
        </w:rPr>
        <w:fldChar w:fldCharType="separate"/>
      </w:r>
      <w:r w:rsidR="00B60186" w:rsidRPr="00B60186">
        <w:rPr>
          <w:rFonts w:ascii="Times New Roman" w:hAnsi="Times New Roman" w:cs="Times New Roman"/>
          <w:noProof/>
          <w:lang w:val="en-US"/>
        </w:rPr>
        <w:t>[3,51]</w:t>
      </w:r>
      <w:r w:rsidR="004D7228" w:rsidRPr="004D7228">
        <w:rPr>
          <w:rFonts w:ascii="Times New Roman" w:hAnsi="Times New Roman" w:cs="Times New Roman"/>
          <w:lang w:val="en-US"/>
        </w:rPr>
        <w:fldChar w:fldCharType="end"/>
      </w:r>
      <w:r w:rsidR="007C2D8F" w:rsidRPr="004D7228">
        <w:rPr>
          <w:rFonts w:ascii="Times New Roman" w:hAnsi="Times New Roman" w:cs="Times New Roman"/>
          <w:lang w:val="en-US"/>
        </w:rPr>
        <w:t>.</w:t>
      </w:r>
      <w:r w:rsidR="00D35F9A">
        <w:rPr>
          <w:rFonts w:ascii="Times New Roman" w:hAnsi="Times New Roman" w:cs="Times New Roman"/>
          <w:lang w:val="en-US"/>
        </w:rPr>
        <w:t xml:space="preserve"> The AC roundtrip efficiency includes losses in the power electronics and is 2-4% lower than the DC roundtrip efficiency. The total roundtrip efficiency further includes standby losses making the total roundtrip efficiency typically ranging between 80% and 90% </w:t>
      </w:r>
      <w:r w:rsidR="00D35F9A">
        <w:rPr>
          <w:rFonts w:ascii="Times New Roman" w:hAnsi="Times New Roman" w:cs="Times New Roman"/>
          <w:lang w:val="en-US"/>
        </w:rPr>
        <w:fldChar w:fldCharType="begin" w:fldLock="1"/>
      </w:r>
      <w:r w:rsidR="00D35F9A">
        <w:rPr>
          <w:rFonts w:ascii="Times New Roman" w:hAnsi="Times New Roman" w:cs="Times New Roman"/>
          <w:lang w:val="en-US"/>
        </w:rPr>
        <w:instrText>ADDIN CSL_CITATION {"citationItems":[{"id":"ITEM-1","itemData":{"ISBN":"0081024940","abstract":"Cover; Title Page; Copyright Page; Contents; List of Contributors; 1 -- Hybrid PV-wind renewable energy sources for microgrid application: an overview; 1 -- Introduction; 2 -- Hybrid renewable energy system and its benefit; 3 -- Hybrid renewable energy system configuration; 4 -- Optimization of hybrid system; 4.1 -- Optimization objectives; 4.2 -- Optimization practices in HRES; 5 -- Energy storage system in MG; 6 -- Stability concerns in a HRES MG system; 7 -- Simulation; 7.1 -- Load generator with PV only; 7.2 -- Load generator with wind only; 7.3 -- Load generator with PV-wind 7.4 -- Comparison of voltages with different combinations of PV/wind8 -- Conclusion; References; 2 -- Microgrid architecture, control, and operation; 1 -- Introduction; 2 -- Microgrid architecture; 3 -- Mathematical analysis of microgrid structure; 3.1 -- AC microgrid; 3.2 -- DC microgrid; 3.3 -- AC-DC hybrid microgrid; 4 -- Microgrid control and operation; 4.1 -- Hierarchical control of microgrid; 5 -- Mathematical model of hierarchical control; 5.1 -- Droop-based control of microgrid; 6 -- Simulation study; 7 -- Conclusion; References 3 -- Integrated renewable energy sources with droop control techniques-based microgrid operation1 -- Introduction; 2 -- Framework of microgrid technology; 2.1 -- Physical equipment; 2.2 -- Protection and control; 2.3 -- Automation and control; 2.4 -- Monitoring, scheduling, optimization, and dispatch; 2.5 -- Energy market and coordinating the response of smart grid operation; 3 -- DC microgrid and AC microgrid; 3.1 -- DC microgrid; 3.2 -- AC microgrid; 4 -- Proposed structure of grid connected microgrid system; 5 -- Characteristics and modeling of renewable energy sources; 5.1 -- Solar PV 5.2 -- Battery modeling6 -- Concept of droop control; 6.1 -- Droop control techniques in microgrid; 6.1.1 -- Virtual impedance droop control; 7 -- Case study of solar PV and BESS with P/Q and V/f droop control; 7.1 -- Results and discussion; 8 -- Conclusion; References; Further reading; 4 -- Multilevel inverters: an enabling technology; 1 -- Introduction; 2 -- Multilevel inverter topologies; 2.1 -- Diode-clamped inverter; 2.2 -- Capacitor-clamped inverter; 2.2.1 -- Advantages; 2.2.2 -- Disadvantages; 2.3 -- Cascaded H bridge inverters; 2.4 -- Comparison of different multilevel inverters 3 -- Matlab/Simulink modeling and simulation of multilevel inverters3.1 -- Single phase three level CMLI; 4 -- Applications of multilevel inverters; 4.1 -- Energy and power syst…","author":[{"dropping-particle":"","family":"Fathima","given":"A. Hina","non-dropping-particle":"","parse-names":false,"suffix":""},{"dropping-particle":"","family":"N","given":"Prabaharan","non-dropping-particle":"","parse-names":false,"suffix":""},{"dropping-particle":"","family":"K","given":"Palanisamy","non-dropping-particle":"","parse-names":false,"suffix":""},{"dropping-particle":"","family":"Kalam","given":"Akhtar","non-dropping-particle":"","parse-names":false,"suffix":""},{"dropping-particle":"","family":"Mekhilef","given":"Saad","non-dropping-particle":"","parse-names":false,"suffix":""},{"dropping-particle":"","family":"Justo","given":"Jackson J.","non-dropping-particle":"","parse-names":false,"suffix":""}],"id":"ITEM-1","issued":{"date-parts":[["0"]]},"title":"Hybrid-renewable energy systems in microgrids : integration, developments and control","type":"book"},"uris":["http://www.mendeley.com/documents/?uuid=ec60c7e3-c666-3ba5-992c-79cb30b51588","http://www.mendeley.com/documents/?uuid=c7658074-579c-401b-b6af-f39559047cb1"]},{"id":"ITEM-2","itemData":{"author":[{"dropping-particle":"","family":"Lazard","given":"","non-dropping-particle":"","parse-names":false,"suffix":""}],"id":"ITEM-2","issued":{"date-parts":[["2017"]]},"title":"Lazard.com | Levelized Cost of Storage 2017","type":"report"},"uris":["http://www.mendeley.com/documents/?uuid=56d03985-97ee-3fc7-9728-f80c5cd919c9"]}],"mendeley":{"formattedCitation":"[21,22]","plainTextFormattedCitation":"[21,22]","previouslyFormattedCitation":"[21,22]"},"properties":{"noteIndex":0},"schema":"https://github.com/citation-style-language/schema/raw/master/csl-citation.json"}</w:instrText>
      </w:r>
      <w:r w:rsidR="00D35F9A">
        <w:rPr>
          <w:rFonts w:ascii="Times New Roman" w:hAnsi="Times New Roman" w:cs="Times New Roman"/>
          <w:lang w:val="en-US"/>
        </w:rPr>
        <w:fldChar w:fldCharType="separate"/>
      </w:r>
      <w:r w:rsidR="00D35F9A" w:rsidRPr="00D35F9A">
        <w:rPr>
          <w:rFonts w:ascii="Times New Roman" w:hAnsi="Times New Roman" w:cs="Times New Roman"/>
          <w:noProof/>
          <w:lang w:val="en-US"/>
        </w:rPr>
        <w:t>[21,22]</w:t>
      </w:r>
      <w:r w:rsidR="00D35F9A">
        <w:rPr>
          <w:rFonts w:ascii="Times New Roman" w:hAnsi="Times New Roman" w:cs="Times New Roman"/>
          <w:lang w:val="en-US"/>
        </w:rPr>
        <w:fldChar w:fldCharType="end"/>
      </w:r>
      <w:r w:rsidR="00D35F9A">
        <w:rPr>
          <w:rFonts w:ascii="Times New Roman" w:hAnsi="Times New Roman" w:cs="Times New Roman"/>
          <w:lang w:val="en-US"/>
        </w:rPr>
        <w:t>.</w:t>
      </w:r>
    </w:p>
    <w:p w14:paraId="385BE35F" w14:textId="2A11F202" w:rsidR="00800229" w:rsidRPr="004D7228" w:rsidRDefault="00800229"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bookmarkStart w:id="102" w:name="_Ref528591471"/>
      <w:r w:rsidRPr="004D7228">
        <w:rPr>
          <w:rFonts w:ascii="Times New Roman" w:hAnsi="Times New Roman" w:cs="Times New Roman"/>
          <w:lang w:val="en-US"/>
        </w:rPr>
        <w:t xml:space="preserve">The C-rate is 0.5 during charge and up to 6 during discharge for the </w:t>
      </w:r>
      <w:r w:rsidRPr="004D7228">
        <w:rPr>
          <w:rFonts w:ascii="Times New Roman" w:hAnsi="Times New Roman" w:cs="Times New Roman"/>
          <w:noProof/>
          <w:lang w:val="en-US"/>
        </w:rPr>
        <w:t>Samsung SDI</w:t>
      </w:r>
      <w:r w:rsidRPr="004D7228">
        <w:rPr>
          <w:rFonts w:ascii="Times New Roman" w:hAnsi="Times New Roman" w:cs="Times New Roman"/>
          <w:lang w:val="en-US"/>
        </w:rPr>
        <w:t xml:space="preserve"> batteries </w:t>
      </w:r>
      <w:r w:rsidRPr="004D7228">
        <w:rPr>
          <w:rFonts w:ascii="Times New Roman" w:hAnsi="Times New Roman" w:cs="Times New Roman"/>
          <w:lang w:val="en-US"/>
        </w:rPr>
        <w:fldChar w:fldCharType="begin" w:fldLock="1"/>
      </w:r>
      <w:r w:rsidRPr="004D7228">
        <w:rPr>
          <w:rFonts w:ascii="Times New Roman" w:hAnsi="Times New Roman" w:cs="Times New Roman"/>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mendeley":{"formattedCitation":"[2]","plainTextFormattedCitation":"[2]","previouslyFormattedCitation":"[2]"},"properties":{"noteIndex":0},"schema":"https://github.com/citation-style-language/schema/raw/master/csl-citation.json"}</w:instrText>
      </w:r>
      <w:r w:rsidRPr="004D7228">
        <w:rPr>
          <w:rFonts w:ascii="Times New Roman" w:hAnsi="Times New Roman" w:cs="Times New Roman"/>
          <w:lang w:val="en-US"/>
        </w:rPr>
        <w:fldChar w:fldCharType="separate"/>
      </w:r>
      <w:r w:rsidRPr="004D7228">
        <w:rPr>
          <w:rFonts w:ascii="Times New Roman" w:hAnsi="Times New Roman" w:cs="Times New Roman"/>
          <w:noProof/>
          <w:lang w:val="en-US"/>
        </w:rPr>
        <w:t>[2]</w:t>
      </w:r>
      <w:r w:rsidRPr="004D7228">
        <w:rPr>
          <w:rFonts w:ascii="Times New Roman" w:hAnsi="Times New Roman" w:cs="Times New Roman"/>
          <w:lang w:val="en-US"/>
        </w:rPr>
        <w:fldChar w:fldCharType="end"/>
      </w:r>
      <w:r w:rsidRPr="004D7228">
        <w:rPr>
          <w:rFonts w:ascii="Times New Roman" w:hAnsi="Times New Roman" w:cs="Times New Roman"/>
          <w:lang w:val="en-US"/>
        </w:rPr>
        <w:t>. The presented conversion efficiencies assume average discharge C-rates in 2015-2020 around 2.5 and charge C-rates around 0.5.</w:t>
      </w:r>
      <w:bookmarkEnd w:id="102"/>
      <w:r w:rsidRPr="004D7228">
        <w:rPr>
          <w:rFonts w:ascii="Times New Roman" w:hAnsi="Times New Roman" w:cs="Times New Roman"/>
          <w:lang w:val="en-US"/>
        </w:rPr>
        <w:t xml:space="preserve"> </w:t>
      </w:r>
    </w:p>
    <w:p w14:paraId="46D555B6" w14:textId="618911ED" w:rsidR="00684C45" w:rsidRPr="004D7228" w:rsidRDefault="00684C45"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bookmarkStart w:id="103" w:name="_Ref528591483"/>
      <w:r w:rsidRPr="004D7228">
        <w:rPr>
          <w:rFonts w:ascii="Times New Roman" w:hAnsi="Times New Roman" w:cs="Times New Roman"/>
          <w:noProof/>
          <w:lang w:val="en-US"/>
        </w:rPr>
        <w:t>Lithium-ion</w:t>
      </w:r>
      <w:r w:rsidRPr="004D7228">
        <w:rPr>
          <w:rFonts w:ascii="Times New Roman" w:hAnsi="Times New Roman" w:cs="Times New Roman"/>
          <w:lang w:val="en-US"/>
        </w:rPr>
        <w:t xml:space="preserve"> battery daily discharge loss</w:t>
      </w:r>
      <w:r w:rsidR="00ED04FE" w:rsidRPr="004D7228">
        <w:rPr>
          <w:rFonts w:ascii="Times New Roman" w:hAnsi="Times New Roman" w:cs="Times New Roman"/>
          <w:lang w:val="en-US"/>
        </w:rPr>
        <w:t>. The central estimates for self-discharge of Li-ion batteries range between 0.05% and 0.20% a day in 2016 and are expected to stay flat to 2030.</w:t>
      </w:r>
      <w:bookmarkEnd w:id="103"/>
    </w:p>
    <w:p w14:paraId="0145F067" w14:textId="3097D7EC" w:rsidR="00684C45" w:rsidRPr="004D7228" w:rsidRDefault="00684C45"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bookmarkStart w:id="104" w:name="_Ref528591591"/>
      <w:r w:rsidRPr="004D7228">
        <w:rPr>
          <w:rFonts w:ascii="Times New Roman" w:hAnsi="Times New Roman" w:cs="Times New Roman"/>
          <w:lang w:val="en-US"/>
        </w:rPr>
        <w:t xml:space="preserve">It is expected not to have any outage during lifetime of the grid-connected LIB. Only a few days during the </w:t>
      </w:r>
      <w:r w:rsidR="00C86EA6" w:rsidRPr="004D7228">
        <w:rPr>
          <w:rFonts w:ascii="Times New Roman" w:hAnsi="Times New Roman" w:cs="Times New Roman"/>
          <w:lang w:val="en-US"/>
        </w:rPr>
        <w:t>e.g.</w:t>
      </w:r>
      <w:r w:rsidRPr="004D7228">
        <w:rPr>
          <w:rFonts w:ascii="Times New Roman" w:hAnsi="Times New Roman" w:cs="Times New Roman"/>
          <w:lang w:val="en-US"/>
        </w:rPr>
        <w:t xml:space="preserve"> 15 yea</w:t>
      </w:r>
      <w:r w:rsidR="00C86EA6" w:rsidRPr="004D7228">
        <w:rPr>
          <w:rFonts w:ascii="Times New Roman" w:hAnsi="Times New Roman" w:cs="Times New Roman"/>
          <w:lang w:val="en-US"/>
        </w:rPr>
        <w:t>r</w:t>
      </w:r>
      <w:r w:rsidRPr="004D7228">
        <w:rPr>
          <w:rFonts w:ascii="Times New Roman" w:hAnsi="Times New Roman" w:cs="Times New Roman"/>
          <w:lang w:val="en-US"/>
        </w:rPr>
        <w:t>s life time is needed for service and exchanging fans and blowers for thermal management system and power conversion system.</w:t>
      </w:r>
      <w:bookmarkEnd w:id="104"/>
      <w:r w:rsidR="000E7619" w:rsidRPr="004D7228">
        <w:rPr>
          <w:rFonts w:ascii="Times New Roman" w:hAnsi="Times New Roman" w:cs="Times New Roman"/>
          <w:lang w:val="en-US"/>
        </w:rPr>
        <w:t xml:space="preserve"> Forced outage is expected to drop with increasing robustness following the learning rate and cumulated production. Planned outage is expected to decrease after 2020 due to increased automation. </w:t>
      </w:r>
    </w:p>
    <w:p w14:paraId="73244541" w14:textId="1CC7E48C" w:rsidR="00684C45" w:rsidRPr="004D7228" w:rsidRDefault="00684C45"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bookmarkStart w:id="105" w:name="_Ref528592058"/>
      <w:r w:rsidRPr="004D7228">
        <w:rPr>
          <w:rFonts w:ascii="Times New Roman" w:hAnsi="Times New Roman" w:cs="Times New Roman"/>
          <w:lang w:val="en-US"/>
        </w:rPr>
        <w:t xml:space="preserve">Current state-of-the-art NMC LIB has 20 years lifetime. The NMC lifetime </w:t>
      </w:r>
      <w:r w:rsidR="00162AEC" w:rsidRPr="004D7228">
        <w:rPr>
          <w:rFonts w:ascii="Times New Roman" w:hAnsi="Times New Roman" w:cs="Times New Roman"/>
          <w:lang w:val="en-US"/>
        </w:rPr>
        <w:t xml:space="preserve">is expected to </w:t>
      </w:r>
      <w:r w:rsidRPr="004D7228">
        <w:rPr>
          <w:rFonts w:ascii="Times New Roman" w:hAnsi="Times New Roman" w:cs="Times New Roman"/>
          <w:lang w:val="en-US"/>
        </w:rPr>
        <w:t>reach LTO lifetime by 2020 and 30 years lifetime for grid-connected LIBs in 2040 and 2050 as photovoltaic power systems have today</w:t>
      </w:r>
      <w:r w:rsidR="00162AEC" w:rsidRPr="004D7228">
        <w:rPr>
          <w:rFonts w:ascii="Times New Roman" w:hAnsi="Times New Roman" w:cs="Times New Roman"/>
          <w:lang w:val="en-US"/>
        </w:rPr>
        <w:t xml:space="preserve"> </w:t>
      </w:r>
      <w:r w:rsidR="00162AEC" w:rsidRPr="004D7228">
        <w:rPr>
          <w:rFonts w:ascii="Times New Roman" w:hAnsi="Times New Roman" w:cs="Times New Roman"/>
        </w:rPr>
        <w:fldChar w:fldCharType="begin" w:fldLock="1"/>
      </w:r>
      <w:r w:rsidR="00162AEC" w:rsidRPr="004D7228">
        <w:rPr>
          <w:rFonts w:ascii="Times New Roman" w:hAnsi="Times New Roman" w:cs="Times New Roman"/>
          <w:lang w:val="en-US"/>
        </w:rPr>
        <w:instrText>ADDIN CSL_CITATION {"citationItems":[{"id":"ITEM-1","itemData":{"URL":"http://www.samsungsdi.com/upload/ess_brochure/Samsung SDI brochure_EN.pdf","author":[{"dropping-particle":"","family":"Samsung","given":"","non-dropping-particle":"","parse-names":false,"suffix":""}],"id":"ITEM-1","issued":{"date-parts":[["2016"]]},"title":"Smart Battery Systems for Energy Storage","type":"webpage"},"uris":["http://www.mendeley.com/documents/?uuid=aa5734ba-3c56-47bf-9618-c8840e938469"]},{"id":"ITEM-2","itemData":{"author":[{"dropping-particle":"","family":"Kokam Co.","given":"Ltd.","non-dropping-particle":"","parse-names":false,"suffix":""}],"id":"ITEM-2","issued":{"date-parts":[["2018"]]},"title":"Total Energy Storage Solution Provider","type":"article-journal"},"uris":["http://www.mendeley.com/documents/?uuid=6292833a-db6b-4e5f-a323-c417fd09c817"]},{"id":"ITEM-3","itemData":{"URL":"https://www.ads-tec.de/fileadmin/download/doc/brochure/Datasheet_Energy_Industrial_EN.pdf","author":[{"dropping-particle":"","family":"adstec","given":"","non-dropping-particle":"","parse-names":false,"suffix":""}],"id":"ITEM-3","issued":{"date-parts":[["2018"]]},"title":"StoraXe Industrial &amp; Infrastructure Scalable battery storage system","type":"webpage"},"uris":["http://www.mendeley.com/documents/?uuid=2f3bd72e-b3eb-48ee-ad97-c8a6359d05f0"]},{"id":"ITEM-4","itemData":{"URL":"https://altairnano.com/products/battery-module/","author":[{"dropping-particle":"","family":"Altairnano","given":"","non-dropping-particle":"","parse-names":false,"suffix":""}],"id":"ITEM-4","issued":{"date-parts":[["2012"]]},"title":"24 V 60 Ah Battery Module","type":"webpage"},"uris":["http://www.mendeley.com/documents/?uuid=81122ff2-417c-43c8-9f26-cd5429df5b14"]}],"mendeley":{"formattedCitation":"[3,5,8,14]","plainTextFormattedCitation":"[3,5,8,14]","previouslyFormattedCitation":"[3,5,8,14]"},"properties":{"noteIndex":0},"schema":"https://github.com/citation-style-language/schema/raw/master/csl-citation.json"}</w:instrText>
      </w:r>
      <w:r w:rsidR="00162AEC" w:rsidRPr="004D7228">
        <w:rPr>
          <w:rFonts w:ascii="Times New Roman" w:hAnsi="Times New Roman" w:cs="Times New Roman"/>
        </w:rPr>
        <w:fldChar w:fldCharType="separate"/>
      </w:r>
      <w:r w:rsidR="00162AEC" w:rsidRPr="004D7228">
        <w:rPr>
          <w:rFonts w:ascii="Times New Roman" w:hAnsi="Times New Roman" w:cs="Times New Roman"/>
          <w:noProof/>
          <w:lang w:val="en-US"/>
        </w:rPr>
        <w:t>[3,5,8,14]</w:t>
      </w:r>
      <w:r w:rsidR="00162AEC" w:rsidRPr="004D7228">
        <w:rPr>
          <w:rFonts w:ascii="Times New Roman" w:hAnsi="Times New Roman" w:cs="Times New Roman"/>
          <w:lang w:val="en-US"/>
        </w:rPr>
        <w:fldChar w:fldCharType="end"/>
      </w:r>
      <w:r w:rsidRPr="004D7228">
        <w:rPr>
          <w:rFonts w:ascii="Times New Roman" w:hAnsi="Times New Roman" w:cs="Times New Roman"/>
          <w:lang w:val="en-US"/>
        </w:rPr>
        <w:t>.</w:t>
      </w:r>
      <w:bookmarkEnd w:id="105"/>
      <w:r w:rsidR="00162AEC" w:rsidRPr="004D7228">
        <w:rPr>
          <w:rFonts w:ascii="Times New Roman" w:hAnsi="Times New Roman" w:cs="Times New Roman"/>
          <w:lang w:val="en-US"/>
        </w:rPr>
        <w:t xml:space="preserve"> </w:t>
      </w:r>
    </w:p>
    <w:p w14:paraId="10C0F8F5" w14:textId="419E4F1B" w:rsidR="007F2F6B" w:rsidRPr="004D7228" w:rsidRDefault="007F2F6B"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bookmarkStart w:id="106" w:name="_Ref528654609"/>
      <w:r w:rsidRPr="004D7228">
        <w:rPr>
          <w:rFonts w:ascii="Times New Roman" w:hAnsi="Times New Roman" w:cs="Times New Roman"/>
          <w:lang w:val="en-US"/>
        </w:rPr>
        <w:t xml:space="preserve">The response time is obtained from simulated response time experiments with hardware in the loop </w:t>
      </w:r>
      <w:r w:rsidRPr="004D7228">
        <w:rPr>
          <w:rFonts w:ascii="Times New Roman" w:hAnsi="Times New Roman" w:cs="Times New Roman"/>
        </w:rPr>
        <w:fldChar w:fldCharType="begin" w:fldLock="1"/>
      </w:r>
      <w:r w:rsidR="00D05697">
        <w:rPr>
          <w:rFonts w:ascii="Times New Roman" w:hAnsi="Times New Roman" w:cs="Times New Roman"/>
          <w:lang w:val="en-US"/>
        </w:rPr>
        <w:instrText>ADDIN CSL_CITATION {"citationItems":[{"id":"ITEM-1","itemData":{"DOI":"10.1016/j.apenergy.2017.06.046","ISSN":"03062619","abstract":"Energy Storage Systems (ESS) are expected to play a significant role in regulating the frequency of future electric power systems. Increased penetration of renewable generation, and reduction in the inertia provided by large synchronous generators, are likely to increase the severity and regularity of frequency events in synchronous AC power systems. By supplying or absorbing power in response to deviations from the nominal frequency and imbalances between supply and demand, the rapid response of ESS will provide a form of stability which cannot be matched by conventional network assets. However, the increased complexity of ESS operational requirements and design specifications introduces challenges when it comes to the realisation of their full potential through existing frequency response service markets: new service markets will need to be designed to take advantage of the capabilities of ESS. This paper provides new methods to analyse and assessing the performance of ESS within existing service frameworks, using real-time network simulation and power hardware in the loop. These methods can be used to introduce improvements in existing services and potentially create new ones. Novel statistical techniques have been devised to quantify the design and operational requirements of ESS providing frequency regulation services. These new techniques are demonstrated via an illustrative service design and high-resolution frequency data from the Great Britain transmission system.","author":[{"dropping-particle":"","family":"Greenwood","given":"D. M.","non-dropping-particle":"","parse-names":false,"suffix":""},{"dropping-particle":"","family":"Lim","given":"K. Y.","non-dropping-particle":"","parse-names":false,"suffix":""},{"dropping-particle":"","family":"Patsios","given":"C.","non-dropping-particle":"","parse-names":false,"suffix":""},{"dropping-particle":"","family":"Lyons","given":"P. F.","non-dropping-particle":"","parse-names":false,"suffix":""},{"dropping-particle":"","family":"Lim","given":"Y. S.","non-dropping-particle":"","parse-names":false,"suffix":""},{"dropping-particle":"","family":"Taylor","given":"P. C.","non-dropping-particle":"","parse-names":false,"suffix":""}],"container-title":"Applied Energy","id":"ITEM-1","issued":{"date-parts":[["2017"]]},"page":"115-127","publisher":"The Authors","title":"Frequency response services designed for energy storage","type":"article-journal","volume":"203"},"uris":["http://www.mendeley.com/documents/?uuid=121c1ef6-cbf0-4311-98bc-ee5fe8ccce99","http://www.mendeley.com/documents/?uuid=26a3aa3b-6437-4e42-8707-3838f707635c"]}],"mendeley":{"formattedCitation":"[53]","plainTextFormattedCitation":"[53]","previouslyFormattedCitation":"[53]"},"properties":{"noteIndex":0},"schema":"https://github.com/citation-style-language/schema/raw/master/csl-citation.json"}</w:instrText>
      </w:r>
      <w:r w:rsidRPr="004D7228">
        <w:rPr>
          <w:rFonts w:ascii="Times New Roman" w:hAnsi="Times New Roman" w:cs="Times New Roman"/>
        </w:rPr>
        <w:fldChar w:fldCharType="separate"/>
      </w:r>
      <w:r w:rsidR="001A7298" w:rsidRPr="001A7298">
        <w:rPr>
          <w:rFonts w:ascii="Times New Roman" w:hAnsi="Times New Roman" w:cs="Times New Roman"/>
          <w:noProof/>
        </w:rPr>
        <w:t>[53]</w:t>
      </w:r>
      <w:r w:rsidRPr="004D7228">
        <w:rPr>
          <w:rFonts w:ascii="Times New Roman" w:hAnsi="Times New Roman" w:cs="Times New Roman"/>
          <w:lang w:val="en-US"/>
        </w:rPr>
        <w:fldChar w:fldCharType="end"/>
      </w:r>
      <w:r w:rsidRPr="004D7228">
        <w:rPr>
          <w:rFonts w:ascii="Times New Roman" w:hAnsi="Times New Roman" w:cs="Times New Roman"/>
          <w:lang w:val="en-US"/>
        </w:rPr>
        <w:t>.</w:t>
      </w:r>
      <w:bookmarkEnd w:id="106"/>
      <w:r w:rsidRPr="004D7228">
        <w:rPr>
          <w:rFonts w:ascii="Times New Roman" w:hAnsi="Times New Roman" w:cs="Times New Roman"/>
          <w:lang w:val="en-US"/>
        </w:rPr>
        <w:t xml:space="preserve"> </w:t>
      </w:r>
    </w:p>
    <w:p w14:paraId="43C35563" w14:textId="58C4FEC5" w:rsidR="00017AF2" w:rsidRPr="004D7228" w:rsidRDefault="00B33CC2"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r w:rsidRPr="004D7228">
        <w:rPr>
          <w:rFonts w:ascii="Times New Roman" w:hAnsi="Times New Roman" w:cs="Times New Roman"/>
          <w:lang w:val="en-US"/>
        </w:rPr>
        <w:t>The forecast of the system specific investment cost is estimated as 2.5 times the battery forecast. The forecast is exclusive power cables to the site and entrepreneur work for installation of the containers</w:t>
      </w:r>
      <w:r w:rsidR="004D7228">
        <w:rPr>
          <w:rFonts w:ascii="Times New Roman" w:hAnsi="Times New Roman" w:cs="Times New Roman"/>
          <w:lang w:val="en-US"/>
        </w:rPr>
        <w:t xml:space="preserve"> </w:t>
      </w:r>
      <w:r w:rsidR="004D7228" w:rsidRPr="004D7228">
        <w:rPr>
          <w:rFonts w:ascii="Times New Roman" w:hAnsi="Times New Roman" w:cs="Times New Roman"/>
        </w:rPr>
        <w:fldChar w:fldCharType="begin" w:fldLock="1"/>
      </w:r>
      <w:r w:rsidR="001A7298">
        <w:rPr>
          <w:rFonts w:ascii="Times New Roman" w:hAnsi="Times New Roman" w:cs="Times New Roman"/>
          <w:lang w:val="en-US"/>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2018","type":"webpage"},"uris":["http://www.mendeley.com/documents/?uuid=6c087b37-53e2-47c6-b97f-c3beaf314c66"]},{"id":"ITEM-2","itemData":{"ISBN":"0065-4299","abstract":"Renewable energy","author":[{"dropping-particle":"","family":"International Renewable Energy Agency","given":"","non-dropping-particle":"","parse-names":false,"suffix":""}],"id":"ITEM-2","issue":"January","issued":{"date-parts":[["2015"]]},"number-of-pages":"1-60","title":"IRENA Battery Storage Report 2015","type":"report"},"uris":["http://www.mendeley.com/documents/?uuid=f37efa12-4f6d-4ea8-b094-05d3d7be7f5e"]}],"mendeley":{"formattedCitation":"[44,48]","plainTextFormattedCitation":"[44,48]","previouslyFormattedCitation":"[44,48]"},"properties":{"noteIndex":0},"schema":"https://github.com/citation-style-language/schema/raw/master/csl-citation.json"}</w:instrText>
      </w:r>
      <w:r w:rsidR="004D7228" w:rsidRPr="004D7228">
        <w:rPr>
          <w:rFonts w:ascii="Times New Roman" w:hAnsi="Times New Roman" w:cs="Times New Roman"/>
        </w:rPr>
        <w:fldChar w:fldCharType="separate"/>
      </w:r>
      <w:r w:rsidR="00B60186" w:rsidRPr="00B60186">
        <w:rPr>
          <w:rFonts w:ascii="Times New Roman" w:hAnsi="Times New Roman" w:cs="Times New Roman"/>
          <w:noProof/>
          <w:lang w:val="en-US"/>
        </w:rPr>
        <w:t>[44,48]</w:t>
      </w:r>
      <w:r w:rsidR="004D7228" w:rsidRPr="004D7228">
        <w:rPr>
          <w:rFonts w:ascii="Times New Roman" w:hAnsi="Times New Roman" w:cs="Times New Roman"/>
          <w:lang w:val="en-US"/>
        </w:rPr>
        <w:fldChar w:fldCharType="end"/>
      </w:r>
      <w:r w:rsidRPr="004D7228">
        <w:rPr>
          <w:rFonts w:ascii="Times New Roman" w:hAnsi="Times New Roman" w:cs="Times New Roman"/>
          <w:lang w:val="en-US"/>
        </w:rPr>
        <w:t>.</w:t>
      </w:r>
    </w:p>
    <w:p w14:paraId="7E779931" w14:textId="16A2A0C1" w:rsidR="00E373C1" w:rsidRPr="004D7228" w:rsidRDefault="00B33CC2" w:rsidP="004D7228">
      <w:pPr>
        <w:pStyle w:val="ListParagraph"/>
        <w:numPr>
          <w:ilvl w:val="0"/>
          <w:numId w:val="2"/>
        </w:numPr>
        <w:spacing w:after="100" w:afterAutospacing="1" w:line="240" w:lineRule="auto"/>
        <w:ind w:left="284" w:hanging="284"/>
        <w:rPr>
          <w:rFonts w:ascii="Times New Roman" w:hAnsi="Times New Roman" w:cs="Times New Roman"/>
          <w:lang w:val="en-US"/>
        </w:rPr>
      </w:pPr>
      <w:bookmarkStart w:id="107" w:name="_Ref528654640"/>
      <w:bookmarkStart w:id="108" w:name="_Ref528588146"/>
      <w:r w:rsidRPr="004D7228">
        <w:rPr>
          <w:rFonts w:ascii="Times New Roman" w:hAnsi="Times New Roman" w:cs="Times New Roman"/>
          <w:lang w:val="en-US"/>
        </w:rPr>
        <w:t xml:space="preserve">The battery </w:t>
      </w:r>
      <w:r w:rsidR="004D7228">
        <w:rPr>
          <w:rFonts w:ascii="Times New Roman" w:hAnsi="Times New Roman" w:cs="Times New Roman"/>
          <w:lang w:val="en-US"/>
        </w:rPr>
        <w:t xml:space="preserve">pack cost </w:t>
      </w:r>
      <w:r w:rsidRPr="004D7228">
        <w:rPr>
          <w:rFonts w:ascii="Times New Roman" w:hAnsi="Times New Roman" w:cs="Times New Roman"/>
          <w:lang w:val="en-US"/>
        </w:rPr>
        <w:t xml:space="preserve">forecast is provided in </w:t>
      </w:r>
      <w:r w:rsidRPr="004D7228">
        <w:rPr>
          <w:rFonts w:ascii="Times New Roman" w:hAnsi="Times New Roman" w:cs="Times New Roman"/>
          <w:lang w:val="en-US"/>
        </w:rPr>
        <w:fldChar w:fldCharType="begin"/>
      </w:r>
      <w:r w:rsidRPr="004D7228">
        <w:rPr>
          <w:rFonts w:ascii="Times New Roman" w:hAnsi="Times New Roman" w:cs="Times New Roman"/>
          <w:lang w:val="en-US"/>
        </w:rPr>
        <w:instrText xml:space="preserve"> REF _Ref528151118 \h  \* MERGEFORMAT </w:instrText>
      </w:r>
      <w:r w:rsidRPr="004D7228">
        <w:rPr>
          <w:rFonts w:ascii="Times New Roman" w:hAnsi="Times New Roman" w:cs="Times New Roman"/>
          <w:lang w:val="en-US"/>
        </w:rPr>
      </w:r>
      <w:r w:rsidRPr="004D7228">
        <w:rPr>
          <w:rFonts w:ascii="Times New Roman" w:hAnsi="Times New Roman" w:cs="Times New Roman"/>
          <w:lang w:val="en-US"/>
        </w:rPr>
        <w:fldChar w:fldCharType="separate"/>
      </w:r>
      <w:r w:rsidR="00E60026" w:rsidRPr="00E60026">
        <w:rPr>
          <w:rFonts w:ascii="Times New Roman" w:hAnsi="Times New Roman" w:cs="Times New Roman"/>
          <w:lang w:val="en-US"/>
        </w:rPr>
        <w:t xml:space="preserve">Figure </w:t>
      </w:r>
      <w:r w:rsidR="00E60026" w:rsidRPr="00E60026">
        <w:rPr>
          <w:rFonts w:ascii="Times New Roman" w:hAnsi="Times New Roman" w:cs="Times New Roman"/>
          <w:noProof/>
          <w:lang w:val="en-US"/>
        </w:rPr>
        <w:t>8</w:t>
      </w:r>
      <w:r w:rsidRPr="004D7228">
        <w:rPr>
          <w:rFonts w:ascii="Times New Roman" w:hAnsi="Times New Roman" w:cs="Times New Roman"/>
          <w:lang w:val="en-US"/>
        </w:rPr>
        <w:fldChar w:fldCharType="end"/>
      </w:r>
      <w:r w:rsidRPr="004D7228">
        <w:rPr>
          <w:rFonts w:ascii="Times New Roman" w:hAnsi="Times New Roman" w:cs="Times New Roman"/>
          <w:lang w:val="en-US"/>
        </w:rPr>
        <w:t xml:space="preserve"> and the related text</w:t>
      </w:r>
      <w:r w:rsidR="004D7228">
        <w:rPr>
          <w:rFonts w:ascii="Times New Roman" w:hAnsi="Times New Roman" w:cs="Times New Roman"/>
          <w:lang w:val="en-US"/>
        </w:rPr>
        <w:t xml:space="preserve"> </w:t>
      </w:r>
      <w:r w:rsidR="004D7228" w:rsidRPr="004D7228">
        <w:rPr>
          <w:rFonts w:ascii="Times New Roman" w:hAnsi="Times New Roman" w:cs="Times New Roman"/>
        </w:rPr>
        <w:fldChar w:fldCharType="begin" w:fldLock="1"/>
      </w:r>
      <w:r w:rsidR="001A7298">
        <w:rPr>
          <w:rFonts w:ascii="Times New Roman" w:hAnsi="Times New Roman" w:cs="Times New Roman"/>
          <w:lang w:val="en-US"/>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mendeley":{"formattedCitation":"[44]","plainTextFormattedCitation":"[44]","previouslyFormattedCitation":"[44]"},"properties":{"noteIndex":0},"schema":"https://github.com/citation-style-language/schema/raw/master/csl-citation.json"}</w:instrText>
      </w:r>
      <w:r w:rsidR="004D7228" w:rsidRPr="004D7228">
        <w:rPr>
          <w:rFonts w:ascii="Times New Roman" w:hAnsi="Times New Roman" w:cs="Times New Roman"/>
        </w:rPr>
        <w:fldChar w:fldCharType="separate"/>
      </w:r>
      <w:r w:rsidR="00B60186" w:rsidRPr="00B60186">
        <w:rPr>
          <w:rFonts w:ascii="Times New Roman" w:hAnsi="Times New Roman" w:cs="Times New Roman"/>
          <w:noProof/>
          <w:lang w:val="en-US"/>
        </w:rPr>
        <w:t>[44]</w:t>
      </w:r>
      <w:r w:rsidR="004D7228" w:rsidRPr="004D7228">
        <w:rPr>
          <w:rFonts w:ascii="Times New Roman" w:hAnsi="Times New Roman" w:cs="Times New Roman"/>
          <w:lang w:val="en-US"/>
        </w:rPr>
        <w:fldChar w:fldCharType="end"/>
      </w:r>
      <w:r w:rsidRPr="004D7228">
        <w:rPr>
          <w:rFonts w:ascii="Times New Roman" w:hAnsi="Times New Roman" w:cs="Times New Roman"/>
          <w:lang w:val="en-US"/>
        </w:rPr>
        <w:t>.</w:t>
      </w:r>
      <w:bookmarkEnd w:id="107"/>
    </w:p>
    <w:p w14:paraId="213E08A7" w14:textId="18C8EF3B" w:rsidR="00F43F41" w:rsidRPr="004D7228" w:rsidRDefault="00B33CC2" w:rsidP="004D7228">
      <w:pPr>
        <w:pStyle w:val="ListParagraph"/>
        <w:numPr>
          <w:ilvl w:val="0"/>
          <w:numId w:val="2"/>
        </w:numPr>
        <w:spacing w:after="100" w:afterAutospacing="1" w:line="240" w:lineRule="auto"/>
        <w:ind w:left="284" w:hanging="284"/>
        <w:rPr>
          <w:rFonts w:ascii="Times New Roman" w:hAnsi="Times New Roman" w:cs="Times New Roman"/>
          <w:lang w:val="en-US"/>
        </w:rPr>
      </w:pPr>
      <w:bookmarkStart w:id="109" w:name="_Ref528592236"/>
      <w:bookmarkStart w:id="110" w:name="_Ref528587747"/>
      <w:r w:rsidRPr="004D7228">
        <w:rPr>
          <w:rFonts w:ascii="Times New Roman" w:hAnsi="Times New Roman" w:cs="Times New Roman"/>
          <w:lang w:val="en-US"/>
        </w:rPr>
        <w:t>Power conversion cost is strongly dependent on scalability and application.</w:t>
      </w:r>
      <w:bookmarkEnd w:id="109"/>
      <w:bookmarkEnd w:id="110"/>
      <w:r w:rsidR="00F43F41" w:rsidRPr="004D7228">
        <w:rPr>
          <w:rFonts w:ascii="Times New Roman" w:hAnsi="Times New Roman" w:cs="Times New Roman"/>
          <w:lang w:val="en-US"/>
        </w:rPr>
        <w:t xml:space="preserve"> </w:t>
      </w:r>
      <w:r w:rsidRPr="004D7228">
        <w:rPr>
          <w:rFonts w:ascii="Times New Roman" w:hAnsi="Times New Roman" w:cs="Times New Roman"/>
          <w:lang w:val="en-US"/>
        </w:rPr>
        <w:t xml:space="preserve">The </w:t>
      </w:r>
      <w:r w:rsidR="00534F1F" w:rsidRPr="004D7228">
        <w:rPr>
          <w:rFonts w:ascii="Times New Roman" w:hAnsi="Times New Roman" w:cs="Times New Roman"/>
          <w:lang w:val="en-US"/>
        </w:rPr>
        <w:t xml:space="preserve">PCS </w:t>
      </w:r>
      <w:r w:rsidRPr="004D7228">
        <w:rPr>
          <w:rFonts w:ascii="Times New Roman" w:hAnsi="Times New Roman" w:cs="Times New Roman"/>
          <w:lang w:val="en-US"/>
        </w:rPr>
        <w:t xml:space="preserve">cost is based on references </w:t>
      </w:r>
      <w:r w:rsidRPr="004D7228">
        <w:rPr>
          <w:rFonts w:ascii="Times New Roman" w:hAnsi="Times New Roman" w:cs="Times New Roman"/>
          <w:lang w:val="en-US"/>
        </w:rPr>
        <w:fldChar w:fldCharType="begin" w:fldLock="1"/>
      </w:r>
      <w:r w:rsidR="00D05697">
        <w:rPr>
          <w:rFonts w:ascii="Times New Roman" w:hAnsi="Times New Roman" w:cs="Times New Roman"/>
          <w:lang w:val="en-US"/>
        </w:rPr>
        <w:instrText>ADDIN CSL_CITATION {"citationItems":[{"id":"ITEM-1","itemData":{"DOI":"10.3390/en10010108","ISSN":"19961073","abstract":"This paper offers a wide overview on the large-scale electrochemical energy projects installed in the high voltage Italian grid. Detailed descriptions of energy (charge/discharge times of about 8 h) and power intensive (charge/discharge times ranging from 0.5 h to 4 h) installations are presented with some insights into the authorization procedures, safety features, and ancillary services. These different charge/discharge times reflect the different operation uses inside the electric grid. Energy intensive storage aims at decoupling generation and utilization since, in the southern part of Italy, there has been a great growth of wind farms: these areas are characterized by a surplus of generation with respect to load absorption and to the net transport capacity of the 150 kV high voltage backbones. Power intensive storage aims at providing ancillary services inside the electric grid as primary and secondary frequency regulation, synthetic rotational inertia, and further functionalities. The return on experience of Italian installations will be able to play a key role also for other countries and other transmission system operators.","author":[{"dropping-particle":"","family":"Benato","given":"Roberto","non-dropping-particle":"","parse-names":false,"suffix":""},{"dropping-particle":"","family":"Bruno","given":"Gianluca","non-dropping-particle":"","parse-names":false,"suffix":""},{"dropping-particle":"","family":"Palone","given":"Francesco","non-dropping-particle":"","parse-names":false,"suffix":""},{"dropping-particle":"","family":"Polito","given":"Rosario M.","non-dropping-particle":"","parse-names":false,"suffix":""},{"dropping-particle":"","family":"Rebolini","given":"Massimo","non-dropping-particle":"","parse-names":false,"suffix":""}],"container-title":"Energies","id":"ITEM-1","issue":"1","issued":{"date-parts":[["2017"]]},"title":"Large-scale electrochemical energy storage in high voltage grids: Overview of the Italian experience","type":"article-journal","volume":"10"},"uris":["http://www.mendeley.com/documents/?uuid=784a9ee3-2811-4661-8fe3-7517902c873f"]},{"id":"ITEM-2","itemData":{"DOI":"10.1016/j.rser.2014.10.011","ISBN":"1364-0321","ISSN":"13640321","abstract":"Large-scale deployment of intermittent renewable energy (namely wind energy and solar PV) may entail new challenges in power systems and more volatility in power prices in liberalized electricity markets. Energy storage can diminish this imbalance, relieving the grid congestion, and promoting distributed generation. The economic implications of grid-scale electrical energy storage technologies are however obscure for the experts, power grid operators, regulators, and power producers. A meticulous technoeconomic or cost-benefit analysis of electricity storage systems requires consistent, updated cost data and a holistic cost analysis framework. To this end, this study critically examines the existing literature in the analysis of life cycle costs of utility-scale electricity storage systems, providing an updated database for the cost elements (capital costs, operational and maintenance costs, and replacement costs). Moreover, life cycle costs and levelized cost of electricity delivered by electrical energy storage is analyzed, employing Monte Carlo method to consider uncertainties. The examined energy storage technologies include pumped hydropower storage, compressed air energy storage (CAES), flywheel, electrochemical batteries (e.g. lead-acid, NaS, Li-ion, and Ni-Cd), flow batteries (e.g. vanadium-redox), superconducting magnetic energy storage, supercapacitors, and hydrogen energy storage (power to gas technologies). The results illustrate the economy of different storage systems for three main applications: bulk energy storage, T&amp;D support services, and frequency regulation.","author":[{"dropping-particle":"","family":"Zakeri","given":"Behnam","non-dropping-particle":"","parse-names":false,"suffix":""},{"dropping-particle":"","family":"Syri","given":"Sanna","non-dropping-particle":"","parse-names":false,"suffix":""}],"container-title":"Renewable and Sustainable Energy Reviews","id":"ITEM-2","issued":{"date-parts":[["2015"]]},"page":"569-596","publisher":"Elsevier","title":"Electrical energy storage systems: A comparative life cycle cost analysis","type":"article-journal","volume":"42"},"uris":["http://www.mendeley.com/documents/?uuid=8b6c9318-6d50-48b5-bd42-237a97c1deae","http://www.mendeley.com/documents/?uuid=ed24dad4-ad20-4717-90f6-1ba73103b412","http://www.mendeley.com/documents/?uuid=f6d7c79f-22cc-4fe6-aafa-ad68ccce8797"]},{"id":"ITEM-3","itemData":{"DOI":"SAND2013-5131","ISBN":"SAND2013-5131","abstract":"The Electricity Storage Handbook (Handbook) is a how-to guide for utility and rural cooperative engineers, planners, and decision makers to plan and implement energy storage projects. The Handbook also serves as an information resource for investors and venture capitalists, providing the latest developments in technologies and tools to guide their evaluations of energy storage opportunities. It includes a comprehensive database of the cost of current storage systems in a wide variety of electric utility and customer services, along with interconnection schematics. A list of significant past and present energy storage projects is provided for a practical perspective. This Handbook, jointly sponsored by the U.S. Department of Energy and the Electric Power Research Institute in collaboration with the National Rural Electric Cooperative Association, is published in electronic form at www.sandia.gov/ess.","author":[{"dropping-particle":"","family":"Huff","given":"Georgianne","non-dropping-particle":"","parse-names":false,"suffix":""},{"dropping-particle":"","family":"Currier","given":"Aileen B.","non-dropping-particle":"","parse-names":false,"suffix":""},{"dropping-particle":"","family":"Kaun","given":"Benjamin C.","non-dropping-particle":"","parse-names":false,"suffix":""},{"dropping-particle":"","family":"Rastler","given":"Dan M.","non-dropping-particle":"","parse-names":false,"suffix":""},{"dropping-particle":"","family":"Chen","given":"Stella Bingqing","non-dropping-particle":"","parse-names":false,"suffix":""},{"dropping-particle":"","family":"Bradshaw","given":"Dale T.","non-dropping-particle":"","parse-names":false,"suffix":""},{"dropping-particle":"","family":"Gauntlett","given":"William D.","non-dropping-particle":"","parse-names":false,"suffix":""}],"container-title":"Report SAND2013- …","id":"ITEM-3","issue":"July","issued":{"date-parts":[["2013"]]},"number-of-pages":"340","title":"DOE/EPRI 2013 electricity storage handbook in collaboration with NRECA","type":"report"},"uris":["http://www.mendeley.com/documents/?uuid=3faac734-aa45-41d5-ac65-f5174d6d9e3c","http://www.mendeley.com/documents/?uuid=3186654e-214c-451c-a7b1-4876c9bb2657","http://www.mendeley.com/documents/?uuid=324174d6-54cb-4e5f-99b0-53f2aafbf7c4","http://www.mendeley.com/documents/?uuid=0a8f7d3b-2b03-4eb1-898e-9b5014e32768"]}],"mendeley":{"formattedCitation":"[54–56]","plainTextFormattedCitation":"[54–56]","previouslyFormattedCitation":"[54–56]"},"properties":{"noteIndex":0},"schema":"https://github.com/citation-style-language/schema/raw/master/csl-citation.json"}</w:instrText>
      </w:r>
      <w:r w:rsidRPr="004D7228">
        <w:rPr>
          <w:rFonts w:ascii="Times New Roman" w:hAnsi="Times New Roman" w:cs="Times New Roman"/>
          <w:lang w:val="en-US"/>
        </w:rPr>
        <w:fldChar w:fldCharType="separate"/>
      </w:r>
      <w:r w:rsidR="001A7298" w:rsidRPr="001A7298">
        <w:rPr>
          <w:rFonts w:ascii="Times New Roman" w:hAnsi="Times New Roman" w:cs="Times New Roman"/>
          <w:noProof/>
          <w:lang w:val="en-US"/>
        </w:rPr>
        <w:t>[54–56]</w:t>
      </w:r>
      <w:r w:rsidRPr="004D7228">
        <w:rPr>
          <w:rFonts w:ascii="Times New Roman" w:hAnsi="Times New Roman" w:cs="Times New Roman"/>
          <w:lang w:val="en-US"/>
        </w:rPr>
        <w:fldChar w:fldCharType="end"/>
      </w:r>
      <w:r w:rsidR="00534F1F" w:rsidRPr="004D7228">
        <w:rPr>
          <w:rFonts w:ascii="Times New Roman" w:hAnsi="Times New Roman" w:cs="Times New Roman"/>
          <w:lang w:val="en-US"/>
        </w:rPr>
        <w:t xml:space="preserve"> and reflects </w:t>
      </w:r>
      <w:r w:rsidRPr="004D7228">
        <w:rPr>
          <w:rFonts w:ascii="Times New Roman" w:hAnsi="Times New Roman" w:cs="Times New Roman"/>
          <w:lang w:val="en-US"/>
        </w:rPr>
        <w:t>the necessit</w:t>
      </w:r>
      <w:r w:rsidR="00534F1F" w:rsidRPr="004D7228">
        <w:rPr>
          <w:rFonts w:ascii="Times New Roman" w:hAnsi="Times New Roman" w:cs="Times New Roman"/>
          <w:lang w:val="en-US"/>
        </w:rPr>
        <w:t>y for high</w:t>
      </w:r>
      <w:r w:rsidRPr="004D7228">
        <w:rPr>
          <w:rFonts w:ascii="Times New Roman" w:hAnsi="Times New Roman" w:cs="Times New Roman"/>
          <w:lang w:val="en-US"/>
        </w:rPr>
        <w:t xml:space="preserve"> power performance and compliance to grid codes to provide ancillary services, bidirectional electricity flow and two-stage conversion, as well as the early stage of development and the fact that few manufacturers can guarantee turnkey systems.</w:t>
      </w:r>
      <w:r w:rsidR="00C828CC">
        <w:rPr>
          <w:rFonts w:ascii="Times New Roman" w:hAnsi="Times New Roman" w:cs="Times New Roman"/>
          <w:lang w:val="en-US"/>
        </w:rPr>
        <w:t xml:space="preserve"> </w:t>
      </w:r>
    </w:p>
    <w:p w14:paraId="0484562C" w14:textId="3A18E83E" w:rsidR="002E3D04" w:rsidRPr="004D7228" w:rsidRDefault="002E3D04" w:rsidP="004D7228">
      <w:pPr>
        <w:pStyle w:val="ListParagraph"/>
        <w:numPr>
          <w:ilvl w:val="0"/>
          <w:numId w:val="2"/>
        </w:numPr>
        <w:spacing w:after="100" w:afterAutospacing="1" w:line="240" w:lineRule="auto"/>
        <w:ind w:left="284" w:hanging="284"/>
        <w:rPr>
          <w:rFonts w:ascii="Times New Roman" w:hAnsi="Times New Roman" w:cs="Times New Roman"/>
          <w:lang w:val="en-US"/>
        </w:rPr>
      </w:pPr>
      <w:bookmarkStart w:id="111" w:name="_Ref528667067"/>
      <w:r w:rsidRPr="004D7228">
        <w:rPr>
          <w:rFonts w:ascii="Times New Roman" w:hAnsi="Times New Roman" w:cs="Times New Roman"/>
          <w:lang w:val="en-US"/>
        </w:rPr>
        <w:t xml:space="preserve">Other costs include construction costs and entrepreneur work. These costs heavily dependent on location, substrate and site access. Estimates are aggregated from the literature </w:t>
      </w:r>
      <w:bookmarkEnd w:id="111"/>
      <w:r w:rsidR="006468E8" w:rsidRPr="004D7228">
        <w:rPr>
          <w:rFonts w:ascii="Times New Roman" w:hAnsi="Times New Roman" w:cs="Times New Roman"/>
        </w:rPr>
        <w:fldChar w:fldCharType="begin" w:fldLock="1"/>
      </w:r>
      <w:r w:rsidR="00D05697">
        <w:rPr>
          <w:rFonts w:ascii="Times New Roman" w:hAnsi="Times New Roman" w:cs="Times New Roman"/>
        </w:rPr>
        <w:instrText>ADDIN CSL_CITATION {"citationItems":[{"id":"ITEM-1","itemData":{"URL":"https://www.tesla.com/da_DK/blog/Tesla-powerpack-enable-large-scale-sustainable-energy-south-australia?redirect=no Page","author":[{"dropping-particle":"","family":"Tesla","given":"","non-dropping-particle":"","parse-names":false,"suffix":""}],"id":"ITEM-1","issued":{"date-parts":[["2017"]]},"title":"Tesla Powerpack to Enable Large Scale Sustainable Energy to South Australia","type":"webpage"},"uris":["http://www.mendeley.com/documents/?uuid=0159f8c1-a373-405f-b0fa-8dde2e8b3be3"]},{"id":"ITEM-2","itemData":{"DOI":"10.3390/en10010108","ISSN":"19961073","abstract":"This paper offers a wide overview on the large-scale electrochemical energy projects installed in the high voltage Italian grid. Detailed descriptions of energy (charge/discharge times of about 8 h) and power intensive (charge/discharge times ranging from 0.5 h to 4 h) installations are presented with some insights into the authorization procedures, safety features, and ancillary services. These different charge/discharge times reflect the different operation uses inside the electric grid. Energy intensive storage aims at decoupling generation and utilization since, in the southern part of Italy, there has been a great growth of wind farms: these areas are characterized by a surplus of generation with respect to load absorption and to the net transport capacity of the 150 kV high voltage backbones. Power intensive storage aims at providing ancillary services inside the electric grid as primary and secondary frequency regulation, synthetic rotational inertia, and further functionalities. The return on experience of Italian installations will be able to play a key role also for other countries and other transmission system operators.","author":[{"dropping-particle":"","family":"Benato","given":"Roberto","non-dropping-particle":"","parse-names":false,"suffix":""},{"dropping-particle":"","family":"Bruno","given":"Gianluca","non-dropping-particle":"","parse-names":false,"suffix":""},{"dropping-particle":"","family":"Palone","given":"Francesco","non-dropping-particle":"","parse-names":false,"suffix":""},{"dropping-particle":"","family":"Polito","given":"Rosario M.","non-dropping-particle":"","parse-names":false,"suffix":""},{"dropping-particle":"","family":"Rebolini","given":"Massimo","non-dropping-particle":"","parse-names":false,"suffix":""}],"container-title":"Energies","id":"ITEM-2","issue":"1","issued":{"date-parts":[["2017"]]},"title":"Large-scale electrochemical energy storage in high voltage grids: Overview of the Italian experience","type":"article-journal","volume":"10"},"uris":["http://www.mendeley.com/documents/?uuid=784a9ee3-2811-4661-8fe3-7517902c873f"]},{"id":"ITEM-3","itemData":{"author":[{"dropping-particle":"","family":"Lazard","given":"","non-dropping-particle":"","parse-names":false,"suffix":""}],"id":"ITEM-3","issued":{"date-parts":[["2017"]]},"title":"Lazard.com | Levelized Cost of Storage 2017","type":"report"},"uris":["http://www.mendeley.com/documents/?uuid=56d03985-97ee-3fc7-9728-f80c5cd919c9"]}],"mendeley":{"formattedCitation":"[22,40,54]","plainTextFormattedCitation":"[22,40,54]","previouslyFormattedCitation":"[22,40,54]"},"properties":{"noteIndex":0},"schema":"https://github.com/citation-style-language/schema/raw/master/csl-citation.json"}</w:instrText>
      </w:r>
      <w:r w:rsidR="006468E8" w:rsidRPr="004D7228">
        <w:rPr>
          <w:rFonts w:ascii="Times New Roman" w:hAnsi="Times New Roman" w:cs="Times New Roman"/>
        </w:rPr>
        <w:fldChar w:fldCharType="separate"/>
      </w:r>
      <w:r w:rsidR="001A7298" w:rsidRPr="001A7298">
        <w:rPr>
          <w:rFonts w:ascii="Times New Roman" w:hAnsi="Times New Roman" w:cs="Times New Roman"/>
          <w:noProof/>
          <w:lang w:val="en-US"/>
        </w:rPr>
        <w:t>[22,40,54]</w:t>
      </w:r>
      <w:r w:rsidR="006468E8" w:rsidRPr="004D7228">
        <w:rPr>
          <w:rFonts w:ascii="Times New Roman" w:hAnsi="Times New Roman" w:cs="Times New Roman"/>
        </w:rPr>
        <w:fldChar w:fldCharType="end"/>
      </w:r>
      <w:r w:rsidRPr="004D7228">
        <w:rPr>
          <w:rFonts w:ascii="Times New Roman" w:hAnsi="Times New Roman" w:cs="Times New Roman"/>
          <w:lang w:val="en-US"/>
        </w:rPr>
        <w:t xml:space="preserve"> </w:t>
      </w:r>
    </w:p>
    <w:p w14:paraId="1BDFDC12" w14:textId="0E2FB422" w:rsidR="006468E8" w:rsidRPr="004D7228" w:rsidRDefault="006468E8" w:rsidP="004D7228">
      <w:pPr>
        <w:pStyle w:val="ListParagraph"/>
        <w:numPr>
          <w:ilvl w:val="0"/>
          <w:numId w:val="2"/>
        </w:numPr>
        <w:spacing w:after="100" w:afterAutospacing="1" w:line="240" w:lineRule="auto"/>
        <w:ind w:left="284" w:hanging="284"/>
        <w:rPr>
          <w:rFonts w:ascii="Times New Roman" w:hAnsi="Times New Roman" w:cs="Times New Roman"/>
          <w:lang w:val="en-US"/>
        </w:rPr>
      </w:pPr>
      <w:bookmarkStart w:id="112" w:name="_Ref528668644"/>
      <w:r w:rsidRPr="004D7228">
        <w:rPr>
          <w:rFonts w:ascii="Times New Roman" w:hAnsi="Times New Roman" w:cs="Times New Roman"/>
          <w:lang w:val="en-US"/>
        </w:rPr>
        <w:t>Inverter replacement is expected every 10 years</w:t>
      </w:r>
      <w:r w:rsidR="00B11519" w:rsidRPr="004D7228">
        <w:rPr>
          <w:rFonts w:ascii="Times New Roman" w:hAnsi="Times New Roman" w:cs="Times New Roman"/>
          <w:lang w:val="en-US"/>
        </w:rPr>
        <w:t xml:space="preserve"> </w:t>
      </w:r>
      <w:r w:rsidRPr="004D7228">
        <w:rPr>
          <w:rFonts w:ascii="Times New Roman" w:hAnsi="Times New Roman" w:cs="Times New Roman"/>
          <w:lang w:val="en-US"/>
        </w:rPr>
        <w:fldChar w:fldCharType="begin" w:fldLock="1"/>
      </w:r>
      <w:r w:rsidR="007D441B" w:rsidRPr="004D7228">
        <w:rPr>
          <w:rFonts w:ascii="Times New Roman" w:hAnsi="Times New Roman" w:cs="Times New Roman"/>
          <w:lang w:val="en-US"/>
        </w:rPr>
        <w:instrText>ADDIN CSL_CITATION {"citationItems":[{"id":"ITEM-1","itemData":{"author":[{"dropping-particle":"","family":"Lazard","given":"","non-dropping-particle":"","parse-names":false,"suffix":""}],"id":"ITEM-1","issued":{"date-parts":[["2017"]]},"title":"Lazard.com | Levelized Cost of Storage 2017","type":"report"},"uris":["http://www.mendeley.com/documents/?uuid=56d03985-97ee-3fc7-9728-f80c5cd919c9"]}],"mendeley":{"formattedCitation":"[22]","plainTextFormattedCitation":"[22]","previouslyFormattedCitation":"[22]"},"properties":{"noteIndex":0},"schema":"https://github.com/citation-style-language/schema/raw/master/csl-citation.json"}</w:instrText>
      </w:r>
      <w:r w:rsidRPr="004D7228">
        <w:rPr>
          <w:rFonts w:ascii="Times New Roman" w:hAnsi="Times New Roman" w:cs="Times New Roman"/>
          <w:lang w:val="en-US"/>
        </w:rPr>
        <w:fldChar w:fldCharType="separate"/>
      </w:r>
      <w:r w:rsidR="00986F3F" w:rsidRPr="004D7228">
        <w:rPr>
          <w:rFonts w:ascii="Times New Roman" w:hAnsi="Times New Roman" w:cs="Times New Roman"/>
          <w:noProof/>
          <w:lang w:val="en-US"/>
        </w:rPr>
        <w:t>[22]</w:t>
      </w:r>
      <w:r w:rsidRPr="004D7228">
        <w:rPr>
          <w:rFonts w:ascii="Times New Roman" w:hAnsi="Times New Roman" w:cs="Times New Roman"/>
          <w:lang w:val="en-US"/>
        </w:rPr>
        <w:fldChar w:fldCharType="end"/>
      </w:r>
      <w:r w:rsidRPr="004D7228">
        <w:rPr>
          <w:rFonts w:ascii="Times New Roman" w:hAnsi="Times New Roman" w:cs="Times New Roman"/>
          <w:lang w:val="en-US"/>
        </w:rPr>
        <w:t>.</w:t>
      </w:r>
      <w:bookmarkEnd w:id="112"/>
    </w:p>
    <w:p w14:paraId="171A684D" w14:textId="0BA01288" w:rsidR="00B11519" w:rsidRPr="004D7228" w:rsidRDefault="00B11519" w:rsidP="004D7228">
      <w:pPr>
        <w:pStyle w:val="ListParagraph"/>
        <w:numPr>
          <w:ilvl w:val="0"/>
          <w:numId w:val="2"/>
        </w:numPr>
        <w:spacing w:after="100" w:afterAutospacing="1" w:line="240" w:lineRule="auto"/>
        <w:ind w:left="284" w:hanging="284"/>
        <w:rPr>
          <w:rFonts w:ascii="Times New Roman" w:hAnsi="Times New Roman" w:cs="Times New Roman"/>
          <w:lang w:val="en-US"/>
        </w:rPr>
      </w:pPr>
      <w:bookmarkStart w:id="113" w:name="_Ref528668946"/>
      <w:r w:rsidRPr="004D7228">
        <w:rPr>
          <w:rFonts w:ascii="Times New Roman" w:hAnsi="Times New Roman" w:cs="Times New Roman"/>
          <w:lang w:val="en-US"/>
        </w:rPr>
        <w:t>No variable O&amp;M is assumed since the LIB storage system is stand-alone.</w:t>
      </w:r>
      <w:bookmarkEnd w:id="113"/>
      <w:r w:rsidRPr="004D7228">
        <w:rPr>
          <w:rFonts w:ascii="Times New Roman" w:hAnsi="Times New Roman" w:cs="Times New Roman"/>
          <w:lang w:val="en-US"/>
        </w:rPr>
        <w:t xml:space="preserve"> </w:t>
      </w:r>
    </w:p>
    <w:p w14:paraId="5806427C" w14:textId="0BCC6D02" w:rsidR="00B11519" w:rsidRPr="004D7228" w:rsidRDefault="00B11519" w:rsidP="004D7228">
      <w:pPr>
        <w:pStyle w:val="ListParagraph"/>
        <w:numPr>
          <w:ilvl w:val="0"/>
          <w:numId w:val="2"/>
        </w:numPr>
        <w:spacing w:after="100" w:afterAutospacing="1" w:line="240" w:lineRule="auto"/>
        <w:ind w:left="284" w:hanging="284"/>
        <w:rPr>
          <w:rFonts w:ascii="Times New Roman" w:hAnsi="Times New Roman" w:cs="Times New Roman"/>
          <w:lang w:val="en-US"/>
        </w:rPr>
      </w:pPr>
      <w:bookmarkStart w:id="114" w:name="_Ref528669041"/>
      <w:r w:rsidRPr="004D7228">
        <w:rPr>
          <w:rFonts w:ascii="Times New Roman" w:hAnsi="Times New Roman" w:cs="Times New Roman"/>
          <w:lang w:val="en-US"/>
        </w:rPr>
        <w:t xml:space="preserve">Since multi-MWh LIB systems are scalar, the </w:t>
      </w:r>
      <w:r w:rsidR="00385FB1" w:rsidRPr="004D7228">
        <w:rPr>
          <w:rFonts w:ascii="Times New Roman" w:hAnsi="Times New Roman" w:cs="Times New Roman"/>
          <w:lang w:val="en-US"/>
        </w:rPr>
        <w:t>energy storage expansion cost equals the Specific investment cost</w:t>
      </w:r>
      <w:r w:rsidR="00C828CC">
        <w:rPr>
          <w:rFonts w:ascii="Times New Roman" w:hAnsi="Times New Roman" w:cs="Times New Roman"/>
          <w:lang w:val="en-US"/>
        </w:rPr>
        <w:t xml:space="preserve"> </w:t>
      </w:r>
      <w:r w:rsidR="00C828CC" w:rsidRPr="00C828CC">
        <w:rPr>
          <w:rFonts w:ascii="Times New Roman" w:hAnsi="Times New Roman" w:cs="Times New Roman"/>
        </w:rPr>
        <w:fldChar w:fldCharType="begin" w:fldLock="1"/>
      </w:r>
      <w:r w:rsidR="001A7298">
        <w:rPr>
          <w:rFonts w:ascii="Times New Roman" w:hAnsi="Times New Roman" w:cs="Times New Roman"/>
          <w:lang w:val="en-US"/>
        </w:rPr>
        <w:instrText>ADDIN CSL_CITATION {"citationItems":[{"id":"ITEM-1","itemData":{"URL":"https://bnef.turtl.co/story/neo2018.pdf?autoprint=true&amp;teaser=true","author":[{"dropping-particle":"","family":"Bloomberg New Energy Finance","given":"","non-dropping-particle":"","parse-names":false,"suffix":""}],"id":"ITEM-1","issued":{"date-parts":[["2018"]]},"title":"New Energy Outlook 2018","type":"webpage"},"uris":["http://www.mendeley.com/documents/?uuid=6c087b37-53e2-47c6-b97f-c3beaf314c66"]},{"id":"ITEM-2","itemData":{"ISBN":"0065-4299","abstract":"Renewable energy","author":[{"dropping-particle":"","family":"International Renewable Energy Agency","given":"","non-dropping-particle":"","parse-names":false,"suffix":""}],"id":"ITEM-2","issue":"January","issued":{"date-parts":[["2015"]]},"number-of-pages":"1-60","title":"IRENA Battery Storage Report 2015","type":"report"},"uris":["http://www.mendeley.com/documents/?uuid=f37efa12-4f6d-4ea8-b094-05d3d7be7f5e"]}],"mendeley":{"formattedCitation":"[44,48]","plainTextFormattedCitation":"[44,48]","previouslyFormattedCitation":"[44,48]"},"properties":{"noteIndex":0},"schema":"https://github.com/citation-style-language/schema/raw/master/csl-citation.json"}</w:instrText>
      </w:r>
      <w:r w:rsidR="00C828CC" w:rsidRPr="00C828CC">
        <w:rPr>
          <w:rFonts w:ascii="Times New Roman" w:hAnsi="Times New Roman" w:cs="Times New Roman"/>
        </w:rPr>
        <w:fldChar w:fldCharType="separate"/>
      </w:r>
      <w:r w:rsidR="00B60186" w:rsidRPr="00B60186">
        <w:rPr>
          <w:rFonts w:ascii="Times New Roman" w:hAnsi="Times New Roman" w:cs="Times New Roman"/>
          <w:noProof/>
          <w:lang w:val="en-US"/>
        </w:rPr>
        <w:t>[44,48]</w:t>
      </w:r>
      <w:r w:rsidR="00C828CC" w:rsidRPr="00C828CC">
        <w:rPr>
          <w:rFonts w:ascii="Times New Roman" w:hAnsi="Times New Roman" w:cs="Times New Roman"/>
          <w:lang w:val="en-US"/>
        </w:rPr>
        <w:fldChar w:fldCharType="end"/>
      </w:r>
      <w:r w:rsidR="00385FB1" w:rsidRPr="004D7228">
        <w:rPr>
          <w:rFonts w:ascii="Times New Roman" w:hAnsi="Times New Roman" w:cs="Times New Roman"/>
          <w:lang w:val="en-US"/>
        </w:rPr>
        <w:t>.</w:t>
      </w:r>
    </w:p>
    <w:p w14:paraId="6DF2FBD1" w14:textId="440FF685" w:rsidR="00385FB1" w:rsidRDefault="00385FB1" w:rsidP="004D7228">
      <w:pPr>
        <w:pStyle w:val="ListParagraph"/>
        <w:numPr>
          <w:ilvl w:val="0"/>
          <w:numId w:val="2"/>
        </w:numPr>
        <w:spacing w:after="100" w:afterAutospacing="1" w:line="240" w:lineRule="auto"/>
        <w:ind w:left="284" w:hanging="284"/>
        <w:rPr>
          <w:rFonts w:ascii="Times New Roman" w:hAnsi="Times New Roman" w:cs="Times New Roman"/>
          <w:lang w:val="en-US"/>
        </w:rPr>
      </w:pPr>
      <w:bookmarkStart w:id="115" w:name="_Ref528669245"/>
      <w:r w:rsidRPr="004D7228">
        <w:rPr>
          <w:rFonts w:ascii="Times New Roman" w:hAnsi="Times New Roman" w:cs="Times New Roman"/>
          <w:lang w:val="en-US"/>
        </w:rPr>
        <w:t>Since multi-MW LIB systems are scalar, the capacity expansion cost equals the capacity component cost</w:t>
      </w:r>
      <w:r w:rsidR="00C828CC">
        <w:rPr>
          <w:rFonts w:ascii="Times New Roman" w:hAnsi="Times New Roman" w:cs="Times New Roman"/>
          <w:lang w:val="en-US"/>
        </w:rPr>
        <w:t xml:space="preserve"> </w:t>
      </w:r>
      <w:r w:rsidR="00C828CC" w:rsidRPr="00C828CC">
        <w:rPr>
          <w:rFonts w:ascii="Times New Roman" w:hAnsi="Times New Roman" w:cs="Times New Roman"/>
          <w:lang w:val="en-US"/>
        </w:rPr>
        <w:fldChar w:fldCharType="begin" w:fldLock="1"/>
      </w:r>
      <w:r w:rsidR="00A15D71">
        <w:rPr>
          <w:rFonts w:ascii="Times New Roman" w:hAnsi="Times New Roman" w:cs="Times New Roman"/>
          <w:lang w:val="en-US"/>
        </w:rPr>
        <w:instrText>ADDIN CSL_CITATION {"citationItems":[{"id":"ITEM-1","itemData":{"DOI":"10.3390/en10010108","ISSN":"19961073","abstract":"This paper offers a wide overview on the large-scale electrochemical energy projects installed in the high voltage Italian grid. Detailed descriptions of energy (charge/discharge times of about 8 h) and power intensive (charge/discharge times ranging from 0.5 h to 4 h) installations are presented with some insights into the authorization procedures, safety features, and ancillary services. These different charge/discharge times reflect the different operation uses inside the electric grid. Energy intensive storage aims at decoupling generation and utilization since, in the southern part of Italy, there has been a great growth of wind farms: these areas are characterized by a surplus of generation with respect to load absorption and to the net transport capacity of the 150 kV high voltage backbones. Power intensive storage aims at providing ancillary services inside the electric grid as primary and secondary frequency regulation, synthetic rotational inertia, and further functionalities. The return on experience of Italian installations will be able to play a key role also for other countries and other transmission system operators.","author":[{"dropping-particle":"","family":"Benato","given":"Roberto","non-dropping-particle":"","parse-names":false,"suffix":""},{"dropping-particle":"","family":"Bruno","given":"Gianluca","non-dropping-particle":"","parse-names":false,"suffix":""},{"dropping-particle":"","family":"Palone","given":"Francesco","non-dropping-particle":"","parse-names":false,"suffix":""},{"dropping-particle":"","family":"Polito","given":"Rosario M.","non-dropping-particle":"","parse-names":false,"suffix":""},{"dropping-particle":"","family":"Rebolini","given":"Massimo","non-dropping-particle":"","parse-names":false,"suffix":""}],"container-title":"Energies","id":"ITEM-1","issue":"1","issued":{"date-parts":[["2017"]]},"title":"Large-scale electrochemical energy storage in high voltage grids: Overview of the Italian experience","type":"article-journal","volume":"10"},"uris":["http://www.mendeley.com/documents/?uuid=784a9ee3-2811-4661-8fe3-7517902c873f"]},{"id":"ITEM-2","itemData":{"DOI":"10.1016/j.rser.2014.10.011","ISBN":"1364-0321","ISSN":"13640321","abstract":"Large-scale deployment of intermittent renewable energy (namely wind energy and solar PV) may entail new challenges in power systems and more volatility in power prices in liberalized electricity markets. Energy storage can diminish this imbalance, relieving the grid congestion, and promoting distributed generation. The economic implications of grid-scale electrical energy storage technologies are however obscure for the experts, power grid operators, regulators, and power producers. A meticulous technoeconomic or cost-benefit analysis of electricity storage systems requires consistent, updated cost data and a holistic cost analysis framework. To this end, this study critically examines the existing literature in the analysis of life cycle costs of utility-scale electricity storage systems, providing an updated database for the cost elements (capital costs, operational and maintenance costs, and replacement costs). Moreover, life cycle costs and levelized cost of electricity delivered by electrical energy storage is analyzed, employing Monte Carlo method to consider uncertainties. The examined energy storage technologies include pumped hydropower storage, compressed air energy storage (CAES), flywheel, electrochemical batteries (e.g. lead-acid, NaS, Li-ion, and Ni-Cd), flow batteries (e.g. vanadium-redox), superconducting magnetic energy storage, supercapacitors, and hydrogen energy storage (power to gas technologies). The results illustrate the economy of different storage systems for three main applications: bulk energy storage, T&amp;D support services, and frequency regulation.","author":[{"dropping-particle":"","family":"Zakeri","given":"Behnam","non-dropping-particle":"","parse-names":false,"suffix":""},{"dropping-particle":"","family":"Syri","given":"Sanna","non-dropping-particle":"","parse-names":false,"suffix":""}],"container-title":"Renewable and Sustainable Energy Reviews","id":"ITEM-2","issued":{"date-parts":[["2015"]]},"page":"569-596","publisher":"Elsevier","title":"Electrical energy storage systems: A comparative life cycle cost analysis","type":"article-journal","volume":"42"},"uris":["http://www.mendeley.com/documents/?uuid=ed24dad4-ad20-4717-90f6-1ba73103b412","http://www.mendeley.com/documents/?uuid=f6d7c79f-22cc-4fe6-aafa-ad68ccce8797","http://www.mendeley.com/documents/?uuid=8b6c9318-6d50-48b5-bd42-237a97c1deae"]},{"id":"ITEM-3","itemData":{"DOI":"SAND2013-5131","ISBN":"SAND2013-5131","abstract":"The Electricity Storage Handbook (Handbook) is a how-to guide for utility and rural cooperative engineers, planners, and decision makers to plan and implement energy storage projects. The Handbook also serves as an information resource for investors and venture capitalists, providing the latest developments in technologies and tools to guide their evaluations of energy storage opportunities. It includes a comprehensive database of the cost of current storage systems in a wide variety of electric utility and customer services, along with interconnection schematics. A list of significant past and present energy storage projects is provided for a practical perspective. This Handbook, jointly sponsored by the U.S. Department of Energy and the Electric Power Research Institute in collaboration with the National Rural Electric Cooperative Association, is published in electronic form at www.sandia.gov/ess.","author":[{"dropping-particle":"","family":"Huff","given":"Georgianne","non-dropping-particle":"","parse-names":false,"suffix":""},{"dropping-particle":"","family":"Currier","given":"Aileen B.","non-dropping-particle":"","parse-names":false,"suffix":""},{"dropping-particle":"","family":"Kaun","given":"Benjamin C.","non-dropping-particle":"","parse-names":false,"suffix":""},{"dropping-particle":"","family":"Rastler","given":"Dan M.","non-dropping-particle":"","parse-names":false,"suffix":""},{"dropping-particle":"","family":"Chen","given":"Stella Bingqing","non-dropping-particle":"","parse-names":false,"suffix":""},{"dropping-particle":"","family":"Bradshaw","given":"Dale T.","non-dropping-particle":"","parse-names":false,"suffix":""},{"dropping-particle":"","family":"Gauntlett","given":"William D.","non-dropping-particle":"","parse-names":false,"suffix":""}],"container-title":"Report SAND2013- …","id":"ITEM-3","issue":"July","issued":{"date-parts":[["2013"]]},"number-of-pages":"340","title":"DOE/EPRI 2013 electricity storage handbook in collaboration with NRECA","type":"report"},"uris":["http://www.mendeley.com/documents/?uuid=3186654e-214c-451c-a7b1-4876c9bb2657","http://www.mendeley.com/documents/?uuid=324174d6-54cb-4e5f-99b0-53f2aafbf7c4","http://www.mendeley.com/documents/?uuid=3faac734-aa45-41d5-ac65-f5174d6d9e3c"]}],"mendeley":{"formattedCitation":"[54–56]","plainTextFormattedCitation":"[54–56]","previouslyFormattedCitation":"[54–56]"},"properties":{"noteIndex":0},"schema":"https://github.com/citation-style-language/schema/raw/master/csl-citation.json"}</w:instrText>
      </w:r>
      <w:r w:rsidR="00C828CC" w:rsidRPr="00C828CC">
        <w:rPr>
          <w:rFonts w:ascii="Times New Roman" w:hAnsi="Times New Roman" w:cs="Times New Roman"/>
          <w:lang w:val="en-US"/>
        </w:rPr>
        <w:fldChar w:fldCharType="separate"/>
      </w:r>
      <w:r w:rsidR="00A15D71" w:rsidRPr="00A15D71">
        <w:rPr>
          <w:rFonts w:ascii="Times New Roman" w:hAnsi="Times New Roman" w:cs="Times New Roman"/>
          <w:noProof/>
          <w:lang w:val="en-US"/>
        </w:rPr>
        <w:t>[54–56]</w:t>
      </w:r>
      <w:r w:rsidR="00C828CC" w:rsidRPr="00C828CC">
        <w:rPr>
          <w:rFonts w:ascii="Times New Roman" w:hAnsi="Times New Roman" w:cs="Times New Roman"/>
          <w:lang w:val="en-US"/>
        </w:rPr>
        <w:fldChar w:fldCharType="end"/>
      </w:r>
      <w:r w:rsidRPr="004D7228">
        <w:rPr>
          <w:rFonts w:ascii="Times New Roman" w:hAnsi="Times New Roman" w:cs="Times New Roman"/>
          <w:lang w:val="en-US"/>
        </w:rPr>
        <w:t>.</w:t>
      </w:r>
      <w:bookmarkEnd w:id="115"/>
    </w:p>
    <w:p w14:paraId="14B8D783" w14:textId="268C4361" w:rsidR="00E06D29" w:rsidRPr="004D7228" w:rsidRDefault="00E06D29" w:rsidP="004D7228">
      <w:pPr>
        <w:pStyle w:val="ListParagraph"/>
        <w:numPr>
          <w:ilvl w:val="0"/>
          <w:numId w:val="2"/>
        </w:numPr>
        <w:spacing w:after="100" w:afterAutospacing="1" w:line="240" w:lineRule="auto"/>
        <w:ind w:left="284" w:hanging="284"/>
        <w:rPr>
          <w:rFonts w:ascii="Times New Roman" w:hAnsi="Times New Roman" w:cs="Times New Roman"/>
          <w:lang w:val="en-US"/>
        </w:rPr>
      </w:pPr>
      <w:bookmarkStart w:id="116" w:name="_Ref528918119"/>
      <w:r>
        <w:rPr>
          <w:rFonts w:ascii="Times New Roman" w:hAnsi="Times New Roman" w:cs="Times New Roman"/>
          <w:lang w:val="en-US"/>
        </w:rPr>
        <w:t>The alternative investment cost</w:t>
      </w:r>
      <w:bookmarkEnd w:id="116"/>
      <w:r>
        <w:rPr>
          <w:rFonts w:ascii="Times New Roman" w:hAnsi="Times New Roman" w:cs="Times New Roman"/>
          <w:lang w:val="en-US"/>
        </w:rPr>
        <w:t xml:space="preserve"> </w:t>
      </w:r>
      <w:r w:rsidR="00264F75">
        <w:rPr>
          <w:rFonts w:ascii="Times New Roman" w:hAnsi="Times New Roman" w:cs="Times New Roman"/>
          <w:lang w:val="en-US"/>
        </w:rPr>
        <w:t xml:space="preserve">in M€2015/MW </w:t>
      </w:r>
      <w:r w:rsidR="00E60026">
        <w:rPr>
          <w:rFonts w:ascii="Times New Roman" w:hAnsi="Times New Roman" w:cs="Times New Roman"/>
          <w:lang w:val="en-US"/>
        </w:rPr>
        <w:t xml:space="preserve">is specified for a </w:t>
      </w:r>
      <w:r w:rsidR="00674516">
        <w:rPr>
          <w:rFonts w:ascii="Times New Roman" w:hAnsi="Times New Roman" w:cs="Times New Roman"/>
          <w:lang w:val="en-US"/>
        </w:rPr>
        <w:t>4</w:t>
      </w:r>
      <w:r w:rsidR="00E60026">
        <w:rPr>
          <w:rFonts w:ascii="Times New Roman" w:hAnsi="Times New Roman" w:cs="Times New Roman"/>
          <w:lang w:val="en-US"/>
        </w:rPr>
        <w:t xml:space="preserve">C, </w:t>
      </w:r>
      <w:r w:rsidR="00674516">
        <w:rPr>
          <w:rFonts w:ascii="Times New Roman" w:hAnsi="Times New Roman" w:cs="Times New Roman"/>
          <w:lang w:val="en-US"/>
        </w:rPr>
        <w:t>0.25</w:t>
      </w:r>
      <w:r w:rsidR="00E60026">
        <w:rPr>
          <w:rFonts w:ascii="Times New Roman" w:hAnsi="Times New Roman" w:cs="Times New Roman"/>
          <w:lang w:val="en-US"/>
        </w:rPr>
        <w:t xml:space="preserve"> h system</w:t>
      </w:r>
      <w:r w:rsidR="00674516">
        <w:rPr>
          <w:rFonts w:ascii="Times New Roman" w:hAnsi="Times New Roman" w:cs="Times New Roman"/>
          <w:lang w:val="en-US"/>
        </w:rPr>
        <w:t xml:space="preserve"> as for the </w:t>
      </w:r>
      <w:r w:rsidR="00674516" w:rsidRPr="00674516">
        <w:rPr>
          <w:rFonts w:ascii="Times New Roman" w:hAnsi="Times New Roman" w:cs="Times New Roman"/>
          <w:lang w:val="en-US"/>
        </w:rPr>
        <w:t xml:space="preserve">Laurel Mountain, West Virginia, USA grid-scale LIB storage system </w:t>
      </w:r>
      <w:r w:rsidR="00674516" w:rsidRPr="00674516">
        <w:rPr>
          <w:rFonts w:ascii="Times New Roman" w:hAnsi="Times New Roman" w:cs="Times New Roman"/>
          <w:lang w:val="en-US"/>
        </w:rPr>
        <w:fldChar w:fldCharType="begin" w:fldLock="1"/>
      </w:r>
      <w:r w:rsidR="00674516" w:rsidRPr="00674516">
        <w:rPr>
          <w:rFonts w:ascii="Times New Roman" w:hAnsi="Times New Roman" w:cs="Times New Roman"/>
          <w:lang w:val="en-US"/>
        </w:rPr>
        <w:instrText>ADDIN CSL_CITATION {"citationItems":[{"id":"ITEM-1","itemData":{"URL":"http://energystorage.org/energy-storage/case-studies/frequency-regulation-services-and-firm-wind-product-aes-energy-storage","author":[{"dropping-particle":"","family":"Energy Storage Association","given":"","non-dropping-particle":"","parse-names":false,"suffix":""}],"id":"ITEM-1","issued":{"date-parts":[["2018"]]},"page":"1-2","title":"Frequency Regulation Services and a Firm Wind Product: AES Energy Storage Laurel Mountain Battery Energy Storage","type":"webpage"},"uris":["http://www.mendeley.com/documents/?uuid=e7e05aa4-40ec-477d-820e-622beb82b2d8","http://www.mendeley.com/documents/?uuid=6fdd9f87-4ea8-4ec5-b7d8-77a678edd2e4","http://www.mendeley.com/documents/?uuid=9d6c3288-5833-4495-8c58-65e03a4e4678"]}],"mendeley":{"formattedCitation":"[41]","plainTextFormattedCitation":"[41]","previouslyFormattedCitation":"[41]"},"properties":{"noteIndex":0},"schema":"https://github.com/citation-style-language/schema/raw/master/csl-citation.json"}</w:instrText>
      </w:r>
      <w:r w:rsidR="00674516" w:rsidRPr="00674516">
        <w:rPr>
          <w:rFonts w:ascii="Times New Roman" w:hAnsi="Times New Roman" w:cs="Times New Roman"/>
          <w:lang w:val="en-US"/>
        </w:rPr>
        <w:fldChar w:fldCharType="separate"/>
      </w:r>
      <w:r w:rsidR="00674516" w:rsidRPr="00674516">
        <w:rPr>
          <w:rFonts w:ascii="Times New Roman" w:hAnsi="Times New Roman" w:cs="Times New Roman"/>
          <w:lang w:val="en-US"/>
        </w:rPr>
        <w:t>[41]</w:t>
      </w:r>
      <w:r w:rsidR="00674516" w:rsidRPr="00674516">
        <w:rPr>
          <w:rFonts w:ascii="Times New Roman" w:hAnsi="Times New Roman" w:cs="Times New Roman"/>
          <w:lang w:val="en-US"/>
        </w:rPr>
        <w:fldChar w:fldCharType="end"/>
      </w:r>
      <w:r w:rsidR="00674516">
        <w:rPr>
          <w:rFonts w:ascii="Times New Roman" w:hAnsi="Times New Roman" w:cs="Times New Roman"/>
          <w:lang w:val="en-US"/>
        </w:rPr>
        <w:t>. I.e. the alternative investment cost is 25% of the e</w:t>
      </w:r>
      <w:r w:rsidR="00674516" w:rsidRPr="00674516">
        <w:rPr>
          <w:rFonts w:ascii="Times New Roman" w:hAnsi="Times New Roman" w:cs="Times New Roman"/>
          <w:lang w:val="en-US"/>
        </w:rPr>
        <w:t xml:space="preserve">nergy storage expansion cost </w:t>
      </w:r>
      <w:r w:rsidR="00674516">
        <w:rPr>
          <w:rFonts w:ascii="Times New Roman" w:hAnsi="Times New Roman" w:cs="Times New Roman"/>
          <w:lang w:val="en-US"/>
        </w:rPr>
        <w:t xml:space="preserve">plus the PCS </w:t>
      </w:r>
      <w:r w:rsidR="00775E92">
        <w:rPr>
          <w:rFonts w:ascii="Times New Roman" w:hAnsi="Times New Roman" w:cs="Times New Roman"/>
          <w:lang w:val="en-US"/>
        </w:rPr>
        <w:t>cost</w:t>
      </w:r>
      <w:r w:rsidR="00674516">
        <w:rPr>
          <w:rFonts w:ascii="Times New Roman" w:hAnsi="Times New Roman" w:cs="Times New Roman"/>
          <w:lang w:val="en-US"/>
        </w:rPr>
        <w:t xml:space="preserve"> </w:t>
      </w:r>
      <w:r w:rsidR="00674516" w:rsidRPr="00674516">
        <w:rPr>
          <w:rFonts w:ascii="Times New Roman" w:hAnsi="Times New Roman" w:cs="Times New Roman"/>
          <w:lang w:val="en-US"/>
        </w:rPr>
        <w:fldChar w:fldCharType="begin" w:fldLock="1"/>
      </w:r>
      <w:r w:rsidR="00674516" w:rsidRPr="00674516">
        <w:rPr>
          <w:rFonts w:ascii="Times New Roman" w:hAnsi="Times New Roman" w:cs="Times New Roman"/>
          <w:lang w:val="en-US"/>
        </w:rPr>
        <w:instrText>ADDIN CSL_CITATION {"citationItems":[{"id":"ITEM-1","itemData":{"DOI":"10.3390/en10010108","ISSN":"19961073","abstract":"This paper offers a wide overview on the large-scale electrochemical energy projects installed in the high voltage Italian grid. Detailed descriptions of energy (charge/discharge times of about 8 h) and power intensive (charge/discharge times ranging from 0.5 h to 4 h) installations are presented with some insights into the authorization procedures, safety features, and ancillary services. These different charge/discharge times reflect the different operation uses inside the electric grid. Energy intensive storage aims at decoupling generation and utilization since, in the southern part of Italy, there has been a great growth of wind farms: these areas are characterized by a surplus of generation with respect to load absorption and to the net transport capacity of the 150 kV high voltage backbones. Power intensive storage aims at providing ancillary services inside the electric grid as primary and secondary frequency regulation, synthetic rotational inertia, and further functionalities. The return on experience of Italian installations will be able to play a key role also for other countries and other transmission system operators.","author":[{"dropping-particle":"","family":"Benato","given":"Roberto","non-dropping-particle":"","parse-names":false,"suffix":""},{"dropping-particle":"","family":"Bruno","given":"Gianluca","non-dropping-particle":"","parse-names":false,"suffix":""},{"dropping-particle":"","family":"Palone","given":"Francesco","non-dropping-particle":"","parse-names":false,"suffix":""},{"dropping-particle":"","family":"Polito","given":"Rosario M.","non-dropping-particle":"","parse-names":false,"suffix":""},{"dropping-particle":"","family":"Rebolini","given":"Massimo","non-dropping-particle":"","parse-names":false,"suffix":""}],"container-title":"Energies","id":"ITEM-1","issue":"1","issued":{"date-parts":[["2017"]]},"title":"Large-scale electrochemical energy storage in high voltage grids: Overview of the Italian experience","type":"article-journal","volume":"10"},"uris":["http://www.mendeley.com/documents/?uuid=784a9ee3-2811-4661-8fe3-7517902c873f"]},{"id":"ITEM-2","itemData":{"DOI":"10.1016/j.rser.2014.10.011","ISBN":"1364-0321","ISSN":"13640321","abstract":"Large-scale deployment of intermittent renewable energy (namely wind energy and solar PV) may entail new challenges in power systems and more volatility in power prices in liberalized electricity markets. Energy storage can diminish this imbalance, relieving the grid congestion, and promoting distributed generation. The economic implications of grid-scale electrical energy storage technologies are however obscure for the experts, power grid operators, regulators, and power producers. A meticulous technoeconomic or cost-benefit analysis of electricity storage systems requires consistent, updated cost data and a holistic cost analysis framework. To this end, this study critically examines the existing literature in the analysis of life cycle costs of utility-scale electricity storage systems, providing an updated database for the cost elements (capital costs, operational and maintenance costs, and replacement costs). Moreover, life cycle costs and levelized cost of electricity delivered by electrical energy storage is analyzed, employing Monte Carlo method to consider uncertainties. The examined energy storage technologies include pumped hydropower storage, compressed air energy storage (CAES), flywheel, electrochemical batteries (e.g. lead-acid, NaS, Li-ion, and Ni-Cd), flow batteries (e.g. vanadium-redox), superconducting magnetic energy storage, supercapacitors, and hydrogen energy storage (power to gas technologies). The results illustrate the economy of different storage systems for three main applications: bulk energy storage, T&amp;D support services, and frequency regulation.","author":[{"dropping-particle":"","family":"Zakeri","given":"Behnam","non-dropping-particle":"","parse-names":false,"suffix":""},{"dropping-particle":"","family":"Syri","given":"Sanna","non-dropping-particle":"","parse-names":false,"suffix":""}],"container-title":"Renewable and Sustainable Energy Reviews","id":"ITEM-2","issued":{"date-parts":[["2015"]]},"page":"569-596","publisher":"Elsevier","title":"Electrical energy storage systems: A comparative life cycle cost analysis","type":"article-journal","volume":"42"},"uris":["http://www.mendeley.com/documents/?uuid=ed24dad4-ad20-4717-90f6-1ba73103b412","http://www.mendeley.com/documents/?uuid=f6d7c79f-22cc-4fe6-aafa-ad68ccce8797","http://www.mendeley.com/documents/?uuid=8b6c9318-6d50-48b5-bd42-237a97c1deae"]},{"id":"ITEM-3","itemData":{"DOI":"SAND2013-5131","ISBN":"SAND2013-5131","abstract":"The Electricity Storage Handbook (Handbook) is a how-to guide for utility and rural cooperative engineers, planners, and decision makers to plan and implement energy storage projects. The Handbook also serves as an information resource for investors and venture capitalists, providing the latest developments in technologies and tools to guide their evaluations of energy storage opportunities. It includes a comprehensive database of the cost of current storage systems in a wide variety of electric utility and customer services, along with interconnection schematics. A list of significant past and present energy storage projects is provided for a practical perspective. This Handbook, jointly sponsored by the U.S. Department of Energy and the Electric Power Research Institute in collaboration with the National Rural Electric Cooperative Association, is published in electronic form at www.sandia.gov/ess.","author":[{"dropping-particle":"","family":"Huff","given":"Georgianne","non-dropping-particle":"","parse-names":false,"suffix":""},{"dropping-particle":"","family":"Currier","given":"Aileen B.","non-dropping-particle":"","parse-names":false,"suffix":""},{"dropping-particle":"","family":"Kaun","given":"Benjamin C.","non-dropping-particle":"","parse-names":false,"suffix":""},{"dropping-particle":"","family":"Rastler","given":"Dan M.","non-dropping-particle":"","parse-names":false,"suffix":""},{"dropping-particle":"","family":"Chen","given":"Stella Bingqing","non-dropping-particle":"","parse-names":false,"suffix":""},{"dropping-particle":"","family":"Bradshaw","given":"Dale T.","non-dropping-particle":"","parse-names":false,"suffix":""},{"dropping-particle":"","family":"Gauntlett","given":"William D.","non-dropping-particle":"","parse-names":false,"suffix":""}],"container-title":"Report SAND2013- …","id":"ITEM-3","issue":"July","issued":{"date-parts":[["2013"]]},"number-of-pages":"340","title":"DOE/EPRI 2013 electricity storage handbook in collaboration with NRECA","type":"report"},"uris":["http://www.mendeley.com/documents/?uuid=3186654e-214c-451c-a7b1-4876c9bb2657","http://www.mendeley.com/documents/?uuid=324174d6-54cb-4e5f-99b0-53f2aafbf7c4","http://www.mendeley.com/documents/?uuid=3faac734-aa45-41d5-ac65-f5174d6d9e3c"]},{"id":"ITEM-4","itemData":{"URL":"https://bnef.turtl.co/story/neo2018.pdf?autoprint=true&amp;teaser=true","author":[{"dropping-particle":"","family":"Bloomberg New Energy Finance","given":"","non-dropping-particle":"","parse-names":false,"suffix":""}],"id":"ITEM-4","issued":{"date-parts":[["2018"]]},"title":"New Energy Outlook 2018","type":"webpage"},"uris":["http://www.mendeley.com/documents/?uuid=6c087b37-53e2-47c6-b97f-c3beaf314c66"]},{"id":"ITEM-5","itemData":{"ISBN":"0065-4299","abstract":"Renewable energy","author":[{"dropping-particle":"","family":"International Renewable Energy Agency","given":"","non-dropping-particle":"","parse-names":false,"suffix":""}],"id":"ITEM-5","issue":"January","issued":{"date-parts":[["2015"]]},"number-of-pages":"1-60","title":"IRENA Battery Storage Report 2015","type":"report"},"uris":["http://www.mendeley.com/documents/?uuid=f37efa12-4f6d-4ea8-b094-05d3d7be7f5e"]},{"id":"ITEM-6","itemData":{"URL":"http://energystorage.org/energy-storage/case-studies/frequency-regulation-services-and-firm-wind-product-aes-energy-storage","author":[{"dropping-particle":"","family":"Energy Storage Association","given":"","non-dropping-particle":"","parse-names":false,"suffix":""}],"id":"ITEM-6","issued":{"date-parts":[["2018"]]},"page":"1-2","title":"Frequency Regulation Services and a Firm Wind Product: AES Energy Storage Laurel Mountain Battery Energy Storage","type":"webpage"},"uris":["http://www.mendeley.com/documents/?uuid=e7e05aa4-40ec-477d-820e-622beb82b2d8","http://www.mendeley.com/documents/?uuid=6fdd9f87-4ea8-4ec5-b7d8-77a678edd2e4","http://www.mendeley.com/documents/?uuid=9d6c3288-5833-4495-8c58-65e03a4e4678"]}],"mendeley":{"formattedCitation":"[41,44,48,54–56]","plainTextFormattedCitation":"[41,44,48,54–56]"},"properties":{"noteIndex":0},"schema":"https://github.com/citation-style-language/schema/raw/master/csl-citation.json"}</w:instrText>
      </w:r>
      <w:r w:rsidR="00674516" w:rsidRPr="00674516">
        <w:rPr>
          <w:rFonts w:ascii="Times New Roman" w:hAnsi="Times New Roman" w:cs="Times New Roman"/>
          <w:lang w:val="en-US"/>
        </w:rPr>
        <w:fldChar w:fldCharType="separate"/>
      </w:r>
      <w:r w:rsidR="00674516" w:rsidRPr="00674516">
        <w:rPr>
          <w:rFonts w:ascii="Times New Roman" w:hAnsi="Times New Roman" w:cs="Times New Roman"/>
          <w:lang w:val="en-US"/>
        </w:rPr>
        <w:t>[41,44,48,54–56]</w:t>
      </w:r>
      <w:r w:rsidR="00674516" w:rsidRPr="00674516">
        <w:rPr>
          <w:rFonts w:ascii="Times New Roman" w:hAnsi="Times New Roman" w:cs="Times New Roman"/>
          <w:lang w:val="en-US"/>
        </w:rPr>
        <w:fldChar w:fldCharType="end"/>
      </w:r>
      <w:r w:rsidR="00674516">
        <w:rPr>
          <w:rFonts w:ascii="Times New Roman" w:hAnsi="Times New Roman" w:cs="Times New Roman"/>
          <w:lang w:val="en-US"/>
        </w:rPr>
        <w:t>.</w:t>
      </w:r>
    </w:p>
    <w:p w14:paraId="5181C467" w14:textId="2E35CF66" w:rsidR="00684C45" w:rsidRPr="004D7228" w:rsidRDefault="00017AF2"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bookmarkStart w:id="117" w:name="_Ref528593310"/>
      <w:bookmarkStart w:id="118" w:name="_Ref528669265"/>
      <w:bookmarkEnd w:id="114"/>
      <w:r w:rsidRPr="004D7228">
        <w:rPr>
          <w:rFonts w:ascii="Times New Roman" w:hAnsi="Times New Roman" w:cs="Times New Roman"/>
          <w:lang w:val="en-US"/>
        </w:rPr>
        <w:t>Cycle</w:t>
      </w:r>
      <w:r w:rsidR="00E27C0F" w:rsidRPr="004D7228">
        <w:rPr>
          <w:rFonts w:ascii="Times New Roman" w:hAnsi="Times New Roman" w:cs="Times New Roman"/>
          <w:lang w:val="en-US"/>
        </w:rPr>
        <w:t xml:space="preserve"> </w:t>
      </w:r>
      <w:r w:rsidRPr="004D7228">
        <w:rPr>
          <w:rFonts w:ascii="Times New Roman" w:hAnsi="Times New Roman" w:cs="Times New Roman"/>
          <w:lang w:val="en-US"/>
        </w:rPr>
        <w:t>life specified as the number of cycles at 1C/1C to 80</w:t>
      </w:r>
      <w:r w:rsidR="00C86F85" w:rsidRPr="004D7228">
        <w:rPr>
          <w:rFonts w:ascii="Times New Roman" w:hAnsi="Times New Roman" w:cs="Times New Roman"/>
          <w:lang w:val="en-US"/>
        </w:rPr>
        <w:t>%</w:t>
      </w:r>
      <w:r w:rsidRPr="004D7228">
        <w:rPr>
          <w:rFonts w:ascii="Times New Roman" w:hAnsi="Times New Roman" w:cs="Times New Roman"/>
          <w:lang w:val="en-US"/>
        </w:rPr>
        <w:t xml:space="preserve"> state-of-health.</w:t>
      </w:r>
      <w:r w:rsidR="00E373C1" w:rsidRPr="004D7228">
        <w:rPr>
          <w:rFonts w:ascii="Times New Roman" w:hAnsi="Times New Roman" w:cs="Times New Roman"/>
          <w:lang w:val="en-US"/>
        </w:rPr>
        <w:t xml:space="preserve"> </w:t>
      </w:r>
      <w:r w:rsidR="00684C45" w:rsidRPr="004D7228">
        <w:rPr>
          <w:rFonts w:ascii="Times New Roman" w:hAnsi="Times New Roman" w:cs="Times New Roman"/>
          <w:lang w:val="en-US"/>
        </w:rPr>
        <w:t xml:space="preserve">Samsung SDI 2016 </w:t>
      </w:r>
      <w:r w:rsidR="00684C45" w:rsidRPr="004D7228">
        <w:rPr>
          <w:rFonts w:ascii="Times New Roman" w:hAnsi="Times New Roman" w:cs="Times New Roman"/>
          <w:noProof/>
          <w:lang w:val="en-US"/>
        </w:rPr>
        <w:t>whitepaper</w:t>
      </w:r>
      <w:r w:rsidR="00684C45" w:rsidRPr="004D7228">
        <w:rPr>
          <w:rFonts w:ascii="Times New Roman" w:hAnsi="Times New Roman" w:cs="Times New Roman"/>
          <w:lang w:val="en-US"/>
        </w:rPr>
        <w:t xml:space="preserve"> on ESS solutions provide 15 year lifetime for current modules operating at C/2 to 3C </w:t>
      </w:r>
      <w:r w:rsidR="00C828CC" w:rsidRPr="00C828CC">
        <w:rPr>
          <w:rFonts w:ascii="Times New Roman" w:hAnsi="Times New Roman" w:cs="Times New Roman"/>
        </w:rPr>
        <w:fldChar w:fldCharType="begin" w:fldLock="1"/>
      </w:r>
      <w:r w:rsidR="00C828CC">
        <w:rPr>
          <w:rFonts w:ascii="Times New Roman" w:hAnsi="Times New Roman" w:cs="Times New Roman"/>
          <w:lang w:val="en-US"/>
        </w:rPr>
        <w:instrText>ADDIN CSL_CITATION {"citationItems":[{"id":"ITEM-1","itemData":{"URL":"http://www.samsungsdi.com/upload/ess_brochure/Samsung SDI brochure_EN.pdf","author":[{"dropping-particle":"","family":"Samsung","given":"","non-dropping-particle":"","parse-names":false,"suffix":""}],"id":"ITEM-1","issued":{"date-parts":[["2016"]]},"title":"Smart Battery Systems for Energy Storage","type":"webpage"},"uris":["http://www.mendeley.com/documents/?uuid=aa5734ba-3c56-47bf-9618-c8840e938469"]}],"mendeley":{"formattedCitation":"[14]","plainTextFormattedCitation":"[14]","previouslyFormattedCitation":"[14]"},"properties":{"noteIndex":0},"schema":"https://github.com/citation-style-language/schema/raw/master/csl-citation.json"}</w:instrText>
      </w:r>
      <w:r w:rsidR="00C828CC" w:rsidRPr="00C828CC">
        <w:rPr>
          <w:rFonts w:ascii="Times New Roman" w:hAnsi="Times New Roman" w:cs="Times New Roman"/>
        </w:rPr>
        <w:fldChar w:fldCharType="separate"/>
      </w:r>
      <w:r w:rsidR="00C828CC" w:rsidRPr="00C828CC">
        <w:rPr>
          <w:rFonts w:ascii="Times New Roman" w:hAnsi="Times New Roman" w:cs="Times New Roman"/>
          <w:noProof/>
          <w:lang w:val="en-US"/>
        </w:rPr>
        <w:t>[14]</w:t>
      </w:r>
      <w:r w:rsidR="00C828CC" w:rsidRPr="00C828CC">
        <w:rPr>
          <w:rFonts w:ascii="Times New Roman" w:hAnsi="Times New Roman" w:cs="Times New Roman"/>
          <w:lang w:val="en-US"/>
        </w:rPr>
        <w:fldChar w:fldCharType="end"/>
      </w:r>
      <w:r w:rsidR="00684C45" w:rsidRPr="004D7228">
        <w:rPr>
          <w:rFonts w:ascii="Times New Roman" w:hAnsi="Times New Roman" w:cs="Times New Roman"/>
          <w:lang w:val="en-US"/>
        </w:rPr>
        <w:t xml:space="preserve">. Steady improvement in battery </w:t>
      </w:r>
      <w:r w:rsidR="00684C45" w:rsidRPr="004D7228">
        <w:rPr>
          <w:rFonts w:ascii="Times New Roman" w:hAnsi="Times New Roman" w:cs="Times New Roman"/>
          <w:noProof/>
          <w:lang w:val="en-US"/>
        </w:rPr>
        <w:t>lifetime</w:t>
      </w:r>
      <w:r w:rsidR="00684C45" w:rsidRPr="004D7228">
        <w:rPr>
          <w:rFonts w:ascii="Times New Roman" w:hAnsi="Times New Roman" w:cs="Times New Roman"/>
          <w:lang w:val="en-US"/>
        </w:rPr>
        <w:t xml:space="preserve"> due to better materials and battery management</w:t>
      </w:r>
      <w:r w:rsidR="004B3A8B">
        <w:rPr>
          <w:rFonts w:ascii="Times New Roman" w:hAnsi="Times New Roman" w:cs="Times New Roman"/>
          <w:lang w:val="en-US"/>
        </w:rPr>
        <w:t xml:space="preserve"> is</w:t>
      </w:r>
      <w:r w:rsidR="00684C45" w:rsidRPr="004D7228">
        <w:rPr>
          <w:rFonts w:ascii="Times New Roman" w:hAnsi="Times New Roman" w:cs="Times New Roman"/>
          <w:lang w:val="en-US"/>
        </w:rPr>
        <w:t xml:space="preserve"> expected. </w:t>
      </w:r>
      <w:proofErr w:type="spellStart"/>
      <w:r w:rsidR="00684C45" w:rsidRPr="004D7228">
        <w:rPr>
          <w:rFonts w:ascii="Times New Roman" w:hAnsi="Times New Roman" w:cs="Times New Roman"/>
          <w:lang w:val="en-US"/>
        </w:rPr>
        <w:t>Kokam</w:t>
      </w:r>
      <w:proofErr w:type="spellEnd"/>
      <w:r w:rsidR="00684C45" w:rsidRPr="004D7228">
        <w:rPr>
          <w:rFonts w:ascii="Times New Roman" w:hAnsi="Times New Roman" w:cs="Times New Roman"/>
          <w:lang w:val="en-US"/>
        </w:rPr>
        <w:t xml:space="preserve"> ESS solutions </w:t>
      </w:r>
      <w:r w:rsidR="00684C45" w:rsidRPr="004D7228">
        <w:rPr>
          <w:rFonts w:ascii="Times New Roman" w:hAnsi="Times New Roman" w:cs="Times New Roman"/>
          <w:noProof/>
          <w:lang w:val="en-US"/>
        </w:rPr>
        <w:t>are also rated</w:t>
      </w:r>
      <w:r w:rsidR="00684C45" w:rsidRPr="004D7228">
        <w:rPr>
          <w:rFonts w:ascii="Times New Roman" w:hAnsi="Times New Roman" w:cs="Times New Roman"/>
          <w:lang w:val="en-US"/>
        </w:rPr>
        <w:t xml:space="preserve"> at more than 8000-20000 cycles (80-90% DOD) based on chemistry</w:t>
      </w:r>
      <w:r w:rsidR="00D05697">
        <w:rPr>
          <w:rFonts w:ascii="Times New Roman" w:hAnsi="Times New Roman" w:cs="Times New Roman"/>
          <w:lang w:val="en-US"/>
        </w:rPr>
        <w:t xml:space="preserve"> </w:t>
      </w:r>
      <w:r w:rsidR="00D05697">
        <w:rPr>
          <w:rFonts w:ascii="Times New Roman" w:hAnsi="Times New Roman" w:cs="Times New Roman"/>
          <w:lang w:val="en-US"/>
        </w:rPr>
        <w:fldChar w:fldCharType="begin" w:fldLock="1"/>
      </w:r>
      <w:r w:rsidR="00D05697">
        <w:rPr>
          <w:rFonts w:ascii="Times New Roman" w:hAnsi="Times New Roman" w:cs="Times New Roman"/>
          <w:lang w:val="en-US"/>
        </w:rPr>
        <w:instrText>ADDIN CSL_CITATION {"citationItems":[{"id":"ITEM-1","itemData":{"author":[{"dropping-particle":"","family":"Kokam Co.","given":"Ltd.","non-dropping-particle":"","parse-names":false,"suffix":""}],"id":"ITEM-1","issued":{"date-parts":[["2018"]]},"title":"Total Energy Storage Solution Provider","type":"article-journal"},"uris":["http://www.mendeley.com/documents/?uuid=6292833a-db6b-4e5f-a323-c417fd09c817"]}],"mendeley":{"formattedCitation":"[3]","plainTextFormattedCitation":"[3]","previouslyFormattedCitation":"[3]"},"properties":{"noteIndex":0},"schema":"https://github.com/citation-style-language/schema/raw/master/csl-citation.json"}</w:instrText>
      </w:r>
      <w:r w:rsidR="00D05697">
        <w:rPr>
          <w:rFonts w:ascii="Times New Roman" w:hAnsi="Times New Roman" w:cs="Times New Roman"/>
          <w:lang w:val="en-US"/>
        </w:rPr>
        <w:fldChar w:fldCharType="separate"/>
      </w:r>
      <w:r w:rsidR="00D05697" w:rsidRPr="00D05697">
        <w:rPr>
          <w:rFonts w:ascii="Times New Roman" w:hAnsi="Times New Roman" w:cs="Times New Roman"/>
          <w:noProof/>
          <w:lang w:val="en-US"/>
        </w:rPr>
        <w:t>[3]</w:t>
      </w:r>
      <w:r w:rsidR="00D05697">
        <w:rPr>
          <w:rFonts w:ascii="Times New Roman" w:hAnsi="Times New Roman" w:cs="Times New Roman"/>
          <w:lang w:val="en-US"/>
        </w:rPr>
        <w:fldChar w:fldCharType="end"/>
      </w:r>
      <w:r w:rsidR="00684C45" w:rsidRPr="004D7228">
        <w:rPr>
          <w:rFonts w:ascii="Times New Roman" w:hAnsi="Times New Roman" w:cs="Times New Roman"/>
          <w:lang w:val="en-US"/>
        </w:rPr>
        <w:t xml:space="preserve">. Thus for daily full </w:t>
      </w:r>
      <w:r w:rsidR="00684C45" w:rsidRPr="004D7228">
        <w:rPr>
          <w:rFonts w:ascii="Times New Roman" w:hAnsi="Times New Roman" w:cs="Times New Roman"/>
          <w:noProof/>
          <w:lang w:val="en-US"/>
        </w:rPr>
        <w:t>charge-discharge</w:t>
      </w:r>
      <w:r w:rsidR="00684C45" w:rsidRPr="004D7228">
        <w:rPr>
          <w:rFonts w:ascii="Times New Roman" w:hAnsi="Times New Roman" w:cs="Times New Roman"/>
          <w:lang w:val="en-US"/>
        </w:rPr>
        <w:t xml:space="preserve"> </w:t>
      </w:r>
      <w:r w:rsidR="00684C45" w:rsidRPr="004D7228">
        <w:rPr>
          <w:rFonts w:ascii="Times New Roman" w:hAnsi="Times New Roman" w:cs="Times New Roman"/>
          <w:noProof/>
          <w:lang w:val="en-US"/>
        </w:rPr>
        <w:t>cycles,</w:t>
      </w:r>
      <w:r w:rsidR="00684C45" w:rsidRPr="004D7228">
        <w:rPr>
          <w:rFonts w:ascii="Times New Roman" w:hAnsi="Times New Roman" w:cs="Times New Roman"/>
          <w:lang w:val="en-US"/>
        </w:rPr>
        <w:t xml:space="preserve"> the batteries are designed to last for 15-50 years if supporting units are well functioning. Lifetimes </w:t>
      </w:r>
      <w:r w:rsidR="00684C45" w:rsidRPr="004D7228">
        <w:rPr>
          <w:rFonts w:ascii="Times New Roman" w:hAnsi="Times New Roman" w:cs="Times New Roman"/>
          <w:noProof/>
          <w:lang w:val="en-US"/>
        </w:rPr>
        <w:t>are given</w:t>
      </w:r>
      <w:r w:rsidR="00684C45" w:rsidRPr="004D7228">
        <w:rPr>
          <w:rFonts w:ascii="Times New Roman" w:hAnsi="Times New Roman" w:cs="Times New Roman"/>
          <w:lang w:val="en-US"/>
        </w:rPr>
        <w:t xml:space="preserve"> for both graphite and LTO anode based commercial batteries from </w:t>
      </w:r>
      <w:proofErr w:type="spellStart"/>
      <w:r w:rsidR="00684C45" w:rsidRPr="004D7228">
        <w:rPr>
          <w:rFonts w:ascii="Times New Roman" w:hAnsi="Times New Roman" w:cs="Times New Roman"/>
          <w:lang w:val="en-US"/>
        </w:rPr>
        <w:t>Kokam</w:t>
      </w:r>
      <w:proofErr w:type="spellEnd"/>
      <w:r w:rsidR="00684C45" w:rsidRPr="004D7228">
        <w:rPr>
          <w:rFonts w:ascii="Times New Roman" w:hAnsi="Times New Roman" w:cs="Times New Roman"/>
          <w:lang w:val="en-US"/>
        </w:rPr>
        <w:t>. Cycle lives are steadily increasing over last few years as reflected in 2020/2030 numbers</w:t>
      </w:r>
      <w:r w:rsidR="00C828CC">
        <w:rPr>
          <w:rFonts w:ascii="Times New Roman" w:hAnsi="Times New Roman" w:cs="Times New Roman"/>
          <w:lang w:val="en-US"/>
        </w:rPr>
        <w:t xml:space="preserve"> </w:t>
      </w:r>
      <w:r w:rsidR="00C828CC" w:rsidRPr="00C828CC">
        <w:rPr>
          <w:rFonts w:ascii="Times New Roman" w:hAnsi="Times New Roman" w:cs="Times New Roman"/>
        </w:rPr>
        <w:fldChar w:fldCharType="begin" w:fldLock="1"/>
      </w:r>
      <w:r w:rsidR="00C828CC" w:rsidRPr="00C828CC">
        <w:rPr>
          <w:rFonts w:ascii="Times New Roman" w:hAnsi="Times New Roman" w:cs="Times New Roman"/>
          <w:lang w:val="en-US"/>
        </w:rPr>
        <w:instrText>ADDIN CSL_CITATION {"citationItems":[{"id":"ITEM-1","itemData":{"URL":"http://www.samsungsdi.com/upload/ess_brochure/Samsung SDI brochure_EN.pdf","author":[{"dropping-particle":"","family":"Samsung","given":"","non-dropping-particle":"","parse-names":false,"suffix":""}],"id":"ITEM-1","issued":{"date-parts":[["2016"]]},"title":"Smart Battery Systems for Energy Storage","type":"webpage"},"uris":["http://www.mendeley.com/documents/?uuid=aa5734ba-3c56-47bf-9618-c8840e938469"]},{"id":"ITEM-2","itemData":{"URL":"https://www.ads-tec.de/fileadmin/download/doc/brochure/Datasheet_Energy_Industrial_EN.pdf","author":[{"dropping-particle":"","family":"adstec","given":"","non-dropping-particle":"","parse-names":false,"suffix":""}],"id":"ITEM-2","issued":{"date-parts":[["2018"]]},"title":"StoraXe Industrial &amp; Infrastructure Scalable battery storage system","type":"webpage"},"uris":["http://www.mendeley.com/documents/?uuid=2f3bd72e-b3eb-48ee-ad97-c8a6359d05f0"]},{"id":"ITEM-3","itemData":{"author":[{"dropping-particle":"","family":"Kokam Co.","given":"Ltd.","non-dropping-particle":"","parse-names":false,"suffix":""}],"id":"ITEM-3","issued":{"date-parts":[["2017"]]},"page":"1","title":"Kokam Li-ion / Polymer Cell","type":"article-journal"},"uris":["http://www.mendeley.com/documents/?uuid=3e0e91c0-5fbe-4912-843b-5a01f5d4b414"]}],"mendeley":{"formattedCitation":"[4,5,14]","plainTextFormattedCitation":"[4,5,14]","previouslyFormattedCitation":"[4,5,14]"},"properties":{"noteIndex":0},"schema":"https://github.com/citation-style-language/schema/raw/master/csl-citation.json"}</w:instrText>
      </w:r>
      <w:r w:rsidR="00C828CC" w:rsidRPr="00C828CC">
        <w:rPr>
          <w:rFonts w:ascii="Times New Roman" w:hAnsi="Times New Roman" w:cs="Times New Roman"/>
        </w:rPr>
        <w:fldChar w:fldCharType="separate"/>
      </w:r>
      <w:r w:rsidR="00C828CC" w:rsidRPr="00C828CC">
        <w:rPr>
          <w:rFonts w:ascii="Times New Roman" w:hAnsi="Times New Roman" w:cs="Times New Roman"/>
          <w:noProof/>
          <w:lang w:val="en-US"/>
        </w:rPr>
        <w:t>[4,5,14]</w:t>
      </w:r>
      <w:r w:rsidR="00C828CC" w:rsidRPr="00C828CC">
        <w:rPr>
          <w:rFonts w:ascii="Times New Roman" w:hAnsi="Times New Roman" w:cs="Times New Roman"/>
          <w:lang w:val="en-US"/>
        </w:rPr>
        <w:fldChar w:fldCharType="end"/>
      </w:r>
      <w:r w:rsidR="00684C45" w:rsidRPr="004D7228">
        <w:rPr>
          <w:rFonts w:ascii="Times New Roman" w:hAnsi="Times New Roman" w:cs="Times New Roman"/>
          <w:lang w:val="en-US"/>
        </w:rPr>
        <w:t>.</w:t>
      </w:r>
      <w:bookmarkEnd w:id="108"/>
      <w:bookmarkEnd w:id="117"/>
      <w:r w:rsidR="00684C45" w:rsidRPr="004D7228">
        <w:rPr>
          <w:rFonts w:ascii="Times New Roman" w:hAnsi="Times New Roman" w:cs="Times New Roman"/>
          <w:lang w:val="en-US"/>
        </w:rPr>
        <w:t xml:space="preserve"> </w:t>
      </w:r>
      <w:bookmarkEnd w:id="118"/>
    </w:p>
    <w:p w14:paraId="42E15707" w14:textId="73EBD513" w:rsidR="00684C45" w:rsidRPr="004D7228" w:rsidRDefault="009017CA" w:rsidP="004D7228">
      <w:pPr>
        <w:pStyle w:val="ListParagraph"/>
        <w:numPr>
          <w:ilvl w:val="0"/>
          <w:numId w:val="2"/>
        </w:numPr>
        <w:spacing w:after="100" w:afterAutospacing="1" w:line="240" w:lineRule="auto"/>
        <w:ind w:left="284" w:hanging="284"/>
        <w:jc w:val="both"/>
        <w:rPr>
          <w:rFonts w:ascii="Times New Roman" w:hAnsi="Times New Roman" w:cs="Times New Roman"/>
          <w:lang w:val="en-US"/>
        </w:rPr>
      </w:pPr>
      <w:bookmarkStart w:id="119" w:name="_Ref528670685"/>
      <w:r w:rsidRPr="004D7228">
        <w:rPr>
          <w:rFonts w:ascii="Times New Roman" w:hAnsi="Times New Roman" w:cs="Times New Roman"/>
          <w:lang w:val="en-US"/>
        </w:rPr>
        <w:lastRenderedPageBreak/>
        <w:t>Specific power</w:t>
      </w:r>
      <w:r w:rsidR="008A6A4E" w:rsidRPr="004D7228">
        <w:rPr>
          <w:rFonts w:ascii="Times New Roman" w:hAnsi="Times New Roman" w:cs="Times New Roman"/>
          <w:lang w:val="en-US"/>
        </w:rPr>
        <w:t xml:space="preserve">, </w:t>
      </w:r>
      <w:r w:rsidRPr="004D7228">
        <w:rPr>
          <w:rFonts w:ascii="Times New Roman" w:hAnsi="Times New Roman" w:cs="Times New Roman"/>
          <w:lang w:val="en-US"/>
        </w:rPr>
        <w:t>power density</w:t>
      </w:r>
      <w:r w:rsidR="008A6A4E" w:rsidRPr="004D7228">
        <w:rPr>
          <w:rFonts w:ascii="Times New Roman" w:hAnsi="Times New Roman" w:cs="Times New Roman"/>
          <w:lang w:val="en-US"/>
        </w:rPr>
        <w:t>, Specific energy and energy density</w:t>
      </w:r>
      <w:r w:rsidRPr="004D7228">
        <w:rPr>
          <w:rFonts w:ascii="Times New Roman" w:hAnsi="Times New Roman" w:cs="Times New Roman"/>
          <w:lang w:val="en-US"/>
        </w:rPr>
        <w:t xml:space="preserve"> is provided for discharge</w:t>
      </w:r>
      <w:r w:rsidR="008A6A4E" w:rsidRPr="004D7228">
        <w:rPr>
          <w:rFonts w:ascii="Times New Roman" w:hAnsi="Times New Roman" w:cs="Times New Roman"/>
          <w:lang w:val="en-US"/>
        </w:rPr>
        <w:t xml:space="preserve"> mode, starting with the values provided in the section “Typical characteristics and capacities”</w:t>
      </w:r>
      <w:r w:rsidRPr="004D7228">
        <w:rPr>
          <w:rFonts w:ascii="Times New Roman" w:hAnsi="Times New Roman" w:cs="Times New Roman"/>
          <w:lang w:val="en-US"/>
        </w:rPr>
        <w:t xml:space="preserve">. A charge/discharge conversion factor of 12 </w:t>
      </w:r>
      <w:r w:rsidR="008A6A4E" w:rsidRPr="004D7228">
        <w:rPr>
          <w:rFonts w:ascii="Times New Roman" w:hAnsi="Times New Roman" w:cs="Times New Roman"/>
          <w:lang w:val="en-US"/>
        </w:rPr>
        <w:t>can be derived from this</w:t>
      </w:r>
      <w:r w:rsidRPr="004D7228">
        <w:rPr>
          <w:rFonts w:ascii="Times New Roman" w:hAnsi="Times New Roman" w:cs="Times New Roman"/>
          <w:lang w:val="en-US"/>
        </w:rPr>
        <w:t xml:space="preserve"> section.</w:t>
      </w:r>
      <w:bookmarkEnd w:id="119"/>
      <w:r w:rsidR="00684C45" w:rsidRPr="004D7228">
        <w:rPr>
          <w:rFonts w:ascii="Times New Roman" w:hAnsi="Times New Roman" w:cs="Times New Roman"/>
          <w:lang w:val="en-US"/>
        </w:rPr>
        <w:t xml:space="preserve"> </w:t>
      </w:r>
      <w:r w:rsidR="00EB15B2" w:rsidRPr="004D7228">
        <w:rPr>
          <w:rFonts w:ascii="Times New Roman" w:hAnsi="Times New Roman" w:cs="Times New Roman"/>
          <w:lang w:val="en-US"/>
        </w:rPr>
        <w:t>The expected development depends on the successive R&amp;D progress as indicated in the section “Research and development perspectives”</w:t>
      </w:r>
      <w:r w:rsidR="00EF5E91">
        <w:rPr>
          <w:rFonts w:ascii="Times New Roman" w:hAnsi="Times New Roman" w:cs="Times New Roman"/>
          <w:lang w:val="en-US"/>
        </w:rPr>
        <w:t xml:space="preserve"> </w:t>
      </w:r>
      <w:r w:rsidR="00EF5E91" w:rsidRPr="00EF5E91">
        <w:rPr>
          <w:rFonts w:ascii="Times New Roman" w:hAnsi="Times New Roman" w:cs="Times New Roman"/>
          <w:lang w:val="en-US"/>
        </w:rPr>
        <w:fldChar w:fldCharType="begin" w:fldLock="1"/>
      </w:r>
      <w:r w:rsidR="00EF5E91" w:rsidRPr="00EF5E91">
        <w:rPr>
          <w:rFonts w:ascii="Times New Roman" w:hAnsi="Times New Roman" w:cs="Times New Roman"/>
          <w:lang w:val="en-US"/>
        </w:rPr>
        <w:instrText>ADDIN CSL_CITATION {"citationItems":[{"id":"ITEM-1","itemData":{"URL":"http://www.samsungsdi.com/upload/ess_brochure/201809_SamsungSDI ESS_EN.pdf","author":[{"dropping-particle":"","family":"Samsung","given":"","non-dropping-particle":"","parse-names":false,"suffix":""}],"id":"ITEM-1","issued":{"date-parts":[["2018"]]},"title":"ESS Batteries by Samsung SDI Top Safety &amp; Reliability Solutions","type":"webpage"},"uris":["http://www.mendeley.com/documents/?uuid=8daf1546-d22a-4e17-b6ef-d1d6ad53c301"]},{"id":"ITEM-2","itemData":{"DOI":"10.1038/ncomms9494","ISBN":"8613823769","author":[{"dropping-particle":"","family":"LG Chem","given":"","non-dropping-particle":"","parse-names":false,"suffix":""}],"id":"ITEM-2","issue":"July","issued":{"date-parts":[["2016"]]},"page":"7","title":"Change your enery. Change your life.","type":"webpage"},"uris":["http://www.mendeley.com/documents/?uuid=d939fabc-a503-4170-89ae-7d16fdb08e97","http://www.mendeley.com/documents/?uuid=cff469b1-6b65-4f75-837d-e3730c801831"]}],"mendeley":{"formattedCitation":"[2,24]","plainTextFormattedCitation":"[2,24]","previouslyFormattedCitation":"[2,24]"},"properties":{"noteIndex":0},"schema":"https://github.com/citation-style-language/schema/raw/master/csl-citation.json"}</w:instrText>
      </w:r>
      <w:r w:rsidR="00EF5E91" w:rsidRPr="00EF5E91">
        <w:rPr>
          <w:rFonts w:ascii="Times New Roman" w:hAnsi="Times New Roman" w:cs="Times New Roman"/>
          <w:lang w:val="en-US"/>
        </w:rPr>
        <w:fldChar w:fldCharType="separate"/>
      </w:r>
      <w:r w:rsidR="00EF5E91" w:rsidRPr="00EF5E91">
        <w:rPr>
          <w:rFonts w:ascii="Times New Roman" w:hAnsi="Times New Roman" w:cs="Times New Roman"/>
          <w:noProof/>
          <w:lang w:val="en-US"/>
        </w:rPr>
        <w:t>[2,24]</w:t>
      </w:r>
      <w:r w:rsidR="00EF5E91" w:rsidRPr="00EF5E91">
        <w:rPr>
          <w:rFonts w:ascii="Times New Roman" w:hAnsi="Times New Roman" w:cs="Times New Roman"/>
          <w:lang w:val="en-US"/>
        </w:rPr>
        <w:fldChar w:fldCharType="end"/>
      </w:r>
      <w:r w:rsidR="00EB15B2" w:rsidRPr="004D7228">
        <w:rPr>
          <w:rFonts w:ascii="Times New Roman" w:hAnsi="Times New Roman" w:cs="Times New Roman"/>
          <w:lang w:val="en-US"/>
        </w:rPr>
        <w:t xml:space="preserve">.  </w:t>
      </w:r>
    </w:p>
    <w:p w14:paraId="40D04975" w14:textId="03A91F12" w:rsidR="00C9281F" w:rsidRDefault="00C9281F" w:rsidP="00A95A70">
      <w:pPr>
        <w:pStyle w:val="Heading1"/>
        <w:rPr>
          <w:rFonts w:cs="Times New Roman"/>
          <w:lang w:val="en-US"/>
        </w:rPr>
      </w:pPr>
      <w:bookmarkStart w:id="120" w:name="_Toc528918117"/>
      <w:bookmarkStart w:id="121" w:name="_Toc529169843"/>
      <w:bookmarkStart w:id="122" w:name="_Toc529178842"/>
      <w:bookmarkStart w:id="123" w:name="_Toc529178957"/>
      <w:r>
        <w:rPr>
          <w:rFonts w:cs="Times New Roman"/>
          <w:lang w:val="en-US"/>
        </w:rPr>
        <w:t>Acknowledgement</w:t>
      </w:r>
      <w:bookmarkEnd w:id="120"/>
      <w:bookmarkEnd w:id="121"/>
      <w:bookmarkEnd w:id="122"/>
      <w:bookmarkEnd w:id="123"/>
    </w:p>
    <w:p w14:paraId="4CCD4E8D" w14:textId="44CFE2CD" w:rsidR="007A65A1" w:rsidRDefault="007A65A1" w:rsidP="007A65A1">
      <w:pPr>
        <w:rPr>
          <w:rFonts w:ascii="Times New Roman" w:hAnsi="Times New Roman" w:cs="Times New Roman"/>
          <w:sz w:val="24"/>
          <w:szCs w:val="24"/>
          <w:lang w:val="en-US"/>
        </w:rPr>
      </w:pPr>
      <w:r w:rsidRPr="007A65A1">
        <w:rPr>
          <w:rFonts w:ascii="Times New Roman" w:hAnsi="Times New Roman" w:cs="Times New Roman"/>
          <w:sz w:val="24"/>
          <w:szCs w:val="24"/>
          <w:lang w:val="en-US"/>
        </w:rPr>
        <w:t>Arghya Bhowmik, DTU</w:t>
      </w:r>
      <w:r w:rsidR="00E55836">
        <w:rPr>
          <w:rFonts w:ascii="Times New Roman" w:hAnsi="Times New Roman" w:cs="Times New Roman"/>
          <w:sz w:val="24"/>
          <w:szCs w:val="24"/>
          <w:lang w:val="en-US"/>
        </w:rPr>
        <w:t xml:space="preserve"> is acknowledged for inspiration via a previous draft</w:t>
      </w:r>
      <w:r w:rsidR="00E06D29">
        <w:rPr>
          <w:rFonts w:ascii="Times New Roman" w:hAnsi="Times New Roman" w:cs="Times New Roman"/>
          <w:sz w:val="24"/>
          <w:szCs w:val="24"/>
          <w:lang w:val="en-US"/>
        </w:rPr>
        <w:t xml:space="preserve"> of the technology</w:t>
      </w:r>
      <w:r w:rsidR="00E55836">
        <w:rPr>
          <w:rFonts w:ascii="Times New Roman" w:hAnsi="Times New Roman" w:cs="Times New Roman"/>
          <w:sz w:val="24"/>
          <w:szCs w:val="24"/>
          <w:lang w:val="en-US"/>
        </w:rPr>
        <w:t xml:space="preserve">. </w:t>
      </w:r>
    </w:p>
    <w:p w14:paraId="18F6081F" w14:textId="1C15B754" w:rsidR="00057F81" w:rsidRPr="009A64AC" w:rsidRDefault="00A95A70" w:rsidP="00A95A70">
      <w:pPr>
        <w:pStyle w:val="Heading1"/>
        <w:rPr>
          <w:rFonts w:cs="Times New Roman"/>
          <w:lang w:val="en-US"/>
        </w:rPr>
      </w:pPr>
      <w:bookmarkStart w:id="124" w:name="_Toc528918118"/>
      <w:bookmarkStart w:id="125" w:name="_Toc529169844"/>
      <w:bookmarkStart w:id="126" w:name="_Toc529178843"/>
      <w:bookmarkStart w:id="127" w:name="_Toc529178958"/>
      <w:r w:rsidRPr="009A64AC">
        <w:rPr>
          <w:rFonts w:cs="Times New Roman"/>
          <w:lang w:val="en-US"/>
        </w:rPr>
        <w:t>References</w:t>
      </w:r>
      <w:bookmarkEnd w:id="124"/>
      <w:bookmarkEnd w:id="125"/>
      <w:bookmarkEnd w:id="126"/>
      <w:bookmarkEnd w:id="127"/>
    </w:p>
    <w:p w14:paraId="195B5FCB" w14:textId="5C671148"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[1]</w:t>
      </w:r>
      <w:r w:rsidRPr="00306153">
        <w:rPr>
          <w:rFonts w:ascii="Times New Roman" w:hAnsi="Times New Roman" w:cs="Times New Roman"/>
          <w:noProof/>
          <w:sz w:val="24"/>
          <w:szCs w:val="24"/>
          <w:lang w:val="en-US"/>
        </w:rPr>
        <w:tab/>
        <w:t>Leclanche</w:t>
      </w:r>
      <w:r>
        <w:rPr>
          <w:rFonts w:ascii="Times New Roman" w:hAnsi="Times New Roman" w:cs="Times New Roman"/>
          <w:noProof/>
          <w:sz w:val="24"/>
          <w:szCs w:val="24"/>
          <w:lang w:val="en-US"/>
        </w:rPr>
        <w:t>.</w:t>
      </w:r>
      <w:r w:rsidRPr="00306153">
        <w:rPr>
          <w:rFonts w:ascii="Times New Roman" w:hAnsi="Times New Roman" w:cs="Times New Roman"/>
          <w:noProof/>
          <w:sz w:val="24"/>
          <w:szCs w:val="24"/>
          <w:lang w:val="en-US"/>
        </w:rPr>
        <w:t xml:space="preserve"> Lithium Ion Technology and Product Description, (2018). http://www.leclanche.com/technology-products/leclanc</w:t>
      </w:r>
      <w:r>
        <w:rPr>
          <w:rFonts w:ascii="Times New Roman" w:hAnsi="Times New Roman" w:cs="Times New Roman"/>
          <w:noProof/>
          <w:sz w:val="24"/>
          <w:szCs w:val="24"/>
          <w:lang w:val="en-US"/>
        </w:rPr>
        <w:t>he-technology/lithium-ion-cells/</w:t>
      </w:r>
    </w:p>
    <w:p w14:paraId="6176B7E0"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[2]</w:t>
      </w:r>
      <w:r w:rsidRPr="00306153">
        <w:rPr>
          <w:rFonts w:ascii="Times New Roman" w:hAnsi="Times New Roman" w:cs="Times New Roman"/>
          <w:noProof/>
          <w:sz w:val="24"/>
          <w:szCs w:val="24"/>
          <w:lang w:val="en-US"/>
        </w:rPr>
        <w:tab/>
        <w:t>Samsung</w:t>
      </w:r>
      <w:r>
        <w:rPr>
          <w:rFonts w:ascii="Times New Roman" w:hAnsi="Times New Roman" w:cs="Times New Roman"/>
          <w:noProof/>
          <w:sz w:val="24"/>
          <w:szCs w:val="24"/>
          <w:lang w:val="en-US"/>
        </w:rPr>
        <w:t>.</w:t>
      </w:r>
      <w:r w:rsidRPr="00306153">
        <w:rPr>
          <w:rFonts w:ascii="Times New Roman" w:hAnsi="Times New Roman" w:cs="Times New Roman"/>
          <w:noProof/>
          <w:sz w:val="24"/>
          <w:szCs w:val="24"/>
          <w:lang w:val="en-US"/>
        </w:rPr>
        <w:t xml:space="preserve"> ESS Batteries by Samsung SDI Top Safety &amp; Reliability Solutions, (2018). http://www.samsungsdi.com/upload/ess_brochu</w:t>
      </w:r>
      <w:r>
        <w:rPr>
          <w:rFonts w:ascii="Times New Roman" w:hAnsi="Times New Roman" w:cs="Times New Roman"/>
          <w:noProof/>
          <w:sz w:val="24"/>
          <w:szCs w:val="24"/>
          <w:lang w:val="en-US"/>
        </w:rPr>
        <w:t>re/201809_SamsungSDI ESS_EN.pdf</w:t>
      </w:r>
    </w:p>
    <w:p w14:paraId="2278F101"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[3]</w:t>
      </w:r>
      <w:r w:rsidRPr="00306153">
        <w:rPr>
          <w:rFonts w:ascii="Times New Roman" w:hAnsi="Times New Roman" w:cs="Times New Roman"/>
          <w:noProof/>
          <w:sz w:val="24"/>
          <w:szCs w:val="24"/>
          <w:lang w:val="en-US"/>
        </w:rPr>
        <w:tab/>
        <w:t>L. Kokam Co. Total Energy Storage Solution Provider, (2018). http://kokam.com/data/2018</w:t>
      </w:r>
      <w:r>
        <w:rPr>
          <w:rFonts w:ascii="Times New Roman" w:hAnsi="Times New Roman" w:cs="Times New Roman"/>
          <w:noProof/>
          <w:sz w:val="24"/>
          <w:szCs w:val="24"/>
          <w:lang w:val="en-US"/>
        </w:rPr>
        <w:t>_Kokam_ESS_Brochure_ver_5.0.pdf</w:t>
      </w:r>
    </w:p>
    <w:p w14:paraId="14C28B08"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Pr>
          <w:rFonts w:ascii="Times New Roman" w:hAnsi="Times New Roman" w:cs="Times New Roman"/>
          <w:noProof/>
          <w:sz w:val="24"/>
          <w:szCs w:val="24"/>
          <w:lang w:val="en-US"/>
        </w:rPr>
        <w:t>[4]</w:t>
      </w:r>
      <w:r>
        <w:rPr>
          <w:rFonts w:ascii="Times New Roman" w:hAnsi="Times New Roman" w:cs="Times New Roman"/>
          <w:noProof/>
          <w:sz w:val="24"/>
          <w:szCs w:val="24"/>
          <w:lang w:val="en-US"/>
        </w:rPr>
        <w:tab/>
        <w:t>L. Kokam Co.</w:t>
      </w:r>
      <w:r w:rsidRPr="00306153">
        <w:rPr>
          <w:rFonts w:ascii="Times New Roman" w:hAnsi="Times New Roman" w:cs="Times New Roman"/>
          <w:noProof/>
          <w:sz w:val="24"/>
          <w:szCs w:val="24"/>
          <w:lang w:val="en-US"/>
        </w:rPr>
        <w:t xml:space="preserve"> Kokam Li-ion / Polymer Cell, (2017).  http://kokam.com/d</w:t>
      </w:r>
      <w:r>
        <w:rPr>
          <w:rFonts w:ascii="Times New Roman" w:hAnsi="Times New Roman" w:cs="Times New Roman"/>
          <w:noProof/>
          <w:sz w:val="24"/>
          <w:szCs w:val="24"/>
          <w:lang w:val="en-US"/>
        </w:rPr>
        <w:t>ata/Kokam_Cell_Brochure_V.4.pdf</w:t>
      </w:r>
    </w:p>
    <w:p w14:paraId="065C7951"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[5]</w:t>
      </w:r>
      <w:r w:rsidRPr="00306153">
        <w:rPr>
          <w:rFonts w:ascii="Times New Roman" w:hAnsi="Times New Roman" w:cs="Times New Roman"/>
          <w:noProof/>
          <w:sz w:val="24"/>
          <w:szCs w:val="24"/>
          <w:lang w:val="en-US"/>
        </w:rPr>
        <w:tab/>
        <w:t>StoraXe</w:t>
      </w:r>
      <w:r>
        <w:rPr>
          <w:rFonts w:ascii="Times New Roman" w:hAnsi="Times New Roman" w:cs="Times New Roman"/>
          <w:noProof/>
          <w:sz w:val="24"/>
          <w:szCs w:val="24"/>
          <w:lang w:val="en-US"/>
        </w:rPr>
        <w:t>.</w:t>
      </w:r>
      <w:r w:rsidRPr="00306153">
        <w:rPr>
          <w:rFonts w:ascii="Times New Roman" w:hAnsi="Times New Roman" w:cs="Times New Roman"/>
          <w:noProof/>
          <w:sz w:val="24"/>
          <w:szCs w:val="24"/>
          <w:lang w:val="en-US"/>
        </w:rPr>
        <w:t xml:space="preserve"> StoraXe Industrial &amp; Infrastructure Scalable battery storage system, (2018). https://www.ads-tec.de/fileadmin/download/doc/brochure/Datasheet_Energy_Industrial</w:t>
      </w:r>
      <w:r>
        <w:rPr>
          <w:rFonts w:ascii="Times New Roman" w:hAnsi="Times New Roman" w:cs="Times New Roman"/>
          <w:noProof/>
          <w:sz w:val="24"/>
          <w:szCs w:val="24"/>
          <w:lang w:val="en-US"/>
        </w:rPr>
        <w:t>_EN.pdf</w:t>
      </w:r>
    </w:p>
    <w:p w14:paraId="24A6CFE0"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[6]</w:t>
      </w:r>
      <w:r w:rsidRPr="00306153">
        <w:rPr>
          <w:rFonts w:ascii="Times New Roman" w:hAnsi="Times New Roman" w:cs="Times New Roman"/>
          <w:noProof/>
          <w:sz w:val="24"/>
          <w:szCs w:val="24"/>
          <w:lang w:val="en-US"/>
        </w:rPr>
        <w:tab/>
        <w:t>Fronius</w:t>
      </w:r>
      <w:r>
        <w:rPr>
          <w:rFonts w:ascii="Times New Roman" w:hAnsi="Times New Roman" w:cs="Times New Roman"/>
          <w:noProof/>
          <w:sz w:val="24"/>
          <w:szCs w:val="24"/>
          <w:lang w:val="en-US"/>
        </w:rPr>
        <w:t>.</w:t>
      </w:r>
      <w:r w:rsidRPr="00306153">
        <w:rPr>
          <w:rFonts w:ascii="Times New Roman" w:hAnsi="Times New Roman" w:cs="Times New Roman"/>
          <w:noProof/>
          <w:sz w:val="24"/>
          <w:szCs w:val="24"/>
          <w:lang w:val="en-US"/>
        </w:rPr>
        <w:t xml:space="preserve"> Fronius Energy Package, (2018). http://www.fronius.com/en/photovoltaics/products/all-products/solutions/fronius-storage-solution/fronius-energy</w:t>
      </w:r>
      <w:r>
        <w:rPr>
          <w:rFonts w:ascii="Times New Roman" w:hAnsi="Times New Roman" w:cs="Times New Roman"/>
          <w:noProof/>
          <w:sz w:val="24"/>
          <w:szCs w:val="24"/>
          <w:lang w:val="en-US"/>
        </w:rPr>
        <w:t>-package/fronius-energy-package</w:t>
      </w:r>
    </w:p>
    <w:p w14:paraId="2E8187BD"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[7]</w:t>
      </w:r>
      <w:r w:rsidRPr="00306153">
        <w:rPr>
          <w:rFonts w:ascii="Times New Roman" w:hAnsi="Times New Roman" w:cs="Times New Roman"/>
          <w:noProof/>
          <w:sz w:val="24"/>
          <w:szCs w:val="24"/>
          <w:lang w:val="en-US"/>
        </w:rPr>
        <w:tab/>
        <w:t>Fenecon</w:t>
      </w:r>
      <w:r>
        <w:rPr>
          <w:rFonts w:ascii="Times New Roman" w:hAnsi="Times New Roman" w:cs="Times New Roman"/>
          <w:noProof/>
          <w:sz w:val="24"/>
          <w:szCs w:val="24"/>
          <w:lang w:val="en-US"/>
        </w:rPr>
        <w:t>.</w:t>
      </w:r>
      <w:r w:rsidRPr="00306153">
        <w:rPr>
          <w:rFonts w:ascii="Times New Roman" w:hAnsi="Times New Roman" w:cs="Times New Roman"/>
          <w:noProof/>
          <w:sz w:val="24"/>
          <w:szCs w:val="24"/>
          <w:lang w:val="en-US"/>
        </w:rPr>
        <w:t xml:space="preserve"> Fenecon Commercial 50-series Battery Module | Battery Rack, (2018). https://www.fenecon.de/en_US/pag</w:t>
      </w:r>
      <w:r>
        <w:rPr>
          <w:rFonts w:ascii="Times New Roman" w:hAnsi="Times New Roman" w:cs="Times New Roman"/>
          <w:noProof/>
          <w:sz w:val="24"/>
          <w:szCs w:val="24"/>
          <w:lang w:val="en-US"/>
        </w:rPr>
        <w:t>e/infocenter#fenecon-industrial</w:t>
      </w:r>
    </w:p>
    <w:p w14:paraId="3A411C73"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[8]</w:t>
      </w:r>
      <w:r w:rsidRPr="00306153">
        <w:rPr>
          <w:rFonts w:ascii="Times New Roman" w:hAnsi="Times New Roman" w:cs="Times New Roman"/>
          <w:noProof/>
          <w:sz w:val="24"/>
          <w:szCs w:val="24"/>
          <w:lang w:val="en-US"/>
        </w:rPr>
        <w:tab/>
        <w:t>Altairnano</w:t>
      </w:r>
      <w:r>
        <w:rPr>
          <w:rFonts w:ascii="Times New Roman" w:hAnsi="Times New Roman" w:cs="Times New Roman"/>
          <w:noProof/>
          <w:sz w:val="24"/>
          <w:szCs w:val="24"/>
          <w:lang w:val="en-US"/>
        </w:rPr>
        <w:t>.</w:t>
      </w:r>
      <w:r w:rsidRPr="00306153">
        <w:rPr>
          <w:rFonts w:ascii="Times New Roman" w:hAnsi="Times New Roman" w:cs="Times New Roman"/>
          <w:noProof/>
          <w:sz w:val="24"/>
          <w:szCs w:val="24"/>
          <w:lang w:val="en-US"/>
        </w:rPr>
        <w:t xml:space="preserve"> 24 V 60 Ah Battery Module, (2016). https://altairna</w:t>
      </w:r>
      <w:r>
        <w:rPr>
          <w:rFonts w:ascii="Times New Roman" w:hAnsi="Times New Roman" w:cs="Times New Roman"/>
          <w:noProof/>
          <w:sz w:val="24"/>
          <w:szCs w:val="24"/>
          <w:lang w:val="en-US"/>
        </w:rPr>
        <w:t>no.com/products/battery-module/</w:t>
      </w:r>
    </w:p>
    <w:p w14:paraId="6EED49DB"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[9]</w:t>
      </w:r>
      <w:r w:rsidRPr="00306153">
        <w:rPr>
          <w:rFonts w:ascii="Times New Roman" w:hAnsi="Times New Roman" w:cs="Times New Roman"/>
          <w:noProof/>
          <w:sz w:val="24"/>
          <w:szCs w:val="24"/>
          <w:lang w:val="en-US"/>
        </w:rPr>
        <w:tab/>
        <w:t>S. Weintraub, Electrek.</w:t>
      </w:r>
      <w:r>
        <w:rPr>
          <w:rFonts w:ascii="Times New Roman" w:hAnsi="Times New Roman" w:cs="Times New Roman"/>
          <w:noProof/>
          <w:sz w:val="24"/>
          <w:szCs w:val="24"/>
          <w:lang w:val="en-US"/>
        </w:rPr>
        <w:t xml:space="preserve"> </w:t>
      </w:r>
      <w:r w:rsidRPr="00306153">
        <w:rPr>
          <w:rFonts w:ascii="Times New Roman" w:hAnsi="Times New Roman" w:cs="Times New Roman"/>
          <w:noProof/>
          <w:sz w:val="24"/>
          <w:szCs w:val="24"/>
          <w:lang w:val="en-US"/>
        </w:rPr>
        <w:t>Tesla Gigafactory tour roundup and tidbits: ‘This is the coolest factory in the world’, (2016). https://electrek.co/2016/07/28/tesla-gigafactory-tour-roundup-and-tidbits-th</w:t>
      </w:r>
      <w:r>
        <w:rPr>
          <w:rFonts w:ascii="Times New Roman" w:hAnsi="Times New Roman" w:cs="Times New Roman"/>
          <w:noProof/>
          <w:sz w:val="24"/>
          <w:szCs w:val="24"/>
          <w:lang w:val="en-US"/>
        </w:rPr>
        <w:t>is-is-the-coolest-factory-ever/</w:t>
      </w:r>
    </w:p>
    <w:p w14:paraId="20374DD9"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[10]</w:t>
      </w:r>
      <w:r w:rsidRPr="00306153">
        <w:rPr>
          <w:rFonts w:ascii="Times New Roman" w:hAnsi="Times New Roman" w:cs="Times New Roman"/>
          <w:noProof/>
          <w:sz w:val="24"/>
          <w:szCs w:val="24"/>
          <w:lang w:val="en-US"/>
        </w:rPr>
        <w:tab/>
        <w:t>M. Kane, InsideEVs.</w:t>
      </w:r>
      <w:r>
        <w:rPr>
          <w:rFonts w:ascii="Times New Roman" w:hAnsi="Times New Roman" w:cs="Times New Roman"/>
          <w:noProof/>
          <w:sz w:val="24"/>
          <w:szCs w:val="24"/>
          <w:lang w:val="en-US"/>
        </w:rPr>
        <w:t xml:space="preserve"> </w:t>
      </w:r>
      <w:r w:rsidRPr="00306153">
        <w:rPr>
          <w:rFonts w:ascii="Times New Roman" w:hAnsi="Times New Roman" w:cs="Times New Roman"/>
          <w:noProof/>
          <w:sz w:val="24"/>
          <w:szCs w:val="24"/>
          <w:lang w:val="en-US"/>
        </w:rPr>
        <w:t>BMW i3 Samsung SDI 94 Ah Battery Rated For 524,000 Miles, (2018). https://insideevs.com/lets-look-at-the-specs-of</w:t>
      </w:r>
      <w:r>
        <w:rPr>
          <w:rFonts w:ascii="Times New Roman" w:hAnsi="Times New Roman" w:cs="Times New Roman"/>
          <w:noProof/>
          <w:sz w:val="24"/>
          <w:szCs w:val="24"/>
          <w:lang w:val="en-US"/>
        </w:rPr>
        <w:t>-the-samsung-sdi-94-ah-battery/</w:t>
      </w:r>
    </w:p>
    <w:p w14:paraId="04B237E8"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[11]</w:t>
      </w:r>
      <w:r w:rsidRPr="00306153">
        <w:rPr>
          <w:rFonts w:ascii="Times New Roman" w:hAnsi="Times New Roman" w:cs="Times New Roman"/>
          <w:noProof/>
          <w:sz w:val="24"/>
          <w:szCs w:val="24"/>
          <w:lang w:val="en-US"/>
        </w:rPr>
        <w:tab/>
        <w:t>Qnovo.</w:t>
      </w:r>
      <w:r>
        <w:rPr>
          <w:rFonts w:ascii="Times New Roman" w:hAnsi="Times New Roman" w:cs="Times New Roman"/>
          <w:noProof/>
          <w:sz w:val="24"/>
          <w:szCs w:val="24"/>
          <w:lang w:val="en-US"/>
        </w:rPr>
        <w:t xml:space="preserve"> </w:t>
      </w:r>
      <w:r w:rsidRPr="00306153">
        <w:rPr>
          <w:rFonts w:ascii="Times New Roman" w:hAnsi="Times New Roman" w:cs="Times New Roman"/>
          <w:noProof/>
          <w:sz w:val="24"/>
          <w:szCs w:val="24"/>
          <w:lang w:val="en-US"/>
        </w:rPr>
        <w:t>Inside the Battery of a Nissan Leaf, (2018). https://qnovo.com/insid</w:t>
      </w:r>
      <w:r>
        <w:rPr>
          <w:rFonts w:ascii="Times New Roman" w:hAnsi="Times New Roman" w:cs="Times New Roman"/>
          <w:noProof/>
          <w:sz w:val="24"/>
          <w:szCs w:val="24"/>
          <w:lang w:val="en-US"/>
        </w:rPr>
        <w:t>e-the-battery-of-a-nissan-leaf/</w:t>
      </w:r>
    </w:p>
    <w:p w14:paraId="441769FE"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[12]</w:t>
      </w:r>
      <w:r w:rsidRPr="00306153">
        <w:rPr>
          <w:rFonts w:ascii="Times New Roman" w:hAnsi="Times New Roman" w:cs="Times New Roman"/>
          <w:noProof/>
          <w:sz w:val="24"/>
          <w:szCs w:val="24"/>
          <w:lang w:val="en-US"/>
        </w:rPr>
        <w:tab/>
        <w:t>J.M. Tarascon, M. Armand</w:t>
      </w:r>
      <w:r>
        <w:rPr>
          <w:rFonts w:ascii="Times New Roman" w:hAnsi="Times New Roman" w:cs="Times New Roman"/>
          <w:noProof/>
          <w:sz w:val="24"/>
          <w:szCs w:val="24"/>
          <w:lang w:val="en-US"/>
        </w:rPr>
        <w:t>.</w:t>
      </w:r>
      <w:r w:rsidRPr="00306153">
        <w:rPr>
          <w:rFonts w:ascii="Times New Roman" w:hAnsi="Times New Roman" w:cs="Times New Roman"/>
          <w:noProof/>
          <w:sz w:val="24"/>
          <w:szCs w:val="24"/>
          <w:lang w:val="en-US"/>
        </w:rPr>
        <w:t xml:space="preserve"> Issues and challenges facing rechargeable lithium batteries, </w:t>
      </w:r>
      <w:r w:rsidRPr="00306153">
        <w:rPr>
          <w:rFonts w:ascii="Times New Roman" w:hAnsi="Times New Roman" w:cs="Times New Roman"/>
          <w:i/>
          <w:noProof/>
          <w:sz w:val="24"/>
          <w:szCs w:val="24"/>
          <w:lang w:val="en-US"/>
        </w:rPr>
        <w:t>Nature</w:t>
      </w:r>
      <w:r w:rsidRPr="00306153">
        <w:rPr>
          <w:rFonts w:ascii="Times New Roman" w:hAnsi="Times New Roman" w:cs="Times New Roman"/>
          <w:noProof/>
          <w:sz w:val="24"/>
          <w:szCs w:val="24"/>
          <w:lang w:val="en-US"/>
        </w:rPr>
        <w:t xml:space="preserve">, </w:t>
      </w:r>
      <w:r w:rsidRPr="00306153">
        <w:rPr>
          <w:rFonts w:ascii="Times New Roman" w:hAnsi="Times New Roman" w:cs="Times New Roman"/>
          <w:b/>
          <w:noProof/>
          <w:sz w:val="24"/>
          <w:szCs w:val="24"/>
          <w:lang w:val="en-US"/>
        </w:rPr>
        <w:t>414</w:t>
      </w:r>
      <w:r w:rsidRPr="00306153">
        <w:rPr>
          <w:rFonts w:ascii="Times New Roman" w:hAnsi="Times New Roman" w:cs="Times New Roman"/>
          <w:noProof/>
          <w:sz w:val="24"/>
          <w:szCs w:val="24"/>
          <w:lang w:val="en-US"/>
        </w:rPr>
        <w:t xml:space="preserve"> (</w:t>
      </w:r>
      <w:r>
        <w:rPr>
          <w:rFonts w:ascii="Times New Roman" w:hAnsi="Times New Roman" w:cs="Times New Roman"/>
          <w:noProof/>
          <w:sz w:val="24"/>
          <w:szCs w:val="24"/>
          <w:lang w:val="en-US"/>
        </w:rPr>
        <w:t>2001) 359. doi:10.1038/35104644</w:t>
      </w:r>
    </w:p>
    <w:p w14:paraId="5149FD47"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[13]</w:t>
      </w:r>
      <w:r w:rsidRPr="00306153">
        <w:rPr>
          <w:rFonts w:ascii="Times New Roman" w:hAnsi="Times New Roman" w:cs="Times New Roman"/>
          <w:noProof/>
          <w:sz w:val="24"/>
          <w:szCs w:val="24"/>
          <w:lang w:val="en-US"/>
        </w:rPr>
        <w:tab/>
        <w:t>Shutterstock.</w:t>
      </w:r>
      <w:r>
        <w:rPr>
          <w:rFonts w:ascii="Times New Roman" w:hAnsi="Times New Roman" w:cs="Times New Roman"/>
          <w:noProof/>
          <w:sz w:val="24"/>
          <w:szCs w:val="24"/>
          <w:lang w:val="en-US"/>
        </w:rPr>
        <w:t xml:space="preserve"> </w:t>
      </w:r>
      <w:r w:rsidRPr="00306153">
        <w:rPr>
          <w:rFonts w:ascii="Times New Roman" w:hAnsi="Times New Roman" w:cs="Times New Roman"/>
          <w:noProof/>
          <w:sz w:val="24"/>
          <w:szCs w:val="24"/>
          <w:lang w:val="en-US"/>
        </w:rPr>
        <w:t>Tesla 2170 battery cell stock photos, (2018). https://www.shutterstock.com</w:t>
      </w:r>
      <w:r>
        <w:rPr>
          <w:rFonts w:ascii="Times New Roman" w:hAnsi="Times New Roman" w:cs="Times New Roman"/>
          <w:noProof/>
          <w:sz w:val="24"/>
          <w:szCs w:val="24"/>
          <w:lang w:val="en-US"/>
        </w:rPr>
        <w:t>/search/tesla+2170+battery+cell</w:t>
      </w:r>
    </w:p>
    <w:p w14:paraId="1E867BFD"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[14]</w:t>
      </w:r>
      <w:r w:rsidRPr="0053311A">
        <w:rPr>
          <w:rFonts w:ascii="Times New Roman" w:hAnsi="Times New Roman" w:cs="Times New Roman"/>
          <w:noProof/>
          <w:sz w:val="24"/>
          <w:szCs w:val="24"/>
          <w:lang w:val="en-US"/>
        </w:rPr>
        <w:tab/>
        <w:t xml:space="preserve">Samsung, Smart Battery Systems for Energy Storage, (2016). </w:t>
      </w:r>
      <w:r w:rsidRPr="0053311A">
        <w:rPr>
          <w:rFonts w:ascii="Times New Roman" w:hAnsi="Times New Roman" w:cs="Times New Roman"/>
          <w:noProof/>
          <w:sz w:val="24"/>
          <w:szCs w:val="24"/>
          <w:lang w:val="en-US"/>
        </w:rPr>
        <w:lastRenderedPageBreak/>
        <w:t>http://www.samsungsdi.com/upload/ess_brochure/Samsung SDI brochure_EN.pdf</w:t>
      </w:r>
    </w:p>
    <w:p w14:paraId="284F61AB"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[15]</w:t>
      </w:r>
      <w:r w:rsidRPr="00306153">
        <w:rPr>
          <w:rFonts w:ascii="Times New Roman" w:hAnsi="Times New Roman" w:cs="Times New Roman"/>
          <w:noProof/>
          <w:sz w:val="24"/>
          <w:szCs w:val="24"/>
          <w:lang w:val="en-US"/>
        </w:rPr>
        <w:tab/>
        <w:t>Inside EVs. LCChem Prismatic Cell, (2018). https://insideevs.com/wp-conten</w:t>
      </w:r>
      <w:r>
        <w:rPr>
          <w:rFonts w:ascii="Times New Roman" w:hAnsi="Times New Roman" w:cs="Times New Roman"/>
          <w:noProof/>
          <w:sz w:val="24"/>
          <w:szCs w:val="24"/>
          <w:lang w:val="en-US"/>
        </w:rPr>
        <w:t>t/uploads/2015/12/ess_cell1.jpg</w:t>
      </w:r>
    </w:p>
    <w:p w14:paraId="08629EE9"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[16]</w:t>
      </w:r>
      <w:r w:rsidRPr="00306153">
        <w:rPr>
          <w:rFonts w:ascii="Times New Roman" w:hAnsi="Times New Roman" w:cs="Times New Roman"/>
          <w:noProof/>
          <w:sz w:val="24"/>
          <w:szCs w:val="24"/>
          <w:lang w:val="en-US"/>
        </w:rPr>
        <w:tab/>
        <w:t>H.C. Hesse, M. Schimpe, D. Kucevic, A. Jossen</w:t>
      </w:r>
      <w:r>
        <w:rPr>
          <w:rFonts w:ascii="Times New Roman" w:hAnsi="Times New Roman" w:cs="Times New Roman"/>
          <w:noProof/>
          <w:sz w:val="24"/>
          <w:szCs w:val="24"/>
          <w:lang w:val="en-US"/>
        </w:rPr>
        <w:t>.</w:t>
      </w:r>
      <w:r w:rsidRPr="00306153">
        <w:rPr>
          <w:rFonts w:ascii="Times New Roman" w:hAnsi="Times New Roman" w:cs="Times New Roman"/>
          <w:noProof/>
          <w:sz w:val="24"/>
          <w:szCs w:val="24"/>
          <w:lang w:val="en-US"/>
        </w:rPr>
        <w:t xml:space="preserve"> Lithium-ion battery storage for the grid - A review of stationary battery storage system design tailored for applications in modern power grids, </w:t>
      </w:r>
      <w:r w:rsidRPr="00306153">
        <w:rPr>
          <w:rFonts w:ascii="Times New Roman" w:hAnsi="Times New Roman" w:cs="Times New Roman"/>
          <w:i/>
          <w:noProof/>
          <w:sz w:val="24"/>
          <w:szCs w:val="24"/>
          <w:lang w:val="en-US"/>
        </w:rPr>
        <w:t>Energies</w:t>
      </w:r>
      <w:r w:rsidRPr="00306153">
        <w:rPr>
          <w:rFonts w:ascii="Times New Roman" w:hAnsi="Times New Roman" w:cs="Times New Roman"/>
          <w:noProof/>
          <w:sz w:val="24"/>
          <w:szCs w:val="24"/>
          <w:lang w:val="en-US"/>
        </w:rPr>
        <w:t>,</w:t>
      </w:r>
      <w:r w:rsidRPr="00306153">
        <w:rPr>
          <w:rFonts w:ascii="Times New Roman" w:hAnsi="Times New Roman" w:cs="Times New Roman"/>
          <w:i/>
          <w:noProof/>
          <w:sz w:val="24"/>
          <w:szCs w:val="24"/>
          <w:lang w:val="en-US"/>
        </w:rPr>
        <w:t xml:space="preserve"> </w:t>
      </w:r>
      <w:r w:rsidRPr="00306153">
        <w:rPr>
          <w:rFonts w:ascii="Times New Roman" w:hAnsi="Times New Roman" w:cs="Times New Roman"/>
          <w:b/>
          <w:noProof/>
          <w:sz w:val="24"/>
          <w:szCs w:val="24"/>
          <w:lang w:val="en-US"/>
        </w:rPr>
        <w:t xml:space="preserve">10 </w:t>
      </w:r>
      <w:r w:rsidRPr="00306153">
        <w:rPr>
          <w:rFonts w:ascii="Times New Roman" w:hAnsi="Times New Roman" w:cs="Times New Roman"/>
          <w:noProof/>
          <w:sz w:val="24"/>
          <w:szCs w:val="24"/>
          <w:lang w:val="en-US"/>
        </w:rPr>
        <w:t>(2017) 2107</w:t>
      </w:r>
      <w:r>
        <w:rPr>
          <w:rFonts w:ascii="Times New Roman" w:hAnsi="Times New Roman" w:cs="Times New Roman"/>
          <w:noProof/>
          <w:sz w:val="24"/>
          <w:szCs w:val="24"/>
          <w:lang w:val="en-US"/>
        </w:rPr>
        <w:t>. doi:10.3390/en10122107</w:t>
      </w:r>
    </w:p>
    <w:p w14:paraId="4A77168D" w14:textId="77777777" w:rsidR="00D05697" w:rsidRPr="00306153"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[17]</w:t>
      </w:r>
      <w:r w:rsidRPr="00306153">
        <w:rPr>
          <w:rFonts w:ascii="Times New Roman" w:hAnsi="Times New Roman" w:cs="Times New Roman"/>
          <w:noProof/>
          <w:sz w:val="24"/>
          <w:szCs w:val="24"/>
          <w:lang w:val="en-US"/>
        </w:rPr>
        <w:tab/>
        <w:t>M. Schimpe, M. Naumann, N. Truong, H.C. Hesse, S. Santhanagopalan, A. Saxon, A. Jossen</w:t>
      </w:r>
      <w:r>
        <w:rPr>
          <w:rFonts w:ascii="Times New Roman" w:hAnsi="Times New Roman" w:cs="Times New Roman"/>
          <w:noProof/>
          <w:sz w:val="24"/>
          <w:szCs w:val="24"/>
          <w:lang w:val="en-US"/>
        </w:rPr>
        <w:t>.</w:t>
      </w:r>
      <w:r w:rsidRPr="00306153">
        <w:rPr>
          <w:rFonts w:ascii="Times New Roman" w:hAnsi="Times New Roman" w:cs="Times New Roman"/>
          <w:noProof/>
          <w:sz w:val="24"/>
          <w:szCs w:val="24"/>
          <w:lang w:val="en-US"/>
        </w:rPr>
        <w:t xml:space="preserve"> Energy efficiency evaluation of a stationary lithium-ion battery container storage system via electro-thermal modeling and detailed component analysis, </w:t>
      </w:r>
      <w:r w:rsidRPr="00306153">
        <w:rPr>
          <w:rFonts w:ascii="Times New Roman" w:hAnsi="Times New Roman" w:cs="Times New Roman"/>
          <w:i/>
          <w:noProof/>
          <w:sz w:val="24"/>
          <w:szCs w:val="24"/>
          <w:lang w:val="en-US"/>
        </w:rPr>
        <w:t>Appl. Energy.</w:t>
      </w:r>
      <w:r w:rsidRPr="00306153">
        <w:rPr>
          <w:rFonts w:ascii="Times New Roman" w:hAnsi="Times New Roman" w:cs="Times New Roman"/>
          <w:noProof/>
          <w:sz w:val="24"/>
          <w:szCs w:val="24"/>
          <w:lang w:val="en-US"/>
        </w:rPr>
        <w:t xml:space="preserve"> </w:t>
      </w:r>
      <w:r w:rsidRPr="00306153">
        <w:rPr>
          <w:rFonts w:ascii="Times New Roman" w:hAnsi="Times New Roman" w:cs="Times New Roman"/>
          <w:b/>
          <w:noProof/>
          <w:sz w:val="24"/>
          <w:szCs w:val="24"/>
          <w:lang w:val="en-US"/>
        </w:rPr>
        <w:t>210</w:t>
      </w:r>
      <w:r w:rsidRPr="00306153">
        <w:rPr>
          <w:rFonts w:ascii="Times New Roman" w:hAnsi="Times New Roman" w:cs="Times New Roman"/>
          <w:noProof/>
          <w:sz w:val="24"/>
          <w:szCs w:val="24"/>
          <w:lang w:val="en-US"/>
        </w:rPr>
        <w:t xml:space="preserve"> (2018) 211. doi:10.1016/</w:t>
      </w:r>
      <w:r>
        <w:rPr>
          <w:rFonts w:ascii="Times New Roman" w:hAnsi="Times New Roman" w:cs="Times New Roman"/>
          <w:noProof/>
          <w:sz w:val="24"/>
          <w:szCs w:val="24"/>
          <w:lang w:val="en-US"/>
        </w:rPr>
        <w:t>j.apenenergy</w:t>
      </w:r>
      <w:r w:rsidRPr="00306153">
        <w:rPr>
          <w:rFonts w:ascii="Times New Roman" w:hAnsi="Times New Roman" w:cs="Times New Roman"/>
          <w:noProof/>
          <w:sz w:val="24"/>
          <w:szCs w:val="24"/>
          <w:lang w:val="en-US"/>
        </w:rPr>
        <w:t>.2017.10.129</w:t>
      </w:r>
    </w:p>
    <w:p w14:paraId="55A90B1E"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306153">
        <w:rPr>
          <w:rFonts w:ascii="Times New Roman" w:hAnsi="Times New Roman" w:cs="Times New Roman"/>
          <w:noProof/>
          <w:sz w:val="24"/>
          <w:szCs w:val="24"/>
          <w:lang w:val="en-US"/>
        </w:rPr>
        <w:t>[18]</w:t>
      </w:r>
      <w:r w:rsidRPr="00306153">
        <w:rPr>
          <w:rFonts w:ascii="Times New Roman" w:hAnsi="Times New Roman" w:cs="Times New Roman"/>
          <w:noProof/>
          <w:sz w:val="24"/>
          <w:szCs w:val="24"/>
          <w:lang w:val="en-US"/>
        </w:rPr>
        <w:tab/>
        <w:t>Electropaedia</w:t>
      </w:r>
      <w:r>
        <w:rPr>
          <w:rFonts w:ascii="Times New Roman" w:hAnsi="Times New Roman" w:cs="Times New Roman"/>
          <w:noProof/>
          <w:sz w:val="24"/>
          <w:szCs w:val="24"/>
          <w:lang w:val="en-US"/>
        </w:rPr>
        <w:t xml:space="preserve">. </w:t>
      </w:r>
      <w:r w:rsidRPr="00306153">
        <w:rPr>
          <w:rFonts w:ascii="Times New Roman" w:hAnsi="Times New Roman" w:cs="Times New Roman"/>
          <w:noProof/>
          <w:sz w:val="24"/>
          <w:szCs w:val="24"/>
          <w:lang w:val="en-US"/>
        </w:rPr>
        <w:t xml:space="preserve">Battery Performance Characteristics - How to specify and test a battery, </w:t>
      </w:r>
      <w:r>
        <w:rPr>
          <w:rFonts w:ascii="Times New Roman" w:hAnsi="Times New Roman" w:cs="Times New Roman"/>
          <w:noProof/>
          <w:sz w:val="24"/>
          <w:szCs w:val="24"/>
          <w:lang w:val="en-US"/>
        </w:rPr>
        <w:t>(2018)</w:t>
      </w:r>
      <w:r w:rsidRPr="00306153">
        <w:rPr>
          <w:rFonts w:ascii="Times New Roman" w:hAnsi="Times New Roman" w:cs="Times New Roman"/>
          <w:noProof/>
          <w:sz w:val="24"/>
          <w:szCs w:val="24"/>
          <w:lang w:val="en-US"/>
        </w:rPr>
        <w:t xml:space="preserve">. </w:t>
      </w:r>
      <w:r w:rsidRPr="00EB0C28">
        <w:rPr>
          <w:rFonts w:ascii="Times New Roman" w:hAnsi="Times New Roman" w:cs="Times New Roman"/>
          <w:noProof/>
          <w:sz w:val="24"/>
          <w:szCs w:val="24"/>
          <w:lang w:val="en-US"/>
        </w:rPr>
        <w:t>https://www.mpoweruk.com/performance.htm</w:t>
      </w:r>
    </w:p>
    <w:p w14:paraId="511C6D51" w14:textId="77777777" w:rsidR="00D05697" w:rsidRPr="00AB21BD"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EB0C28">
        <w:rPr>
          <w:rFonts w:ascii="Times New Roman" w:hAnsi="Times New Roman" w:cs="Times New Roman"/>
          <w:noProof/>
          <w:sz w:val="24"/>
          <w:szCs w:val="24"/>
          <w:lang w:val="en-US"/>
        </w:rPr>
        <w:t>[19]</w:t>
      </w:r>
      <w:r w:rsidRPr="00EB0C28">
        <w:rPr>
          <w:rFonts w:ascii="Times New Roman" w:hAnsi="Times New Roman" w:cs="Times New Roman"/>
          <w:noProof/>
          <w:sz w:val="24"/>
          <w:szCs w:val="24"/>
          <w:lang w:val="en-US"/>
        </w:rPr>
        <w:tab/>
        <w:t>L. Kokam Co. Lithium Ion Polymer Cells - High Energy High Power</w:t>
      </w:r>
      <w:r w:rsidRPr="000439FA">
        <w:rPr>
          <w:rFonts w:ascii="Gulim" w:eastAsia="Gulim" w:hAnsi="Gulim" w:cs="Gulim" w:hint="eastAsia"/>
          <w:noProof/>
          <w:sz w:val="24"/>
          <w:szCs w:val="24"/>
        </w:rPr>
        <w:t>ㅣ</w:t>
      </w:r>
      <w:r w:rsidRPr="00EB0C28">
        <w:rPr>
          <w:rFonts w:ascii="Times New Roman" w:hAnsi="Times New Roman" w:cs="Times New Roman"/>
          <w:noProof/>
          <w:sz w:val="24"/>
          <w:szCs w:val="24"/>
          <w:lang w:val="en-US"/>
        </w:rPr>
        <w:t>Kokam Battery Cells, (</w:t>
      </w:r>
      <w:r>
        <w:rPr>
          <w:rFonts w:ascii="Times New Roman" w:hAnsi="Times New Roman" w:cs="Times New Roman"/>
          <w:noProof/>
          <w:sz w:val="24"/>
          <w:szCs w:val="24"/>
          <w:lang w:val="en-US"/>
        </w:rPr>
        <w:t>2018</w:t>
      </w:r>
      <w:r w:rsidRPr="00EB0C28">
        <w:rPr>
          <w:rFonts w:ascii="Times New Roman" w:hAnsi="Times New Roman" w:cs="Times New Roman"/>
          <w:noProof/>
          <w:sz w:val="24"/>
          <w:szCs w:val="24"/>
          <w:lang w:val="en-US"/>
        </w:rPr>
        <w:t xml:space="preserve">). </w:t>
      </w:r>
      <w:r w:rsidRPr="00AB21BD">
        <w:rPr>
          <w:rFonts w:ascii="Times New Roman" w:hAnsi="Times New Roman" w:cs="Times New Roman"/>
          <w:noProof/>
          <w:sz w:val="24"/>
          <w:szCs w:val="24"/>
          <w:lang w:val="en-US"/>
        </w:rPr>
        <w:t>http://kokam.com/cell/</w:t>
      </w:r>
    </w:p>
    <w:p w14:paraId="4A9A9A16"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AB21BD">
        <w:rPr>
          <w:rFonts w:ascii="Times New Roman" w:hAnsi="Times New Roman" w:cs="Times New Roman"/>
          <w:noProof/>
          <w:sz w:val="24"/>
          <w:szCs w:val="24"/>
          <w:lang w:val="en-US"/>
        </w:rPr>
        <w:t>[20]</w:t>
      </w:r>
      <w:r w:rsidRPr="00AB21BD">
        <w:rPr>
          <w:rFonts w:ascii="Times New Roman" w:hAnsi="Times New Roman" w:cs="Times New Roman"/>
          <w:noProof/>
          <w:sz w:val="24"/>
          <w:szCs w:val="24"/>
          <w:lang w:val="en-US"/>
        </w:rPr>
        <w:tab/>
        <w:t>Sempra Renewables.</w:t>
      </w:r>
      <w:r>
        <w:rPr>
          <w:rFonts w:ascii="Times New Roman" w:hAnsi="Times New Roman" w:cs="Times New Roman"/>
          <w:noProof/>
          <w:sz w:val="24"/>
          <w:szCs w:val="24"/>
          <w:lang w:val="en-US"/>
        </w:rPr>
        <w:t xml:space="preserve"> </w:t>
      </w:r>
      <w:r w:rsidRPr="00AB21BD">
        <w:rPr>
          <w:rFonts w:ascii="Times New Roman" w:hAnsi="Times New Roman" w:cs="Times New Roman"/>
          <w:noProof/>
          <w:sz w:val="24"/>
          <w:szCs w:val="24"/>
          <w:lang w:val="en-US"/>
        </w:rPr>
        <w:t xml:space="preserve">Auwahi Wind, </w:t>
      </w:r>
      <w:r w:rsidRPr="00CB48C7">
        <w:rPr>
          <w:rFonts w:ascii="Times New Roman" w:hAnsi="Times New Roman" w:cs="Times New Roman"/>
          <w:noProof/>
          <w:sz w:val="24"/>
          <w:szCs w:val="24"/>
          <w:lang w:val="en-US"/>
        </w:rPr>
        <w:t>(2012)</w:t>
      </w:r>
      <w:r>
        <w:rPr>
          <w:rFonts w:ascii="Times New Roman" w:hAnsi="Times New Roman" w:cs="Times New Roman"/>
          <w:noProof/>
          <w:sz w:val="24"/>
          <w:szCs w:val="24"/>
          <w:lang w:val="en-US"/>
        </w:rPr>
        <w:t>.</w:t>
      </w:r>
      <w:r w:rsidRPr="00CB48C7">
        <w:rPr>
          <w:rFonts w:ascii="Times New Roman" w:hAnsi="Times New Roman" w:cs="Times New Roman"/>
          <w:noProof/>
          <w:sz w:val="24"/>
          <w:szCs w:val="24"/>
          <w:lang w:val="en-US"/>
        </w:rPr>
        <w:t xml:space="preserve"> http://www.semprarenewables.com/project/auwahi-wind/</w:t>
      </w:r>
    </w:p>
    <w:p w14:paraId="281619C8"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AB21BD">
        <w:rPr>
          <w:rFonts w:ascii="Times New Roman" w:hAnsi="Times New Roman" w:cs="Times New Roman"/>
          <w:noProof/>
          <w:sz w:val="24"/>
          <w:szCs w:val="24"/>
          <w:lang w:val="en-US"/>
        </w:rPr>
        <w:t>[21]</w:t>
      </w:r>
      <w:r w:rsidRPr="00AB21BD">
        <w:rPr>
          <w:rFonts w:ascii="Times New Roman" w:hAnsi="Times New Roman" w:cs="Times New Roman"/>
          <w:noProof/>
          <w:sz w:val="24"/>
          <w:szCs w:val="24"/>
          <w:lang w:val="en-US"/>
        </w:rPr>
        <w:tab/>
        <w:t>A.H. Fathima, K. Palanisamy</w:t>
      </w:r>
      <w:r>
        <w:rPr>
          <w:rFonts w:ascii="Times New Roman" w:hAnsi="Times New Roman" w:cs="Times New Roman"/>
          <w:noProof/>
          <w:sz w:val="24"/>
          <w:szCs w:val="24"/>
          <w:lang w:val="en-US"/>
        </w:rPr>
        <w:t>.</w:t>
      </w:r>
      <w:r w:rsidRPr="00AB21BD">
        <w:rPr>
          <w:rFonts w:ascii="Times New Roman" w:hAnsi="Times New Roman" w:cs="Times New Roman"/>
          <w:noProof/>
          <w:sz w:val="24"/>
          <w:szCs w:val="24"/>
          <w:lang w:val="en-US"/>
        </w:rPr>
        <w:t xml:space="preserve"> Renewable systems and energy storages for hybrid systems</w:t>
      </w:r>
      <w:r>
        <w:rPr>
          <w:rFonts w:ascii="Times New Roman" w:hAnsi="Times New Roman" w:cs="Times New Roman"/>
          <w:noProof/>
          <w:sz w:val="24"/>
          <w:szCs w:val="24"/>
          <w:lang w:val="en-US"/>
        </w:rPr>
        <w:t>, Ed</w:t>
      </w:r>
      <w:r w:rsidRPr="00AB21BD">
        <w:rPr>
          <w:rFonts w:ascii="Times New Roman" w:hAnsi="Times New Roman" w:cs="Times New Roman"/>
          <w:noProof/>
          <w:sz w:val="24"/>
          <w:szCs w:val="24"/>
          <w:lang w:val="en-US"/>
        </w:rPr>
        <w:t xml:space="preserve">(s): A. Hina Fathima, </w:t>
      </w:r>
      <w:r>
        <w:rPr>
          <w:rFonts w:ascii="Times New Roman" w:hAnsi="Times New Roman" w:cs="Times New Roman"/>
          <w:i/>
          <w:noProof/>
          <w:sz w:val="24"/>
          <w:szCs w:val="24"/>
          <w:lang w:val="en-US"/>
        </w:rPr>
        <w:t>et al.</w:t>
      </w:r>
      <w:r>
        <w:rPr>
          <w:rFonts w:ascii="Times New Roman" w:hAnsi="Times New Roman" w:cs="Times New Roman"/>
          <w:noProof/>
          <w:sz w:val="24"/>
          <w:szCs w:val="24"/>
          <w:lang w:val="en-US"/>
        </w:rPr>
        <w:t xml:space="preserve">, </w:t>
      </w:r>
      <w:r>
        <w:rPr>
          <w:rFonts w:ascii="Times New Roman" w:hAnsi="Times New Roman" w:cs="Times New Roman"/>
          <w:i/>
          <w:noProof/>
          <w:sz w:val="24"/>
          <w:szCs w:val="24"/>
          <w:lang w:val="en-US"/>
        </w:rPr>
        <w:t>in</w:t>
      </w:r>
      <w:r>
        <w:rPr>
          <w:rFonts w:ascii="Times New Roman" w:hAnsi="Times New Roman" w:cs="Times New Roman"/>
          <w:noProof/>
          <w:sz w:val="24"/>
          <w:szCs w:val="24"/>
          <w:lang w:val="en-US"/>
        </w:rPr>
        <w:t xml:space="preserve"> </w:t>
      </w:r>
      <w:r w:rsidRPr="00AB21BD">
        <w:rPr>
          <w:rFonts w:ascii="Times New Roman" w:hAnsi="Times New Roman" w:cs="Times New Roman"/>
          <w:noProof/>
          <w:sz w:val="24"/>
          <w:szCs w:val="24"/>
          <w:lang w:val="en-US"/>
        </w:rPr>
        <w:t xml:space="preserve"> Hybrid-renewable energy systems in microgrids</w:t>
      </w:r>
      <w:r>
        <w:rPr>
          <w:rFonts w:ascii="Times New Roman" w:hAnsi="Times New Roman" w:cs="Times New Roman"/>
          <w:noProof/>
          <w:sz w:val="24"/>
          <w:szCs w:val="24"/>
          <w:lang w:val="en-US"/>
        </w:rPr>
        <w:t xml:space="preserve">. Woodhead Publishing (2018), pp. 162. </w:t>
      </w:r>
      <w:r w:rsidRPr="00AB21BD">
        <w:rPr>
          <w:rFonts w:ascii="Times New Roman" w:hAnsi="Times New Roman" w:cs="Times New Roman"/>
          <w:noProof/>
          <w:sz w:val="24"/>
          <w:szCs w:val="24"/>
          <w:lang w:val="en-US"/>
        </w:rPr>
        <w:t>https://doi.org/10.1016/B978-0-08-102493-5.00008-X</w:t>
      </w:r>
    </w:p>
    <w:p w14:paraId="72E7D4AF" w14:textId="77777777" w:rsidR="00D05697" w:rsidRPr="00AD6FEB"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AD6FEB">
        <w:rPr>
          <w:rFonts w:ascii="Times New Roman" w:hAnsi="Times New Roman" w:cs="Times New Roman"/>
          <w:noProof/>
          <w:sz w:val="24"/>
          <w:szCs w:val="24"/>
          <w:lang w:val="en-US"/>
        </w:rPr>
        <w:t>[22]</w:t>
      </w:r>
      <w:r w:rsidRPr="00AD6FEB">
        <w:rPr>
          <w:rFonts w:ascii="Times New Roman" w:hAnsi="Times New Roman" w:cs="Times New Roman"/>
          <w:noProof/>
          <w:sz w:val="24"/>
          <w:szCs w:val="24"/>
          <w:lang w:val="en-US"/>
        </w:rPr>
        <w:tab/>
        <w:t>Lazard</w:t>
      </w:r>
      <w:r>
        <w:rPr>
          <w:rFonts w:ascii="Times New Roman" w:hAnsi="Times New Roman" w:cs="Times New Roman"/>
          <w:noProof/>
          <w:sz w:val="24"/>
          <w:szCs w:val="24"/>
          <w:lang w:val="en-US"/>
        </w:rPr>
        <w:t>.</w:t>
      </w:r>
      <w:r w:rsidRPr="00AD6FEB">
        <w:rPr>
          <w:rFonts w:ascii="Times New Roman" w:hAnsi="Times New Roman" w:cs="Times New Roman"/>
          <w:noProof/>
          <w:sz w:val="24"/>
          <w:szCs w:val="24"/>
          <w:lang w:val="en-US"/>
        </w:rPr>
        <w:t xml:space="preserve"> Levelized Cost of Storage </w:t>
      </w:r>
      <w:r>
        <w:rPr>
          <w:rFonts w:ascii="Times New Roman" w:hAnsi="Times New Roman" w:cs="Times New Roman"/>
          <w:noProof/>
          <w:sz w:val="24"/>
          <w:szCs w:val="24"/>
          <w:lang w:val="en-US"/>
        </w:rPr>
        <w:t>(</w:t>
      </w:r>
      <w:r w:rsidRPr="00AD6FEB">
        <w:rPr>
          <w:rFonts w:ascii="Times New Roman" w:hAnsi="Times New Roman" w:cs="Times New Roman"/>
          <w:noProof/>
          <w:sz w:val="24"/>
          <w:szCs w:val="24"/>
          <w:lang w:val="en-US"/>
        </w:rPr>
        <w:t>2017</w:t>
      </w:r>
      <w:r>
        <w:rPr>
          <w:rFonts w:ascii="Times New Roman" w:hAnsi="Times New Roman" w:cs="Times New Roman"/>
          <w:noProof/>
          <w:sz w:val="24"/>
          <w:szCs w:val="24"/>
          <w:lang w:val="en-US"/>
        </w:rPr>
        <w:t>).</w:t>
      </w:r>
      <w:r w:rsidRPr="00AD6FEB">
        <w:rPr>
          <w:rFonts w:ascii="Times New Roman" w:hAnsi="Times New Roman" w:cs="Times New Roman"/>
          <w:noProof/>
          <w:sz w:val="24"/>
          <w:szCs w:val="24"/>
          <w:lang w:val="en-US"/>
        </w:rPr>
        <w:t xml:space="preserve">, https://www.lazard.com/perspective/levelized-cost-of-storage-2017/ </w:t>
      </w:r>
    </w:p>
    <w:p w14:paraId="42D74545" w14:textId="77777777" w:rsidR="00D05697" w:rsidRPr="00AD6FEB"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283D85">
        <w:rPr>
          <w:rFonts w:ascii="Times New Roman" w:hAnsi="Times New Roman" w:cs="Times New Roman"/>
          <w:noProof/>
          <w:sz w:val="24"/>
          <w:szCs w:val="24"/>
        </w:rPr>
        <w:t>[23]</w:t>
      </w:r>
      <w:r w:rsidRPr="00283D85">
        <w:rPr>
          <w:rFonts w:ascii="Times New Roman" w:hAnsi="Times New Roman" w:cs="Times New Roman"/>
          <w:noProof/>
          <w:sz w:val="24"/>
          <w:szCs w:val="24"/>
        </w:rPr>
        <w:tab/>
        <w:t xml:space="preserve">R. Hidalgo-León </w:t>
      </w:r>
      <w:r w:rsidRPr="00283D85">
        <w:rPr>
          <w:rFonts w:ascii="Times New Roman" w:hAnsi="Times New Roman" w:cs="Times New Roman"/>
          <w:i/>
          <w:noProof/>
          <w:sz w:val="24"/>
          <w:szCs w:val="24"/>
        </w:rPr>
        <w:t>et al.</w:t>
      </w:r>
      <w:r w:rsidRPr="00283D85">
        <w:rPr>
          <w:rFonts w:ascii="Times New Roman" w:hAnsi="Times New Roman" w:cs="Times New Roman"/>
          <w:noProof/>
          <w:sz w:val="24"/>
          <w:szCs w:val="24"/>
        </w:rPr>
        <w:t xml:space="preserve"> </w:t>
      </w:r>
      <w:r w:rsidRPr="00AD6FEB">
        <w:rPr>
          <w:rFonts w:ascii="Times New Roman" w:hAnsi="Times New Roman" w:cs="Times New Roman"/>
          <w:noProof/>
          <w:sz w:val="24"/>
          <w:szCs w:val="24"/>
          <w:lang w:val="en-US"/>
        </w:rPr>
        <w:t>A survey of battery energy storage system (BESS), applications and environmental impacts in power systems,</w:t>
      </w:r>
      <w:r>
        <w:rPr>
          <w:rFonts w:ascii="Times New Roman" w:hAnsi="Times New Roman" w:cs="Times New Roman"/>
          <w:noProof/>
          <w:sz w:val="24"/>
          <w:szCs w:val="24"/>
          <w:lang w:val="en-US"/>
        </w:rPr>
        <w:t xml:space="preserve"> 2017 </w:t>
      </w:r>
      <w:r w:rsidRPr="00AD6FEB">
        <w:rPr>
          <w:rFonts w:ascii="Times New Roman" w:hAnsi="Times New Roman" w:cs="Times New Roman"/>
          <w:noProof/>
          <w:sz w:val="24"/>
          <w:szCs w:val="24"/>
          <w:lang w:val="en-US"/>
        </w:rPr>
        <w:t>IEEE 2</w:t>
      </w:r>
      <w:r w:rsidRPr="00AD6FEB">
        <w:rPr>
          <w:rFonts w:ascii="Times New Roman" w:hAnsi="Times New Roman" w:cs="Times New Roman"/>
          <w:noProof/>
          <w:sz w:val="24"/>
          <w:szCs w:val="24"/>
          <w:vertAlign w:val="superscript"/>
          <w:lang w:val="en-US"/>
        </w:rPr>
        <w:t>nd</w:t>
      </w:r>
      <w:r w:rsidRPr="00AD6FEB">
        <w:rPr>
          <w:rFonts w:ascii="Times New Roman" w:hAnsi="Times New Roman" w:cs="Times New Roman"/>
          <w:noProof/>
          <w:sz w:val="24"/>
          <w:szCs w:val="24"/>
          <w:lang w:val="en-US"/>
        </w:rPr>
        <w:t xml:space="preserve"> ETCM </w:t>
      </w:r>
      <w:r>
        <w:rPr>
          <w:rFonts w:ascii="Times New Roman" w:hAnsi="Times New Roman" w:cs="Times New Roman"/>
          <w:noProof/>
          <w:sz w:val="24"/>
          <w:szCs w:val="24"/>
          <w:lang w:val="en-US"/>
        </w:rPr>
        <w:t xml:space="preserve">pp. </w:t>
      </w:r>
      <w:r w:rsidRPr="00AD6FEB">
        <w:rPr>
          <w:rFonts w:ascii="Times New Roman" w:hAnsi="Times New Roman" w:cs="Times New Roman"/>
          <w:noProof/>
          <w:sz w:val="24"/>
          <w:szCs w:val="24"/>
          <w:lang w:val="en-US"/>
        </w:rPr>
        <w:t>1–6. doi:10.1109/</w:t>
      </w:r>
      <w:r>
        <w:rPr>
          <w:rFonts w:ascii="Times New Roman" w:hAnsi="Times New Roman" w:cs="Times New Roman"/>
          <w:noProof/>
          <w:sz w:val="24"/>
          <w:szCs w:val="24"/>
          <w:lang w:val="en-US"/>
        </w:rPr>
        <w:t>etcm</w:t>
      </w:r>
      <w:r w:rsidRPr="00AD6FEB">
        <w:rPr>
          <w:rFonts w:ascii="Times New Roman" w:hAnsi="Times New Roman" w:cs="Times New Roman"/>
          <w:noProof/>
          <w:sz w:val="24"/>
          <w:szCs w:val="24"/>
          <w:lang w:val="en-US"/>
        </w:rPr>
        <w:t>.2017.8247485.</w:t>
      </w:r>
    </w:p>
    <w:p w14:paraId="5789401B" w14:textId="5566B9EE"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091D2D">
        <w:rPr>
          <w:rFonts w:ascii="Times New Roman" w:hAnsi="Times New Roman" w:cs="Times New Roman"/>
          <w:noProof/>
          <w:sz w:val="24"/>
          <w:szCs w:val="24"/>
          <w:lang w:val="en-US"/>
        </w:rPr>
        <w:t>[24]</w:t>
      </w:r>
      <w:r w:rsidRPr="00091D2D">
        <w:rPr>
          <w:rFonts w:ascii="Times New Roman" w:hAnsi="Times New Roman" w:cs="Times New Roman"/>
          <w:noProof/>
          <w:sz w:val="24"/>
          <w:szCs w:val="24"/>
          <w:lang w:val="en-US"/>
        </w:rPr>
        <w:tab/>
        <w:t>LG Chem</w:t>
      </w:r>
      <w:r>
        <w:rPr>
          <w:rFonts w:ascii="Times New Roman" w:hAnsi="Times New Roman" w:cs="Times New Roman"/>
          <w:noProof/>
          <w:sz w:val="24"/>
          <w:szCs w:val="24"/>
          <w:lang w:val="en-US"/>
        </w:rPr>
        <w:t>.</w:t>
      </w:r>
      <w:r w:rsidRPr="00091D2D">
        <w:rPr>
          <w:rFonts w:ascii="Times New Roman" w:hAnsi="Times New Roman" w:cs="Times New Roman"/>
          <w:noProof/>
          <w:sz w:val="24"/>
          <w:szCs w:val="24"/>
          <w:lang w:val="en-US"/>
        </w:rPr>
        <w:t xml:space="preserve"> Change your ener</w:t>
      </w:r>
      <w:r w:rsidR="00E42F4A">
        <w:rPr>
          <w:rFonts w:ascii="Times New Roman" w:hAnsi="Times New Roman" w:cs="Times New Roman"/>
          <w:noProof/>
          <w:sz w:val="24"/>
          <w:szCs w:val="24"/>
          <w:lang w:val="en-US"/>
        </w:rPr>
        <w:t>g</w:t>
      </w:r>
      <w:r w:rsidRPr="00091D2D">
        <w:rPr>
          <w:rFonts w:ascii="Times New Roman" w:hAnsi="Times New Roman" w:cs="Times New Roman"/>
          <w:noProof/>
          <w:sz w:val="24"/>
          <w:szCs w:val="24"/>
          <w:lang w:val="en-US"/>
        </w:rPr>
        <w:t>y. Change your life., (201</w:t>
      </w:r>
      <w:r>
        <w:rPr>
          <w:rFonts w:ascii="Times New Roman" w:hAnsi="Times New Roman" w:cs="Times New Roman"/>
          <w:noProof/>
          <w:sz w:val="24"/>
          <w:szCs w:val="24"/>
          <w:lang w:val="en-US"/>
        </w:rPr>
        <w:t xml:space="preserve">8). </w:t>
      </w:r>
      <w:r w:rsidRPr="00AD6FEB">
        <w:rPr>
          <w:rFonts w:ascii="Times New Roman" w:hAnsi="Times New Roman" w:cs="Times New Roman"/>
          <w:noProof/>
          <w:sz w:val="24"/>
          <w:szCs w:val="24"/>
          <w:lang w:val="en-US"/>
        </w:rPr>
        <w:t>http://www.lgchem.com/upload/file/product/LGChem_Catalog_Global_2018.pdf</w:t>
      </w:r>
    </w:p>
    <w:p w14:paraId="476D360F"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091D2D">
        <w:rPr>
          <w:rFonts w:ascii="Times New Roman" w:hAnsi="Times New Roman" w:cs="Times New Roman"/>
          <w:noProof/>
          <w:sz w:val="24"/>
          <w:szCs w:val="24"/>
          <w:lang w:val="en-US"/>
        </w:rPr>
        <w:t>[25]</w:t>
      </w:r>
      <w:r w:rsidRPr="00091D2D">
        <w:rPr>
          <w:rFonts w:ascii="Times New Roman" w:hAnsi="Times New Roman" w:cs="Times New Roman"/>
          <w:noProof/>
          <w:sz w:val="24"/>
          <w:szCs w:val="24"/>
          <w:lang w:val="en-US"/>
        </w:rPr>
        <w:tab/>
      </w:r>
      <w:r>
        <w:rPr>
          <w:rFonts w:ascii="Times New Roman" w:hAnsi="Times New Roman" w:cs="Times New Roman"/>
          <w:noProof/>
          <w:sz w:val="24"/>
          <w:szCs w:val="24"/>
          <w:lang w:val="en-US"/>
        </w:rPr>
        <w:t>Researchinterfaces</w:t>
      </w:r>
      <w:r w:rsidRPr="00091D2D">
        <w:rPr>
          <w:rFonts w:ascii="Times New Roman" w:hAnsi="Times New Roman" w:cs="Times New Roman"/>
          <w:noProof/>
          <w:sz w:val="24"/>
          <w:szCs w:val="24"/>
          <w:lang w:val="en-US"/>
        </w:rPr>
        <w:t>.</w:t>
      </w:r>
      <w:r>
        <w:rPr>
          <w:rFonts w:ascii="Times New Roman" w:hAnsi="Times New Roman" w:cs="Times New Roman"/>
          <w:noProof/>
          <w:sz w:val="24"/>
          <w:szCs w:val="24"/>
          <w:lang w:val="en-US"/>
        </w:rPr>
        <w:t xml:space="preserve"> </w:t>
      </w:r>
      <w:r w:rsidRPr="00091D2D">
        <w:rPr>
          <w:rFonts w:ascii="Times New Roman" w:hAnsi="Times New Roman" w:cs="Times New Roman"/>
          <w:noProof/>
          <w:sz w:val="24"/>
          <w:szCs w:val="24"/>
          <w:lang w:val="en-US"/>
        </w:rPr>
        <w:t xml:space="preserve">Lithium-ion batteries for large-scale grid energy storage, </w:t>
      </w:r>
      <w:r>
        <w:rPr>
          <w:rFonts w:ascii="Times New Roman" w:hAnsi="Times New Roman" w:cs="Times New Roman"/>
          <w:noProof/>
          <w:sz w:val="24"/>
          <w:szCs w:val="24"/>
          <w:lang w:val="en-US"/>
        </w:rPr>
        <w:t>(2018).</w:t>
      </w:r>
      <w:r w:rsidRPr="00091D2D">
        <w:rPr>
          <w:rFonts w:ascii="Times New Roman" w:hAnsi="Times New Roman" w:cs="Times New Roman"/>
          <w:noProof/>
          <w:sz w:val="24"/>
          <w:szCs w:val="24"/>
          <w:lang w:val="en-US"/>
        </w:rPr>
        <w:t xml:space="preserve"> https://researchinterfaces.com/lithium-ion-batteries-grid-</w:t>
      </w:r>
      <w:r>
        <w:rPr>
          <w:rFonts w:ascii="Times New Roman" w:hAnsi="Times New Roman" w:cs="Times New Roman"/>
          <w:noProof/>
          <w:sz w:val="24"/>
          <w:szCs w:val="24"/>
          <w:lang w:val="en-US"/>
        </w:rPr>
        <w:t>energy-storage/</w:t>
      </w:r>
    </w:p>
    <w:p w14:paraId="43BFA6A7" w14:textId="77777777" w:rsidR="00D05697" w:rsidRP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091D2D">
        <w:rPr>
          <w:rFonts w:ascii="Times New Roman" w:hAnsi="Times New Roman" w:cs="Times New Roman"/>
          <w:noProof/>
          <w:sz w:val="24"/>
          <w:szCs w:val="24"/>
          <w:lang w:val="en-US"/>
        </w:rPr>
        <w:t>[26]</w:t>
      </w:r>
      <w:r w:rsidRPr="00091D2D">
        <w:rPr>
          <w:rFonts w:ascii="Times New Roman" w:hAnsi="Times New Roman" w:cs="Times New Roman"/>
          <w:noProof/>
          <w:sz w:val="24"/>
          <w:szCs w:val="24"/>
          <w:lang w:val="en-US"/>
        </w:rPr>
        <w:tab/>
        <w:t>U.S. EPA</w:t>
      </w:r>
      <w:r>
        <w:rPr>
          <w:rFonts w:ascii="Times New Roman" w:hAnsi="Times New Roman" w:cs="Times New Roman"/>
          <w:noProof/>
          <w:sz w:val="24"/>
          <w:szCs w:val="24"/>
          <w:lang w:val="en-US"/>
        </w:rPr>
        <w:t>.</w:t>
      </w:r>
      <w:r w:rsidRPr="00091D2D">
        <w:rPr>
          <w:rFonts w:ascii="Times New Roman" w:hAnsi="Times New Roman" w:cs="Times New Roman"/>
          <w:noProof/>
          <w:sz w:val="24"/>
          <w:szCs w:val="24"/>
          <w:lang w:val="en-US"/>
        </w:rPr>
        <w:t xml:space="preserve"> Application of Life-Cycle Assessment to Nanoscale Technology: Lithium-ion Batteries for Electric Vehicles, United States Environ. </w:t>
      </w:r>
      <w:r w:rsidRPr="00D05697">
        <w:rPr>
          <w:rFonts w:ascii="Times New Roman" w:hAnsi="Times New Roman" w:cs="Times New Roman"/>
          <w:noProof/>
          <w:sz w:val="24"/>
          <w:szCs w:val="24"/>
          <w:lang w:val="en-US"/>
        </w:rPr>
        <w:t>Prot. Agency. (2013) 1–119. doi:10.1038/nchem.2085.</w:t>
      </w:r>
    </w:p>
    <w:p w14:paraId="2A694044" w14:textId="77777777" w:rsidR="00D05697" w:rsidRPr="00091D2D"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091D2D">
        <w:rPr>
          <w:rFonts w:ascii="Times New Roman" w:hAnsi="Times New Roman" w:cs="Times New Roman"/>
          <w:noProof/>
          <w:sz w:val="24"/>
          <w:szCs w:val="24"/>
          <w:lang w:val="en-US"/>
        </w:rPr>
        <w:t>[27]</w:t>
      </w:r>
      <w:r w:rsidRPr="00091D2D">
        <w:rPr>
          <w:rFonts w:ascii="Times New Roman" w:hAnsi="Times New Roman" w:cs="Times New Roman"/>
          <w:noProof/>
          <w:sz w:val="24"/>
          <w:szCs w:val="24"/>
          <w:lang w:val="en-US"/>
        </w:rPr>
        <w:tab/>
        <w:t>J.F. Peters, M. Baumann, B. Zimmermann, J. Braun, M. Weil</w:t>
      </w:r>
      <w:r>
        <w:rPr>
          <w:rFonts w:ascii="Times New Roman" w:hAnsi="Times New Roman" w:cs="Times New Roman"/>
          <w:noProof/>
          <w:sz w:val="24"/>
          <w:szCs w:val="24"/>
          <w:lang w:val="en-US"/>
        </w:rPr>
        <w:t>.</w:t>
      </w:r>
      <w:r w:rsidRPr="00091D2D">
        <w:rPr>
          <w:rFonts w:ascii="Times New Roman" w:hAnsi="Times New Roman" w:cs="Times New Roman"/>
          <w:noProof/>
          <w:sz w:val="24"/>
          <w:szCs w:val="24"/>
          <w:lang w:val="en-US"/>
        </w:rPr>
        <w:t xml:space="preserve"> The environmental impact of Li-Ion batteries and the role of key parameters – A review, </w:t>
      </w:r>
      <w:r w:rsidRPr="00091D2D">
        <w:rPr>
          <w:rFonts w:ascii="Times New Roman" w:hAnsi="Times New Roman" w:cs="Times New Roman"/>
          <w:i/>
          <w:noProof/>
          <w:sz w:val="24"/>
          <w:szCs w:val="24"/>
          <w:lang w:val="en-US"/>
        </w:rPr>
        <w:t>Renew. Sustain. Energy Rev.</w:t>
      </w:r>
      <w:r w:rsidRPr="00091D2D">
        <w:rPr>
          <w:rFonts w:ascii="Times New Roman" w:hAnsi="Times New Roman" w:cs="Times New Roman"/>
          <w:noProof/>
          <w:sz w:val="24"/>
          <w:szCs w:val="24"/>
          <w:lang w:val="en-US"/>
        </w:rPr>
        <w:t xml:space="preserve"> </w:t>
      </w:r>
      <w:r w:rsidRPr="00091D2D">
        <w:rPr>
          <w:rFonts w:ascii="Times New Roman" w:hAnsi="Times New Roman" w:cs="Times New Roman"/>
          <w:b/>
          <w:noProof/>
          <w:sz w:val="24"/>
          <w:szCs w:val="24"/>
          <w:lang w:val="en-US"/>
        </w:rPr>
        <w:t>67</w:t>
      </w:r>
      <w:r w:rsidRPr="00091D2D">
        <w:rPr>
          <w:rFonts w:ascii="Times New Roman" w:hAnsi="Times New Roman" w:cs="Times New Roman"/>
          <w:noProof/>
          <w:sz w:val="24"/>
          <w:szCs w:val="24"/>
          <w:lang w:val="en-US"/>
        </w:rPr>
        <w:t xml:space="preserve"> (2017) 491–506. doi:10.1016/</w:t>
      </w:r>
      <w:r>
        <w:rPr>
          <w:rFonts w:ascii="Times New Roman" w:hAnsi="Times New Roman" w:cs="Times New Roman"/>
          <w:noProof/>
          <w:sz w:val="24"/>
          <w:szCs w:val="24"/>
          <w:lang w:val="en-US"/>
        </w:rPr>
        <w:t>j.rser</w:t>
      </w:r>
      <w:r w:rsidRPr="00091D2D">
        <w:rPr>
          <w:rFonts w:ascii="Times New Roman" w:hAnsi="Times New Roman" w:cs="Times New Roman"/>
          <w:noProof/>
          <w:sz w:val="24"/>
          <w:szCs w:val="24"/>
          <w:lang w:val="en-US"/>
        </w:rPr>
        <w:t>.2016.08.039</w:t>
      </w:r>
    </w:p>
    <w:p w14:paraId="22D34440"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091D2D">
        <w:rPr>
          <w:rFonts w:ascii="Times New Roman" w:hAnsi="Times New Roman" w:cs="Times New Roman"/>
          <w:noProof/>
          <w:sz w:val="24"/>
          <w:szCs w:val="24"/>
          <w:lang w:val="en-US"/>
        </w:rPr>
        <w:t>[28]</w:t>
      </w:r>
      <w:r w:rsidRPr="00091D2D">
        <w:rPr>
          <w:rFonts w:ascii="Times New Roman" w:hAnsi="Times New Roman" w:cs="Times New Roman"/>
          <w:noProof/>
          <w:sz w:val="24"/>
          <w:szCs w:val="24"/>
          <w:lang w:val="en-US"/>
        </w:rPr>
        <w:tab/>
      </w:r>
      <w:r>
        <w:rPr>
          <w:rFonts w:ascii="Times New Roman" w:hAnsi="Times New Roman" w:cs="Times New Roman"/>
          <w:noProof/>
          <w:sz w:val="24"/>
          <w:szCs w:val="24"/>
          <w:lang w:val="en-US"/>
        </w:rPr>
        <w:t>The Washington Post.</w:t>
      </w:r>
      <w:r w:rsidRPr="00091D2D">
        <w:rPr>
          <w:rFonts w:ascii="Times New Roman" w:hAnsi="Times New Roman" w:cs="Times New Roman"/>
          <w:noProof/>
          <w:sz w:val="24"/>
          <w:szCs w:val="24"/>
          <w:lang w:val="en-US"/>
        </w:rPr>
        <w:t xml:space="preserve"> The environ</w:t>
      </w:r>
      <w:r>
        <w:rPr>
          <w:rFonts w:ascii="Times New Roman" w:hAnsi="Times New Roman" w:cs="Times New Roman"/>
          <w:noProof/>
          <w:sz w:val="24"/>
          <w:szCs w:val="24"/>
          <w:lang w:val="en-US"/>
        </w:rPr>
        <w:t>mental impact of cobalt mining, (2018)</w:t>
      </w:r>
      <w:r w:rsidRPr="00091D2D">
        <w:rPr>
          <w:rFonts w:ascii="Times New Roman" w:hAnsi="Times New Roman" w:cs="Times New Roman"/>
          <w:noProof/>
          <w:sz w:val="24"/>
          <w:szCs w:val="24"/>
          <w:lang w:val="en-US"/>
        </w:rPr>
        <w:t>. https://www.washingtonpost.com/news/in-sight/wp/2018/02/28/the-cost-of-cobalt/?utm_term=.eebc6c00f0de</w:t>
      </w:r>
    </w:p>
    <w:p w14:paraId="1DEE1309"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091D2D">
        <w:rPr>
          <w:rFonts w:ascii="Times New Roman" w:hAnsi="Times New Roman" w:cs="Times New Roman"/>
          <w:noProof/>
          <w:sz w:val="24"/>
          <w:szCs w:val="24"/>
          <w:lang w:val="en-US"/>
        </w:rPr>
        <w:t>[29]</w:t>
      </w:r>
      <w:r w:rsidRPr="00091D2D">
        <w:rPr>
          <w:rFonts w:ascii="Times New Roman" w:hAnsi="Times New Roman" w:cs="Times New Roman"/>
          <w:noProof/>
          <w:sz w:val="24"/>
          <w:szCs w:val="24"/>
          <w:lang w:val="en-US"/>
        </w:rPr>
        <w:tab/>
      </w:r>
      <w:r>
        <w:rPr>
          <w:rFonts w:ascii="Times New Roman" w:hAnsi="Times New Roman" w:cs="Times New Roman"/>
          <w:noProof/>
          <w:sz w:val="24"/>
          <w:szCs w:val="24"/>
          <w:lang w:val="en-US"/>
        </w:rPr>
        <w:t xml:space="preserve">Visualcapitalist. </w:t>
      </w:r>
      <w:r w:rsidRPr="00091D2D">
        <w:rPr>
          <w:rFonts w:ascii="Times New Roman" w:hAnsi="Times New Roman" w:cs="Times New Roman"/>
          <w:noProof/>
          <w:sz w:val="24"/>
          <w:szCs w:val="24"/>
          <w:lang w:val="en-US"/>
        </w:rPr>
        <w:t>Nickel: The Secret Driver of the Battery Revolution, (201</w:t>
      </w:r>
      <w:r>
        <w:rPr>
          <w:rFonts w:ascii="Times New Roman" w:hAnsi="Times New Roman" w:cs="Times New Roman"/>
          <w:noProof/>
          <w:sz w:val="24"/>
          <w:szCs w:val="24"/>
          <w:lang w:val="en-US"/>
        </w:rPr>
        <w:t>7</w:t>
      </w:r>
      <w:r w:rsidRPr="00091D2D">
        <w:rPr>
          <w:rFonts w:ascii="Times New Roman" w:hAnsi="Times New Roman" w:cs="Times New Roman"/>
          <w:noProof/>
          <w:sz w:val="24"/>
          <w:szCs w:val="24"/>
          <w:lang w:val="en-US"/>
        </w:rPr>
        <w:t>). http://www.visualcapitalist.com/nickel-se</w:t>
      </w:r>
      <w:r>
        <w:rPr>
          <w:rFonts w:ascii="Times New Roman" w:hAnsi="Times New Roman" w:cs="Times New Roman"/>
          <w:noProof/>
          <w:sz w:val="24"/>
          <w:szCs w:val="24"/>
          <w:lang w:val="en-US"/>
        </w:rPr>
        <w:t>cret-driver-battery-revolution/</w:t>
      </w:r>
    </w:p>
    <w:p w14:paraId="515CF432"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091D2D">
        <w:rPr>
          <w:rFonts w:ascii="Times New Roman" w:hAnsi="Times New Roman" w:cs="Times New Roman"/>
          <w:noProof/>
          <w:sz w:val="24"/>
          <w:szCs w:val="24"/>
          <w:lang w:val="en-US"/>
        </w:rPr>
        <w:t>[30]</w:t>
      </w:r>
      <w:r w:rsidRPr="00091D2D">
        <w:rPr>
          <w:rFonts w:ascii="Times New Roman" w:hAnsi="Times New Roman" w:cs="Times New Roman"/>
          <w:noProof/>
          <w:sz w:val="24"/>
          <w:szCs w:val="24"/>
          <w:lang w:val="en-US"/>
        </w:rPr>
        <w:tab/>
      </w:r>
      <w:r>
        <w:rPr>
          <w:rFonts w:ascii="Times New Roman" w:hAnsi="Times New Roman" w:cs="Times New Roman"/>
          <w:noProof/>
          <w:sz w:val="24"/>
          <w:szCs w:val="24"/>
          <w:lang w:val="en-US"/>
        </w:rPr>
        <w:t xml:space="preserve">Bloomberg. </w:t>
      </w:r>
      <w:r w:rsidRPr="00091D2D">
        <w:rPr>
          <w:rFonts w:ascii="Times New Roman" w:hAnsi="Times New Roman" w:cs="Times New Roman"/>
          <w:noProof/>
          <w:sz w:val="24"/>
          <w:szCs w:val="24"/>
          <w:lang w:val="en-US"/>
        </w:rPr>
        <w:t>We’re Going to Need More Lithium,</w:t>
      </w:r>
      <w:r>
        <w:rPr>
          <w:rFonts w:ascii="Times New Roman" w:hAnsi="Times New Roman" w:cs="Times New Roman"/>
          <w:noProof/>
          <w:sz w:val="24"/>
          <w:szCs w:val="24"/>
          <w:lang w:val="en-US"/>
        </w:rPr>
        <w:t xml:space="preserve"> </w:t>
      </w:r>
      <w:r w:rsidRPr="00091D2D">
        <w:rPr>
          <w:rFonts w:ascii="Times New Roman" w:hAnsi="Times New Roman" w:cs="Times New Roman"/>
          <w:noProof/>
          <w:sz w:val="24"/>
          <w:szCs w:val="24"/>
          <w:lang w:val="en-US"/>
        </w:rPr>
        <w:t>(</w:t>
      </w:r>
      <w:r>
        <w:rPr>
          <w:rFonts w:ascii="Times New Roman" w:hAnsi="Times New Roman" w:cs="Times New Roman"/>
          <w:noProof/>
          <w:sz w:val="24"/>
          <w:szCs w:val="24"/>
          <w:lang w:val="en-US"/>
        </w:rPr>
        <w:t>2017</w:t>
      </w:r>
      <w:r w:rsidRPr="00091D2D">
        <w:rPr>
          <w:rFonts w:ascii="Times New Roman" w:hAnsi="Times New Roman" w:cs="Times New Roman"/>
          <w:noProof/>
          <w:sz w:val="24"/>
          <w:szCs w:val="24"/>
          <w:lang w:val="en-US"/>
        </w:rPr>
        <w:t xml:space="preserve">). </w:t>
      </w:r>
      <w:r w:rsidRPr="00091D2D">
        <w:rPr>
          <w:rFonts w:ascii="Times New Roman" w:hAnsi="Times New Roman" w:cs="Times New Roman"/>
          <w:noProof/>
          <w:sz w:val="24"/>
          <w:szCs w:val="24"/>
          <w:lang w:val="en-US"/>
        </w:rPr>
        <w:lastRenderedPageBreak/>
        <w:t>https://www.bloomberg.com/graphics/2017-lithium-battery-futu</w:t>
      </w:r>
      <w:r>
        <w:rPr>
          <w:rFonts w:ascii="Times New Roman" w:hAnsi="Times New Roman" w:cs="Times New Roman"/>
          <w:noProof/>
          <w:sz w:val="24"/>
          <w:szCs w:val="24"/>
          <w:lang w:val="en-US"/>
        </w:rPr>
        <w:t>re/</w:t>
      </w:r>
    </w:p>
    <w:p w14:paraId="7610F748" w14:textId="77777777" w:rsidR="00D05697" w:rsidRPr="008A02D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[31]</w:t>
      </w:r>
      <w:r w:rsidRPr="008A02D7">
        <w:rPr>
          <w:rFonts w:ascii="Times New Roman" w:hAnsi="Times New Roman" w:cs="Times New Roman"/>
          <w:noProof/>
          <w:sz w:val="24"/>
          <w:szCs w:val="24"/>
          <w:lang w:val="en-US"/>
        </w:rPr>
        <w:tab/>
        <w:t>R. Petibon, J. Xia, L. Ma, M.K.G. Bauer, K.J. Nelson, J.R. Dahn</w:t>
      </w:r>
      <w:r>
        <w:rPr>
          <w:rFonts w:ascii="Times New Roman" w:hAnsi="Times New Roman" w:cs="Times New Roman"/>
          <w:noProof/>
          <w:sz w:val="24"/>
          <w:szCs w:val="24"/>
          <w:lang w:val="en-US"/>
        </w:rPr>
        <w:t>.</w:t>
      </w:r>
      <w:r w:rsidRPr="008A02D7">
        <w:rPr>
          <w:rFonts w:ascii="Times New Roman" w:hAnsi="Times New Roman" w:cs="Times New Roman"/>
          <w:noProof/>
          <w:sz w:val="24"/>
          <w:szCs w:val="24"/>
          <w:lang w:val="en-US"/>
        </w:rPr>
        <w:t xml:space="preserve"> Electrolyte System for High Voltage Li-Ion Cells, </w:t>
      </w:r>
      <w:r w:rsidRPr="008A02D7">
        <w:rPr>
          <w:rFonts w:ascii="Times New Roman" w:hAnsi="Times New Roman" w:cs="Times New Roman"/>
          <w:i/>
          <w:noProof/>
          <w:sz w:val="24"/>
          <w:szCs w:val="24"/>
          <w:lang w:val="en-US"/>
        </w:rPr>
        <w:t>J. Electrochem. Soc.</w:t>
      </w:r>
      <w:r w:rsidRPr="008A02D7">
        <w:rPr>
          <w:rFonts w:ascii="Times New Roman" w:hAnsi="Times New Roman" w:cs="Times New Roman"/>
          <w:noProof/>
          <w:sz w:val="24"/>
          <w:szCs w:val="24"/>
          <w:lang w:val="en-US"/>
        </w:rPr>
        <w:t xml:space="preserve"> </w:t>
      </w:r>
      <w:r w:rsidRPr="008A02D7">
        <w:rPr>
          <w:rFonts w:ascii="Times New Roman" w:hAnsi="Times New Roman" w:cs="Times New Roman"/>
          <w:b/>
          <w:noProof/>
          <w:sz w:val="24"/>
          <w:szCs w:val="24"/>
          <w:lang w:val="en-US"/>
        </w:rPr>
        <w:t>163</w:t>
      </w:r>
      <w:r w:rsidRPr="008A02D7">
        <w:rPr>
          <w:rFonts w:ascii="Times New Roman" w:hAnsi="Times New Roman" w:cs="Times New Roman"/>
          <w:noProof/>
          <w:sz w:val="24"/>
          <w:szCs w:val="24"/>
          <w:lang w:val="en-US"/>
        </w:rPr>
        <w:t xml:space="preserve"> (2016) A2571–</w:t>
      </w:r>
      <w:r>
        <w:rPr>
          <w:rFonts w:ascii="Times New Roman" w:hAnsi="Times New Roman" w:cs="Times New Roman"/>
          <w:noProof/>
          <w:sz w:val="24"/>
          <w:szCs w:val="24"/>
          <w:lang w:val="en-US"/>
        </w:rPr>
        <w:t>A2578. doi:10.1149/2.0321613jes</w:t>
      </w:r>
    </w:p>
    <w:p w14:paraId="03EB6C30" w14:textId="77777777" w:rsidR="00D05697" w:rsidRPr="008A02D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[32]</w:t>
      </w:r>
      <w:r w:rsidRPr="008A02D7">
        <w:rPr>
          <w:rFonts w:ascii="Times New Roman" w:hAnsi="Times New Roman" w:cs="Times New Roman"/>
          <w:noProof/>
          <w:sz w:val="24"/>
          <w:szCs w:val="24"/>
          <w:lang w:val="en-US"/>
        </w:rPr>
        <w:tab/>
        <w:t>A. Casimir, H. Zhang, O. Ogoke, J.C. Amine, J. Lu, G. Wu</w:t>
      </w:r>
      <w:r>
        <w:rPr>
          <w:rFonts w:ascii="Times New Roman" w:hAnsi="Times New Roman" w:cs="Times New Roman"/>
          <w:noProof/>
          <w:sz w:val="24"/>
          <w:szCs w:val="24"/>
          <w:lang w:val="en-US"/>
        </w:rPr>
        <w:t>.</w:t>
      </w:r>
      <w:r w:rsidRPr="008A02D7">
        <w:rPr>
          <w:rFonts w:ascii="Times New Roman" w:hAnsi="Times New Roman" w:cs="Times New Roman"/>
          <w:noProof/>
          <w:sz w:val="24"/>
          <w:szCs w:val="24"/>
          <w:lang w:val="en-US"/>
        </w:rPr>
        <w:t xml:space="preserve"> Silicon-based anodes for lithium-ion batteries: Effectiveness of materials synthesis and electrode preparation, </w:t>
      </w:r>
      <w:r w:rsidRPr="008A02D7">
        <w:rPr>
          <w:rFonts w:ascii="Times New Roman" w:hAnsi="Times New Roman" w:cs="Times New Roman"/>
          <w:i/>
          <w:noProof/>
          <w:sz w:val="24"/>
          <w:szCs w:val="24"/>
          <w:lang w:val="en-US"/>
        </w:rPr>
        <w:t>Nano Energy</w:t>
      </w:r>
      <w:r w:rsidRPr="008A02D7">
        <w:rPr>
          <w:rFonts w:ascii="Times New Roman" w:hAnsi="Times New Roman" w:cs="Times New Roman"/>
          <w:noProof/>
          <w:sz w:val="24"/>
          <w:szCs w:val="24"/>
          <w:lang w:val="en-US"/>
        </w:rPr>
        <w:t xml:space="preserve">. </w:t>
      </w:r>
      <w:r w:rsidRPr="008A02D7">
        <w:rPr>
          <w:rFonts w:ascii="Times New Roman" w:hAnsi="Times New Roman" w:cs="Times New Roman"/>
          <w:b/>
          <w:noProof/>
          <w:sz w:val="24"/>
          <w:szCs w:val="24"/>
          <w:lang w:val="en-US"/>
        </w:rPr>
        <w:t>27</w:t>
      </w:r>
      <w:r w:rsidRPr="008A02D7">
        <w:rPr>
          <w:rFonts w:ascii="Times New Roman" w:hAnsi="Times New Roman" w:cs="Times New Roman"/>
          <w:noProof/>
          <w:sz w:val="24"/>
          <w:szCs w:val="24"/>
          <w:lang w:val="en-US"/>
        </w:rPr>
        <w:t xml:space="preserve"> (2016) 359–376. d</w:t>
      </w:r>
      <w:r>
        <w:rPr>
          <w:rFonts w:ascii="Times New Roman" w:hAnsi="Times New Roman" w:cs="Times New Roman"/>
          <w:noProof/>
          <w:sz w:val="24"/>
          <w:szCs w:val="24"/>
          <w:lang w:val="en-US"/>
        </w:rPr>
        <w:t>oi:10.1016/j.nanoen.2016.07.023</w:t>
      </w:r>
    </w:p>
    <w:p w14:paraId="79A2179E" w14:textId="77777777" w:rsidR="00D05697" w:rsidRPr="008A02D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[33]</w:t>
      </w:r>
      <w:r w:rsidRPr="008A02D7">
        <w:rPr>
          <w:rFonts w:ascii="Times New Roman" w:hAnsi="Times New Roman" w:cs="Times New Roman"/>
          <w:noProof/>
          <w:sz w:val="24"/>
          <w:szCs w:val="24"/>
          <w:lang w:val="en-US"/>
        </w:rPr>
        <w:tab/>
        <w:t>M. Saulnier, A. Auclair, G. Liang, S.B. Schougaard</w:t>
      </w:r>
      <w:r>
        <w:rPr>
          <w:rFonts w:ascii="Times New Roman" w:hAnsi="Times New Roman" w:cs="Times New Roman"/>
          <w:noProof/>
          <w:sz w:val="24"/>
          <w:szCs w:val="24"/>
          <w:lang w:val="en-US"/>
        </w:rPr>
        <w:t>.</w:t>
      </w:r>
      <w:r w:rsidRPr="008A02D7">
        <w:rPr>
          <w:rFonts w:ascii="Times New Roman" w:hAnsi="Times New Roman" w:cs="Times New Roman"/>
          <w:noProof/>
          <w:sz w:val="24"/>
          <w:szCs w:val="24"/>
          <w:lang w:val="en-US"/>
        </w:rPr>
        <w:t xml:space="preserve"> Manganese dissolution in lithium-ion positive electrode materials, </w:t>
      </w:r>
      <w:r w:rsidRPr="008A02D7">
        <w:rPr>
          <w:rFonts w:ascii="Times New Roman" w:hAnsi="Times New Roman" w:cs="Times New Roman"/>
          <w:i/>
          <w:noProof/>
          <w:sz w:val="24"/>
          <w:szCs w:val="24"/>
          <w:lang w:val="en-US"/>
        </w:rPr>
        <w:t>Solid State Ionics</w:t>
      </w:r>
      <w:r w:rsidRPr="008A02D7">
        <w:rPr>
          <w:rFonts w:ascii="Times New Roman" w:hAnsi="Times New Roman" w:cs="Times New Roman"/>
          <w:noProof/>
          <w:sz w:val="24"/>
          <w:szCs w:val="24"/>
          <w:lang w:val="en-US"/>
        </w:rPr>
        <w:t xml:space="preserve">. </w:t>
      </w:r>
      <w:r w:rsidRPr="008A02D7">
        <w:rPr>
          <w:rFonts w:ascii="Times New Roman" w:hAnsi="Times New Roman" w:cs="Times New Roman"/>
          <w:b/>
          <w:noProof/>
          <w:sz w:val="24"/>
          <w:szCs w:val="24"/>
          <w:lang w:val="en-US"/>
        </w:rPr>
        <w:t>294</w:t>
      </w:r>
      <w:r w:rsidRPr="008A02D7">
        <w:rPr>
          <w:rFonts w:ascii="Times New Roman" w:hAnsi="Times New Roman" w:cs="Times New Roman"/>
          <w:noProof/>
          <w:sz w:val="24"/>
          <w:szCs w:val="24"/>
          <w:lang w:val="en-US"/>
        </w:rPr>
        <w:t xml:space="preserve"> (2016) 1–5. doi:10.1016/</w:t>
      </w:r>
      <w:r>
        <w:rPr>
          <w:rFonts w:ascii="Times New Roman" w:hAnsi="Times New Roman" w:cs="Times New Roman"/>
          <w:noProof/>
          <w:sz w:val="24"/>
          <w:szCs w:val="24"/>
          <w:lang w:val="en-US"/>
        </w:rPr>
        <w:t>j.ssi</w:t>
      </w:r>
      <w:r w:rsidRPr="008A02D7">
        <w:rPr>
          <w:rFonts w:ascii="Times New Roman" w:hAnsi="Times New Roman" w:cs="Times New Roman"/>
          <w:noProof/>
          <w:sz w:val="24"/>
          <w:szCs w:val="24"/>
          <w:lang w:val="en-US"/>
        </w:rPr>
        <w:t>.2016.06.007</w:t>
      </w:r>
    </w:p>
    <w:p w14:paraId="5A7112B7" w14:textId="77777777" w:rsidR="00D05697" w:rsidRPr="008A02D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[34]</w:t>
      </w:r>
      <w:r w:rsidRPr="008A02D7">
        <w:rPr>
          <w:rFonts w:ascii="Times New Roman" w:hAnsi="Times New Roman" w:cs="Times New Roman"/>
          <w:noProof/>
          <w:sz w:val="24"/>
          <w:szCs w:val="24"/>
          <w:lang w:val="en-US"/>
        </w:rPr>
        <w:tab/>
        <w:t>E.-Y. Kim, B.-R. Lee, G. Yun, E.-S. Oh, H. Lee</w:t>
      </w:r>
      <w:r>
        <w:rPr>
          <w:rFonts w:ascii="Times New Roman" w:hAnsi="Times New Roman" w:cs="Times New Roman"/>
          <w:noProof/>
          <w:sz w:val="24"/>
          <w:szCs w:val="24"/>
          <w:lang w:val="en-US"/>
        </w:rPr>
        <w:t>.</w:t>
      </w:r>
      <w:r w:rsidRPr="008A02D7">
        <w:rPr>
          <w:rFonts w:ascii="Times New Roman" w:hAnsi="Times New Roman" w:cs="Times New Roman"/>
          <w:noProof/>
          <w:sz w:val="24"/>
          <w:szCs w:val="24"/>
          <w:lang w:val="en-US"/>
        </w:rPr>
        <w:t xml:space="preserve"> Effects of binder content on manganese dissolution and electrochemical performances of spinel lithium manganese oxide cathodes for lithium ion batteries, </w:t>
      </w:r>
      <w:r w:rsidRPr="008A02D7">
        <w:rPr>
          <w:rFonts w:ascii="Times New Roman" w:hAnsi="Times New Roman" w:cs="Times New Roman"/>
          <w:i/>
          <w:noProof/>
          <w:sz w:val="24"/>
          <w:szCs w:val="24"/>
          <w:lang w:val="en-US"/>
        </w:rPr>
        <w:t>Curr. Appl. Phys</w:t>
      </w:r>
      <w:r w:rsidRPr="008A02D7">
        <w:rPr>
          <w:rFonts w:ascii="Times New Roman" w:hAnsi="Times New Roman" w:cs="Times New Roman"/>
          <w:noProof/>
          <w:sz w:val="24"/>
          <w:szCs w:val="24"/>
          <w:lang w:val="en-US"/>
        </w:rPr>
        <w:t xml:space="preserve">. </w:t>
      </w:r>
      <w:r w:rsidRPr="008A02D7">
        <w:rPr>
          <w:rFonts w:ascii="Times New Roman" w:hAnsi="Times New Roman" w:cs="Times New Roman"/>
          <w:b/>
          <w:noProof/>
          <w:sz w:val="24"/>
          <w:szCs w:val="24"/>
          <w:lang w:val="en-US"/>
        </w:rPr>
        <w:t>15</w:t>
      </w:r>
      <w:r w:rsidRPr="008A02D7">
        <w:rPr>
          <w:rFonts w:ascii="Times New Roman" w:hAnsi="Times New Roman" w:cs="Times New Roman"/>
          <w:noProof/>
          <w:sz w:val="24"/>
          <w:szCs w:val="24"/>
          <w:lang w:val="en-US"/>
        </w:rPr>
        <w:t xml:space="preserve"> (2015) 429–434. doi:10.101</w:t>
      </w:r>
      <w:r>
        <w:rPr>
          <w:rFonts w:ascii="Times New Roman" w:hAnsi="Times New Roman" w:cs="Times New Roman"/>
          <w:noProof/>
          <w:sz w:val="24"/>
          <w:szCs w:val="24"/>
          <w:lang w:val="en-US"/>
        </w:rPr>
        <w:t>6/j.cap.2015.01.029</w:t>
      </w:r>
    </w:p>
    <w:p w14:paraId="3EE7DC29" w14:textId="77777777" w:rsidR="00D05697" w:rsidRPr="008A02D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[35]</w:t>
      </w:r>
      <w:r w:rsidRPr="008A02D7">
        <w:rPr>
          <w:rFonts w:ascii="Times New Roman" w:hAnsi="Times New Roman" w:cs="Times New Roman"/>
          <w:noProof/>
          <w:sz w:val="24"/>
          <w:szCs w:val="24"/>
          <w:lang w:val="en-US"/>
        </w:rPr>
        <w:tab/>
        <w:t>S. Lee, E.-Y. Kim, H. Lee, E.-S. Oh</w:t>
      </w:r>
      <w:r>
        <w:rPr>
          <w:rFonts w:ascii="Times New Roman" w:hAnsi="Times New Roman" w:cs="Times New Roman"/>
          <w:noProof/>
          <w:sz w:val="24"/>
          <w:szCs w:val="24"/>
          <w:lang w:val="en-US"/>
        </w:rPr>
        <w:t>.</w:t>
      </w:r>
      <w:r w:rsidRPr="008A02D7">
        <w:rPr>
          <w:rFonts w:ascii="Times New Roman" w:hAnsi="Times New Roman" w:cs="Times New Roman"/>
          <w:noProof/>
          <w:sz w:val="24"/>
          <w:szCs w:val="24"/>
          <w:lang w:val="en-US"/>
        </w:rPr>
        <w:t xml:space="preserve"> Effects of polymeric binders on electrochemical performances of spinel lithium manganese oxide cathodes in lithium ion batteries, </w:t>
      </w:r>
      <w:r w:rsidRPr="008A02D7">
        <w:rPr>
          <w:rFonts w:ascii="Times New Roman" w:hAnsi="Times New Roman" w:cs="Times New Roman"/>
          <w:i/>
          <w:noProof/>
          <w:sz w:val="24"/>
          <w:szCs w:val="24"/>
          <w:lang w:val="en-US"/>
        </w:rPr>
        <w:t>J. Power Sources</w:t>
      </w:r>
      <w:r w:rsidRPr="008A02D7">
        <w:rPr>
          <w:rFonts w:ascii="Times New Roman" w:hAnsi="Times New Roman" w:cs="Times New Roman"/>
          <w:noProof/>
          <w:sz w:val="24"/>
          <w:szCs w:val="24"/>
          <w:lang w:val="en-US"/>
        </w:rPr>
        <w:t xml:space="preserve">. </w:t>
      </w:r>
      <w:r w:rsidRPr="008A02D7">
        <w:rPr>
          <w:rFonts w:ascii="Times New Roman" w:hAnsi="Times New Roman" w:cs="Times New Roman"/>
          <w:b/>
          <w:noProof/>
          <w:sz w:val="24"/>
          <w:szCs w:val="24"/>
          <w:lang w:val="en-US"/>
        </w:rPr>
        <w:t>269</w:t>
      </w:r>
      <w:r w:rsidRPr="008A02D7">
        <w:rPr>
          <w:rFonts w:ascii="Times New Roman" w:hAnsi="Times New Roman" w:cs="Times New Roman"/>
          <w:noProof/>
          <w:sz w:val="24"/>
          <w:szCs w:val="24"/>
          <w:lang w:val="en-US"/>
        </w:rPr>
        <w:t xml:space="preserve"> (2014) 418–423. doi:10.1016/</w:t>
      </w:r>
      <w:r>
        <w:rPr>
          <w:rFonts w:ascii="Times New Roman" w:hAnsi="Times New Roman" w:cs="Times New Roman"/>
          <w:noProof/>
          <w:sz w:val="24"/>
          <w:szCs w:val="24"/>
          <w:lang w:val="en-US"/>
        </w:rPr>
        <w:t>j.jpowsour</w:t>
      </w:r>
      <w:r w:rsidRPr="008A02D7">
        <w:rPr>
          <w:rFonts w:ascii="Times New Roman" w:hAnsi="Times New Roman" w:cs="Times New Roman"/>
          <w:noProof/>
          <w:sz w:val="24"/>
          <w:szCs w:val="24"/>
          <w:lang w:val="en-US"/>
        </w:rPr>
        <w:t>.2014.06.167</w:t>
      </w:r>
    </w:p>
    <w:p w14:paraId="5FF5D707"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[36]</w:t>
      </w:r>
      <w:r w:rsidRPr="008A02D7">
        <w:rPr>
          <w:rFonts w:ascii="Times New Roman" w:hAnsi="Times New Roman" w:cs="Times New Roman"/>
          <w:noProof/>
          <w:sz w:val="24"/>
          <w:szCs w:val="24"/>
          <w:lang w:val="en-US"/>
        </w:rPr>
        <w:tab/>
        <w:t>eeNews Power</w:t>
      </w:r>
      <w:r>
        <w:rPr>
          <w:rFonts w:ascii="Times New Roman" w:hAnsi="Times New Roman" w:cs="Times New Roman"/>
          <w:noProof/>
          <w:sz w:val="24"/>
          <w:szCs w:val="24"/>
          <w:lang w:val="en-US"/>
        </w:rPr>
        <w:t xml:space="preserve"> Management. </w:t>
      </w:r>
      <w:r w:rsidRPr="008A02D7">
        <w:rPr>
          <w:rFonts w:ascii="Times New Roman" w:hAnsi="Times New Roman" w:cs="Times New Roman"/>
          <w:noProof/>
          <w:sz w:val="24"/>
          <w:szCs w:val="24"/>
          <w:lang w:val="en-US"/>
        </w:rPr>
        <w:t>Revolutionary solid state rechargeable aluminium-sulfur battery project starts</w:t>
      </w:r>
      <w:r>
        <w:rPr>
          <w:rFonts w:ascii="Times New Roman" w:hAnsi="Times New Roman" w:cs="Times New Roman"/>
          <w:noProof/>
          <w:sz w:val="24"/>
          <w:szCs w:val="24"/>
          <w:lang w:val="en-US"/>
        </w:rPr>
        <w:t xml:space="preserve">, </w:t>
      </w:r>
      <w:r w:rsidRPr="008A02D7">
        <w:rPr>
          <w:rFonts w:ascii="Times New Roman" w:hAnsi="Times New Roman" w:cs="Times New Roman"/>
          <w:noProof/>
          <w:sz w:val="24"/>
          <w:szCs w:val="24"/>
          <w:lang w:val="en-US"/>
        </w:rPr>
        <w:t>(</w:t>
      </w:r>
      <w:r>
        <w:rPr>
          <w:rFonts w:ascii="Times New Roman" w:hAnsi="Times New Roman" w:cs="Times New Roman"/>
          <w:noProof/>
          <w:sz w:val="24"/>
          <w:szCs w:val="24"/>
          <w:lang w:val="en-US"/>
        </w:rPr>
        <w:t>2017</w:t>
      </w:r>
      <w:r w:rsidRPr="008A02D7">
        <w:rPr>
          <w:rFonts w:ascii="Times New Roman" w:hAnsi="Times New Roman" w:cs="Times New Roman"/>
          <w:noProof/>
          <w:sz w:val="24"/>
          <w:szCs w:val="24"/>
          <w:lang w:val="en-US"/>
        </w:rPr>
        <w:t>). http://www.eenewspower.com/news/revolutionary-solid-state-rechargeable-aluminium-sulfur-battery-project-starts</w:t>
      </w:r>
    </w:p>
    <w:p w14:paraId="754701FA"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[37]</w:t>
      </w:r>
      <w:r w:rsidRPr="008A02D7">
        <w:rPr>
          <w:rFonts w:ascii="Times New Roman" w:hAnsi="Times New Roman" w:cs="Times New Roman"/>
          <w:noProof/>
          <w:sz w:val="24"/>
          <w:szCs w:val="24"/>
          <w:lang w:val="en-US"/>
        </w:rPr>
        <w:tab/>
        <w:t>Ørsted</w:t>
      </w:r>
      <w:r>
        <w:rPr>
          <w:rFonts w:ascii="Times New Roman" w:hAnsi="Times New Roman" w:cs="Times New Roman"/>
          <w:noProof/>
          <w:sz w:val="24"/>
          <w:szCs w:val="24"/>
          <w:lang w:val="en-US"/>
        </w:rPr>
        <w:t>.</w:t>
      </w:r>
      <w:r w:rsidRPr="008A02D7">
        <w:rPr>
          <w:rFonts w:ascii="Times New Roman" w:hAnsi="Times New Roman" w:cs="Times New Roman"/>
          <w:noProof/>
          <w:sz w:val="24"/>
          <w:szCs w:val="24"/>
          <w:lang w:val="en-US"/>
        </w:rPr>
        <w:t xml:space="preserve"> Ørsted takes first steps into co</w:t>
      </w:r>
      <w:r>
        <w:rPr>
          <w:rFonts w:ascii="Times New Roman" w:hAnsi="Times New Roman" w:cs="Times New Roman"/>
          <w:noProof/>
          <w:sz w:val="24"/>
          <w:szCs w:val="24"/>
          <w:lang w:val="en-US"/>
        </w:rPr>
        <w:t xml:space="preserve">mmercial energy storage, (2018). </w:t>
      </w:r>
      <w:r w:rsidRPr="008A02D7">
        <w:rPr>
          <w:rFonts w:ascii="Times New Roman" w:hAnsi="Times New Roman" w:cs="Times New Roman"/>
          <w:noProof/>
          <w:sz w:val="24"/>
          <w:szCs w:val="24"/>
          <w:lang w:val="en-US"/>
        </w:rPr>
        <w:t>https://orsted.com/en/Media/Newsroom/News/2018/04/Orsted-takes-first-steps-</w:t>
      </w:r>
      <w:r>
        <w:rPr>
          <w:rFonts w:ascii="Times New Roman" w:hAnsi="Times New Roman" w:cs="Times New Roman"/>
          <w:noProof/>
          <w:sz w:val="24"/>
          <w:szCs w:val="24"/>
          <w:lang w:val="en-US"/>
        </w:rPr>
        <w:t>into-commercial-battery-storage</w:t>
      </w:r>
    </w:p>
    <w:p w14:paraId="4023DD3D"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[38]</w:t>
      </w:r>
      <w:r w:rsidRPr="008A02D7">
        <w:rPr>
          <w:rFonts w:ascii="Times New Roman" w:hAnsi="Times New Roman" w:cs="Times New Roman"/>
          <w:noProof/>
          <w:sz w:val="24"/>
          <w:szCs w:val="24"/>
          <w:lang w:val="en-US"/>
        </w:rPr>
        <w:tab/>
        <w:t>Tesla</w:t>
      </w:r>
      <w:r>
        <w:rPr>
          <w:rFonts w:ascii="Times New Roman" w:hAnsi="Times New Roman" w:cs="Times New Roman"/>
          <w:noProof/>
          <w:sz w:val="24"/>
          <w:szCs w:val="24"/>
          <w:lang w:val="en-US"/>
        </w:rPr>
        <w:t>.</w:t>
      </w:r>
      <w:r w:rsidRPr="008A02D7">
        <w:rPr>
          <w:rFonts w:ascii="Times New Roman" w:hAnsi="Times New Roman" w:cs="Times New Roman"/>
          <w:noProof/>
          <w:sz w:val="24"/>
          <w:szCs w:val="24"/>
          <w:lang w:val="en-US"/>
        </w:rPr>
        <w:t xml:space="preserve"> Addressing Peak Energy Demand with the Tesla Powerpack, (2016). https://www.tesla.com/da_DK/blog/addressing-peak-energy-demand-tesla-powerpack?redirect=no</w:t>
      </w:r>
    </w:p>
    <w:p w14:paraId="3AEB4BF2"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[39]</w:t>
      </w:r>
      <w:r w:rsidRPr="008A02D7">
        <w:rPr>
          <w:rFonts w:ascii="Times New Roman" w:hAnsi="Times New Roman" w:cs="Times New Roman"/>
          <w:noProof/>
          <w:sz w:val="24"/>
          <w:szCs w:val="24"/>
          <w:lang w:val="en-US"/>
        </w:rPr>
        <w:tab/>
      </w:r>
      <w:r>
        <w:rPr>
          <w:rFonts w:ascii="Times New Roman" w:hAnsi="Times New Roman" w:cs="Times New Roman"/>
          <w:noProof/>
          <w:sz w:val="24"/>
          <w:szCs w:val="24"/>
          <w:lang w:val="en-US"/>
        </w:rPr>
        <w:t xml:space="preserve">Electrek. </w:t>
      </w:r>
      <w:r w:rsidRPr="008A02D7">
        <w:rPr>
          <w:rFonts w:ascii="Times New Roman" w:hAnsi="Times New Roman" w:cs="Times New Roman"/>
          <w:noProof/>
          <w:sz w:val="24"/>
          <w:szCs w:val="24"/>
          <w:lang w:val="en-US"/>
        </w:rPr>
        <w:t>Tesla quietly brings online its massive - biggest in the world - 80 MWh Powerpack station with Southern California Edison</w:t>
      </w:r>
      <w:r>
        <w:rPr>
          <w:rFonts w:ascii="Times New Roman" w:hAnsi="Times New Roman" w:cs="Times New Roman"/>
          <w:noProof/>
          <w:sz w:val="24"/>
          <w:szCs w:val="24"/>
          <w:lang w:val="en-US"/>
        </w:rPr>
        <w:t>,</w:t>
      </w:r>
      <w:r w:rsidRPr="008A02D7">
        <w:rPr>
          <w:rFonts w:ascii="Times New Roman" w:hAnsi="Times New Roman" w:cs="Times New Roman"/>
          <w:noProof/>
          <w:sz w:val="24"/>
          <w:szCs w:val="24"/>
          <w:lang w:val="en-US"/>
        </w:rPr>
        <w:t xml:space="preserve"> (</w:t>
      </w:r>
      <w:r>
        <w:rPr>
          <w:rFonts w:ascii="Times New Roman" w:hAnsi="Times New Roman" w:cs="Times New Roman"/>
          <w:noProof/>
          <w:sz w:val="24"/>
          <w:szCs w:val="24"/>
          <w:lang w:val="en-US"/>
        </w:rPr>
        <w:t>2017</w:t>
      </w:r>
      <w:r w:rsidRPr="008A02D7">
        <w:rPr>
          <w:rFonts w:ascii="Times New Roman" w:hAnsi="Times New Roman" w:cs="Times New Roman"/>
          <w:noProof/>
          <w:sz w:val="24"/>
          <w:szCs w:val="24"/>
          <w:lang w:val="en-US"/>
        </w:rPr>
        <w:t>). https://electrek.co/2017/01/23/tesla-mira-loma-powerpack-stati</w:t>
      </w:r>
      <w:r>
        <w:rPr>
          <w:rFonts w:ascii="Times New Roman" w:hAnsi="Times New Roman" w:cs="Times New Roman"/>
          <w:noProof/>
          <w:sz w:val="24"/>
          <w:szCs w:val="24"/>
          <w:lang w:val="en-US"/>
        </w:rPr>
        <w:t>on-southern-california-edison/</w:t>
      </w:r>
    </w:p>
    <w:p w14:paraId="6FCD5422"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8A02D7">
        <w:rPr>
          <w:rFonts w:ascii="Times New Roman" w:hAnsi="Times New Roman" w:cs="Times New Roman"/>
          <w:noProof/>
          <w:sz w:val="24"/>
          <w:szCs w:val="24"/>
          <w:lang w:val="en-US"/>
        </w:rPr>
        <w:t>[40]</w:t>
      </w:r>
      <w:r w:rsidRPr="008A02D7">
        <w:rPr>
          <w:rFonts w:ascii="Times New Roman" w:hAnsi="Times New Roman" w:cs="Times New Roman"/>
          <w:noProof/>
          <w:sz w:val="24"/>
          <w:szCs w:val="24"/>
          <w:lang w:val="en-US"/>
        </w:rPr>
        <w:tab/>
        <w:t>Tesla</w:t>
      </w:r>
      <w:r>
        <w:rPr>
          <w:rFonts w:ascii="Times New Roman" w:hAnsi="Times New Roman" w:cs="Times New Roman"/>
          <w:noProof/>
          <w:sz w:val="24"/>
          <w:szCs w:val="24"/>
          <w:lang w:val="en-US"/>
        </w:rPr>
        <w:t>.</w:t>
      </w:r>
      <w:r w:rsidRPr="008A02D7">
        <w:rPr>
          <w:rFonts w:ascii="Times New Roman" w:hAnsi="Times New Roman" w:cs="Times New Roman"/>
          <w:noProof/>
          <w:sz w:val="24"/>
          <w:szCs w:val="24"/>
          <w:lang w:val="en-US"/>
        </w:rPr>
        <w:t xml:space="preserve"> Tesla Powerpack to Enable Large Scale Sustainable Energy to South Australia, (2017). https://www.tesla.com/da_DK/blog/Tesla-powerpack-enable-large-scale-sustainable-energy-s</w:t>
      </w:r>
      <w:r>
        <w:rPr>
          <w:rFonts w:ascii="Times New Roman" w:hAnsi="Times New Roman" w:cs="Times New Roman"/>
          <w:noProof/>
          <w:sz w:val="24"/>
          <w:szCs w:val="24"/>
          <w:lang w:val="en-US"/>
        </w:rPr>
        <w:t>outh-australia?redirect=no Page</w:t>
      </w:r>
    </w:p>
    <w:p w14:paraId="332198A9"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[41]</w:t>
      </w:r>
      <w:r w:rsidRPr="0053311A">
        <w:rPr>
          <w:rFonts w:ascii="Times New Roman" w:hAnsi="Times New Roman" w:cs="Times New Roman"/>
          <w:noProof/>
          <w:sz w:val="24"/>
          <w:szCs w:val="24"/>
          <w:lang w:val="en-US"/>
        </w:rPr>
        <w:tab/>
        <w:t>Energy Storage Association</w:t>
      </w:r>
      <w:r>
        <w:rPr>
          <w:rFonts w:ascii="Times New Roman" w:hAnsi="Times New Roman" w:cs="Times New Roman"/>
          <w:noProof/>
          <w:sz w:val="24"/>
          <w:szCs w:val="24"/>
          <w:lang w:val="en-US"/>
        </w:rPr>
        <w:t xml:space="preserve">. </w:t>
      </w:r>
      <w:r w:rsidRPr="0053311A">
        <w:rPr>
          <w:rFonts w:ascii="Times New Roman" w:hAnsi="Times New Roman" w:cs="Times New Roman"/>
          <w:noProof/>
          <w:sz w:val="24"/>
          <w:szCs w:val="24"/>
          <w:lang w:val="en-US"/>
        </w:rPr>
        <w:t>Frequency Regulation Services and a Firm Wind Product: AES Energy Storage Laurel Mountain Battery Energy Storage,</w:t>
      </w:r>
      <w:r>
        <w:rPr>
          <w:rFonts w:ascii="Times New Roman" w:hAnsi="Times New Roman" w:cs="Times New Roman"/>
          <w:noProof/>
          <w:sz w:val="24"/>
          <w:szCs w:val="24"/>
          <w:lang w:val="en-US"/>
        </w:rPr>
        <w:t xml:space="preserve"> </w:t>
      </w:r>
      <w:r w:rsidRPr="0053311A">
        <w:rPr>
          <w:rFonts w:ascii="Times New Roman" w:hAnsi="Times New Roman" w:cs="Times New Roman"/>
          <w:noProof/>
          <w:sz w:val="24"/>
          <w:szCs w:val="24"/>
          <w:lang w:val="en-US"/>
        </w:rPr>
        <w:t>(2018)</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 xml:space="preserve"> http://energystorage.org/energy-storage/case-studies/frequency-regulation-services-and-firm-</w:t>
      </w:r>
      <w:r>
        <w:rPr>
          <w:rFonts w:ascii="Times New Roman" w:hAnsi="Times New Roman" w:cs="Times New Roman"/>
          <w:noProof/>
          <w:sz w:val="24"/>
          <w:szCs w:val="24"/>
          <w:lang w:val="en-US"/>
        </w:rPr>
        <w:t>wind-product-aes-energy-storage</w:t>
      </w:r>
    </w:p>
    <w:p w14:paraId="2AEA4C0F"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[42]</w:t>
      </w:r>
      <w:r w:rsidRPr="0053311A">
        <w:rPr>
          <w:rFonts w:ascii="Times New Roman" w:hAnsi="Times New Roman" w:cs="Times New Roman"/>
          <w:noProof/>
          <w:sz w:val="24"/>
          <w:szCs w:val="24"/>
          <w:lang w:val="en-US"/>
        </w:rPr>
        <w:tab/>
        <w:t>ABB</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 xml:space="preserve"> Battery energy storage system PQpluS, (2018).</w:t>
      </w:r>
      <w:r>
        <w:rPr>
          <w:rFonts w:ascii="Times New Roman" w:hAnsi="Times New Roman" w:cs="Times New Roman"/>
          <w:noProof/>
          <w:sz w:val="24"/>
          <w:szCs w:val="24"/>
          <w:lang w:val="en-US"/>
        </w:rPr>
        <w:t xml:space="preserve"> </w:t>
      </w:r>
      <w:r w:rsidRPr="0053311A">
        <w:rPr>
          <w:rFonts w:ascii="Times New Roman" w:hAnsi="Times New Roman" w:cs="Times New Roman"/>
          <w:noProof/>
          <w:sz w:val="24"/>
          <w:szCs w:val="24"/>
          <w:lang w:val="en-US"/>
        </w:rPr>
        <w:t>https://new.abb.com/high-voltage/capacitors/lv/bess-products/PQpluS</w:t>
      </w:r>
    </w:p>
    <w:p w14:paraId="7974ABEB" w14:textId="77777777" w:rsidR="00D05697"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[43]</w:t>
      </w:r>
      <w:r w:rsidRPr="0053311A">
        <w:rPr>
          <w:rFonts w:ascii="Times New Roman" w:hAnsi="Times New Roman" w:cs="Times New Roman"/>
          <w:noProof/>
          <w:sz w:val="24"/>
          <w:szCs w:val="24"/>
          <w:lang w:val="en-US"/>
        </w:rPr>
        <w:tab/>
        <w:t>S. Saylors</w:t>
      </w:r>
      <w:r>
        <w:rPr>
          <w:rFonts w:ascii="Times New Roman" w:hAnsi="Times New Roman" w:cs="Times New Roman"/>
          <w:noProof/>
          <w:sz w:val="24"/>
          <w:szCs w:val="24"/>
          <w:lang w:val="en-US"/>
        </w:rPr>
        <w:t xml:space="preserve">, </w:t>
      </w:r>
      <w:r w:rsidRPr="00283D85">
        <w:rPr>
          <w:rFonts w:ascii="Times New Roman" w:hAnsi="Times New Roman" w:cs="Times New Roman"/>
          <w:noProof/>
          <w:sz w:val="24"/>
          <w:szCs w:val="24"/>
          <w:lang w:val="en-US"/>
        </w:rPr>
        <w:t>Philip C. Kjær</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 xml:space="preserve"> </w:t>
      </w:r>
      <w:r w:rsidRPr="00283D85">
        <w:rPr>
          <w:rFonts w:ascii="Times New Roman" w:hAnsi="Times New Roman" w:cs="Times New Roman"/>
          <w:noProof/>
          <w:sz w:val="24"/>
          <w:szCs w:val="24"/>
          <w:lang w:val="en-US"/>
        </w:rPr>
        <w:t>Rasmus Lærke</w:t>
      </w:r>
      <w:r>
        <w:rPr>
          <w:rFonts w:ascii="Times New Roman" w:hAnsi="Times New Roman" w:cs="Times New Roman"/>
          <w:noProof/>
          <w:sz w:val="24"/>
          <w:szCs w:val="24"/>
          <w:lang w:val="en-US"/>
        </w:rPr>
        <w:t>.</w:t>
      </w:r>
      <w:r w:rsidRPr="00283D85">
        <w:rPr>
          <w:rFonts w:ascii="Times New Roman" w:hAnsi="Times New Roman" w:cs="Times New Roman"/>
          <w:noProof/>
          <w:sz w:val="24"/>
          <w:szCs w:val="24"/>
          <w:lang w:val="en-US"/>
        </w:rPr>
        <w:t xml:space="preserve"> </w:t>
      </w:r>
      <w:r w:rsidRPr="0053311A">
        <w:rPr>
          <w:rFonts w:ascii="Times New Roman" w:hAnsi="Times New Roman" w:cs="Times New Roman"/>
          <w:noProof/>
          <w:sz w:val="24"/>
          <w:szCs w:val="24"/>
          <w:lang w:val="en-US"/>
        </w:rPr>
        <w:t>Ancillary Services Provided from Wind Power Plant Augmented with Energy Storage, (2014). https://www.ieee-pes.org/presentatio</w:t>
      </w:r>
      <w:r>
        <w:rPr>
          <w:rFonts w:ascii="Times New Roman" w:hAnsi="Times New Roman" w:cs="Times New Roman"/>
          <w:noProof/>
          <w:sz w:val="24"/>
          <w:szCs w:val="24"/>
          <w:lang w:val="en-US"/>
        </w:rPr>
        <w:t>ns/gm2014/PESGM2014P-000718.pdf</w:t>
      </w:r>
    </w:p>
    <w:p w14:paraId="0BF459B9"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lastRenderedPageBreak/>
        <w:t>[44]</w:t>
      </w:r>
      <w:r w:rsidRPr="0053311A">
        <w:rPr>
          <w:rFonts w:ascii="Times New Roman" w:hAnsi="Times New Roman" w:cs="Times New Roman"/>
          <w:noProof/>
          <w:sz w:val="24"/>
          <w:szCs w:val="24"/>
          <w:lang w:val="en-US"/>
        </w:rPr>
        <w:tab/>
      </w:r>
      <w:r>
        <w:rPr>
          <w:rFonts w:ascii="Times New Roman" w:hAnsi="Times New Roman" w:cs="Times New Roman"/>
          <w:noProof/>
          <w:sz w:val="24"/>
          <w:szCs w:val="24"/>
          <w:lang w:val="en-US"/>
        </w:rPr>
        <w:t xml:space="preserve">Bloomberg New Energy Finance. </w:t>
      </w:r>
      <w:r w:rsidRPr="0053311A">
        <w:rPr>
          <w:rFonts w:ascii="Times New Roman" w:hAnsi="Times New Roman" w:cs="Times New Roman"/>
          <w:noProof/>
          <w:sz w:val="24"/>
          <w:szCs w:val="24"/>
          <w:lang w:val="en-US"/>
        </w:rPr>
        <w:t>New Energy Outlook 2018,</w:t>
      </w:r>
      <w:r>
        <w:rPr>
          <w:rFonts w:ascii="Times New Roman" w:hAnsi="Times New Roman" w:cs="Times New Roman"/>
          <w:noProof/>
          <w:sz w:val="24"/>
          <w:szCs w:val="24"/>
          <w:lang w:val="en-US"/>
        </w:rPr>
        <w:t xml:space="preserve"> </w:t>
      </w:r>
      <w:r w:rsidRPr="0053311A">
        <w:rPr>
          <w:rFonts w:ascii="Times New Roman" w:hAnsi="Times New Roman" w:cs="Times New Roman"/>
          <w:noProof/>
          <w:sz w:val="24"/>
          <w:szCs w:val="24"/>
          <w:lang w:val="en-US"/>
        </w:rPr>
        <w:t>(2018). https://bnef.turtl.co/story/neo2018</w:t>
      </w:r>
      <w:r>
        <w:rPr>
          <w:rFonts w:ascii="Times New Roman" w:hAnsi="Times New Roman" w:cs="Times New Roman"/>
          <w:noProof/>
          <w:sz w:val="24"/>
          <w:szCs w:val="24"/>
          <w:lang w:val="en-US"/>
        </w:rPr>
        <w:t>.pdf?autoprint=true&amp;teaser=true</w:t>
      </w:r>
    </w:p>
    <w:p w14:paraId="3822D1B8"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[45]</w:t>
      </w:r>
      <w:r w:rsidRPr="0053311A">
        <w:rPr>
          <w:rFonts w:ascii="Times New Roman" w:hAnsi="Times New Roman" w:cs="Times New Roman"/>
          <w:noProof/>
          <w:sz w:val="24"/>
          <w:szCs w:val="24"/>
          <w:lang w:val="en-US"/>
        </w:rPr>
        <w:tab/>
        <w:t>CleanTechnica</w:t>
      </w:r>
      <w:r>
        <w:rPr>
          <w:rFonts w:ascii="Times New Roman" w:hAnsi="Times New Roman" w:cs="Times New Roman"/>
          <w:noProof/>
          <w:sz w:val="24"/>
          <w:szCs w:val="24"/>
          <w:lang w:val="en-US"/>
        </w:rPr>
        <w:t xml:space="preserve">. </w:t>
      </w:r>
      <w:r w:rsidRPr="0053311A">
        <w:rPr>
          <w:rFonts w:ascii="Times New Roman" w:hAnsi="Times New Roman" w:cs="Times New Roman"/>
          <w:noProof/>
          <w:sz w:val="24"/>
          <w:szCs w:val="24"/>
          <w:lang w:val="en-US"/>
        </w:rPr>
        <w:t>$100/kWh Tesla Battery Cells This Year, $100/</w:t>
      </w:r>
      <w:r>
        <w:rPr>
          <w:rFonts w:ascii="Times New Roman" w:hAnsi="Times New Roman" w:cs="Times New Roman"/>
          <w:noProof/>
          <w:sz w:val="24"/>
          <w:szCs w:val="24"/>
          <w:lang w:val="en-US"/>
        </w:rPr>
        <w:t>kWh Tesla Battery Packs In 2020</w:t>
      </w:r>
      <w:r w:rsidRPr="0053311A">
        <w:rPr>
          <w:rFonts w:ascii="Times New Roman" w:hAnsi="Times New Roman" w:cs="Times New Roman"/>
          <w:noProof/>
          <w:sz w:val="24"/>
          <w:szCs w:val="24"/>
          <w:lang w:val="en-US"/>
        </w:rPr>
        <w:t>|, (</w:t>
      </w:r>
      <w:r>
        <w:rPr>
          <w:rFonts w:ascii="Times New Roman" w:hAnsi="Times New Roman" w:cs="Times New Roman"/>
          <w:noProof/>
          <w:sz w:val="24"/>
          <w:szCs w:val="24"/>
          <w:lang w:val="en-US"/>
        </w:rPr>
        <w:t>2018</w:t>
      </w:r>
      <w:r w:rsidRPr="0053311A">
        <w:rPr>
          <w:rFonts w:ascii="Times New Roman" w:hAnsi="Times New Roman" w:cs="Times New Roman"/>
          <w:noProof/>
          <w:sz w:val="24"/>
          <w:szCs w:val="24"/>
          <w:lang w:val="en-US"/>
        </w:rPr>
        <w:t>). https://cleantechnica.com/2018/06/09/100-kwh-tesla-battery-cells-this-year-100-kwh-tesla-battery-packs-in-2020/</w:t>
      </w:r>
    </w:p>
    <w:p w14:paraId="2AD44C92"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[46]</w:t>
      </w:r>
      <w:r w:rsidRPr="0053311A">
        <w:rPr>
          <w:rFonts w:ascii="Times New Roman" w:hAnsi="Times New Roman" w:cs="Times New Roman"/>
          <w:noProof/>
          <w:sz w:val="24"/>
          <w:szCs w:val="24"/>
          <w:lang w:val="en-US"/>
        </w:rPr>
        <w:tab/>
      </w:r>
      <w:r>
        <w:rPr>
          <w:rFonts w:ascii="Times New Roman" w:hAnsi="Times New Roman" w:cs="Times New Roman"/>
          <w:noProof/>
          <w:sz w:val="24"/>
          <w:szCs w:val="24"/>
          <w:lang w:val="en-US"/>
        </w:rPr>
        <w:t>W</w:t>
      </w:r>
      <w:r w:rsidRPr="0053311A">
        <w:rPr>
          <w:rFonts w:ascii="Times New Roman" w:hAnsi="Times New Roman" w:cs="Times New Roman"/>
          <w:noProof/>
          <w:sz w:val="24"/>
          <w:szCs w:val="24"/>
          <w:lang w:val="en-US"/>
        </w:rPr>
        <w:t>ardsauto</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 xml:space="preserve"> Two Tidbits From CES: Better Cybersecurity and Cheaper EV Batteries, (</w:t>
      </w:r>
      <w:r>
        <w:rPr>
          <w:rFonts w:ascii="Times New Roman" w:hAnsi="Times New Roman" w:cs="Times New Roman"/>
          <w:noProof/>
          <w:sz w:val="24"/>
          <w:szCs w:val="24"/>
          <w:lang w:val="en-US"/>
        </w:rPr>
        <w:t>2017</w:t>
      </w:r>
      <w:r w:rsidRPr="0053311A">
        <w:rPr>
          <w:rFonts w:ascii="Times New Roman" w:hAnsi="Times New Roman" w:cs="Times New Roman"/>
          <w:noProof/>
          <w:sz w:val="24"/>
          <w:szCs w:val="24"/>
          <w:lang w:val="en-US"/>
        </w:rPr>
        <w:t>). https://www.wardsauto.c</w:t>
      </w:r>
      <w:r>
        <w:rPr>
          <w:rFonts w:ascii="Times New Roman" w:hAnsi="Times New Roman" w:cs="Times New Roman"/>
          <w:noProof/>
          <w:sz w:val="24"/>
          <w:szCs w:val="24"/>
          <w:lang w:val="en-US"/>
        </w:rPr>
        <w:t>om/ideaxchange/two-tidbits-ces</w:t>
      </w:r>
    </w:p>
    <w:p w14:paraId="2D8A56E1" w14:textId="7B5A3528"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[47]</w:t>
      </w:r>
      <w:r w:rsidRPr="0053311A">
        <w:rPr>
          <w:rFonts w:ascii="Times New Roman" w:hAnsi="Times New Roman" w:cs="Times New Roman"/>
          <w:noProof/>
          <w:sz w:val="24"/>
          <w:szCs w:val="24"/>
          <w:lang w:val="en-US"/>
        </w:rPr>
        <w:tab/>
      </w:r>
      <w:r w:rsidR="00A15D71">
        <w:rPr>
          <w:rFonts w:ascii="Times New Roman" w:hAnsi="Times New Roman" w:cs="Times New Roman"/>
          <w:noProof/>
          <w:sz w:val="24"/>
          <w:szCs w:val="24"/>
          <w:lang w:val="en-US"/>
        </w:rPr>
        <w:t xml:space="preserve">Visualcapitalist. </w:t>
      </w:r>
      <w:r w:rsidR="00A15D71" w:rsidRPr="00A15D71">
        <w:rPr>
          <w:rFonts w:ascii="Times New Roman" w:hAnsi="Times New Roman" w:cs="Times New Roman"/>
          <w:noProof/>
          <w:sz w:val="24"/>
          <w:szCs w:val="24"/>
          <w:lang w:val="en-US"/>
        </w:rPr>
        <w:t>China Leading the Charge for Lithium-Ion Megafactories</w:t>
      </w:r>
      <w:r w:rsidR="00A15D71">
        <w:rPr>
          <w:rFonts w:ascii="Times New Roman" w:hAnsi="Times New Roman" w:cs="Times New Roman"/>
          <w:noProof/>
          <w:sz w:val="24"/>
          <w:szCs w:val="24"/>
          <w:lang w:val="en-US"/>
        </w:rPr>
        <w:t xml:space="preserve">, (2017) </w:t>
      </w:r>
      <w:r w:rsidR="00A15D71" w:rsidRPr="00A15D71">
        <w:rPr>
          <w:rFonts w:ascii="Times New Roman" w:hAnsi="Times New Roman" w:cs="Times New Roman"/>
          <w:noProof/>
          <w:sz w:val="24"/>
          <w:szCs w:val="24"/>
          <w:lang w:val="en-US"/>
        </w:rPr>
        <w:t>http://www.visualcapitalist.com/china-leading-charge-lithium-ion-megafactories/</w:t>
      </w:r>
    </w:p>
    <w:p w14:paraId="2F33C769"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[48]</w:t>
      </w:r>
      <w:r w:rsidRPr="0053311A">
        <w:rPr>
          <w:rFonts w:ascii="Times New Roman" w:hAnsi="Times New Roman" w:cs="Times New Roman"/>
          <w:noProof/>
          <w:sz w:val="24"/>
          <w:szCs w:val="24"/>
          <w:lang w:val="en-US"/>
        </w:rPr>
        <w:tab/>
        <w:t>International Renewable Energy Agency</w:t>
      </w:r>
      <w:r>
        <w:rPr>
          <w:rFonts w:ascii="Times New Roman" w:hAnsi="Times New Roman" w:cs="Times New Roman"/>
          <w:noProof/>
          <w:sz w:val="24"/>
          <w:szCs w:val="24"/>
          <w:lang w:val="en-US"/>
        </w:rPr>
        <w:t xml:space="preserve">. </w:t>
      </w:r>
      <w:r w:rsidRPr="0053311A">
        <w:rPr>
          <w:rFonts w:ascii="Times New Roman" w:hAnsi="Times New Roman" w:cs="Times New Roman"/>
          <w:noProof/>
          <w:sz w:val="24"/>
          <w:szCs w:val="24"/>
          <w:lang w:val="en-US"/>
        </w:rPr>
        <w:t xml:space="preserve">IRENA Battery Storage Report, </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2015</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 http://www.irena.org/-/media/Files/IRENA/Agency/Publication/2015/IRENA_Battery_Storage_report_2015.pdf</w:t>
      </w:r>
    </w:p>
    <w:p w14:paraId="7075E088"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[49]</w:t>
      </w:r>
      <w:r w:rsidRPr="0053311A">
        <w:rPr>
          <w:rFonts w:ascii="Times New Roman" w:hAnsi="Times New Roman" w:cs="Times New Roman"/>
          <w:noProof/>
          <w:sz w:val="24"/>
          <w:szCs w:val="24"/>
          <w:lang w:val="en-US"/>
        </w:rPr>
        <w:tab/>
      </w:r>
      <w:r>
        <w:rPr>
          <w:rFonts w:ascii="Times New Roman" w:hAnsi="Times New Roman" w:cs="Times New Roman"/>
          <w:noProof/>
          <w:sz w:val="24"/>
          <w:szCs w:val="24"/>
          <w:lang w:val="en-US"/>
        </w:rPr>
        <w:t xml:space="preserve">Windpower Engineering &amp; Development. </w:t>
      </w:r>
      <w:r w:rsidRPr="0053311A">
        <w:rPr>
          <w:rFonts w:ascii="Times New Roman" w:hAnsi="Times New Roman" w:cs="Times New Roman"/>
          <w:noProof/>
          <w:sz w:val="24"/>
          <w:szCs w:val="24"/>
          <w:lang w:val="en-US"/>
        </w:rPr>
        <w:t xml:space="preserve">Global battery energy-storage system installed capacity </w:t>
      </w:r>
      <w:r>
        <w:rPr>
          <w:rFonts w:ascii="Times New Roman" w:hAnsi="Times New Roman" w:cs="Times New Roman"/>
          <w:noProof/>
          <w:sz w:val="24"/>
          <w:szCs w:val="24"/>
          <w:lang w:val="en-US"/>
        </w:rPr>
        <w:t>will exceed 14 GW by 2020, (2016</w:t>
      </w:r>
      <w:r w:rsidRPr="0053311A">
        <w:rPr>
          <w:rFonts w:ascii="Times New Roman" w:hAnsi="Times New Roman" w:cs="Times New Roman"/>
          <w:noProof/>
          <w:sz w:val="24"/>
          <w:szCs w:val="24"/>
          <w:lang w:val="en-US"/>
        </w:rPr>
        <w:t>). https://www.windpowerengineering.com/business-news-projects/global-battery-energy-storage-system-installed-c</w:t>
      </w:r>
      <w:r>
        <w:rPr>
          <w:rFonts w:ascii="Times New Roman" w:hAnsi="Times New Roman" w:cs="Times New Roman"/>
          <w:noProof/>
          <w:sz w:val="24"/>
          <w:szCs w:val="24"/>
          <w:lang w:val="en-US"/>
        </w:rPr>
        <w:t>apacity-will-exceed-14-gw-2020/</w:t>
      </w:r>
    </w:p>
    <w:p w14:paraId="7533B5FE"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[50]</w:t>
      </w:r>
      <w:r w:rsidRPr="0053311A">
        <w:rPr>
          <w:rFonts w:ascii="Times New Roman" w:hAnsi="Times New Roman" w:cs="Times New Roman"/>
          <w:noProof/>
          <w:sz w:val="24"/>
          <w:szCs w:val="24"/>
          <w:lang w:val="en-US"/>
        </w:rPr>
        <w:tab/>
        <w:t>International Renewable Energy Agency</w:t>
      </w:r>
      <w:r>
        <w:rPr>
          <w:rFonts w:ascii="Times New Roman" w:hAnsi="Times New Roman" w:cs="Times New Roman"/>
          <w:noProof/>
          <w:sz w:val="24"/>
          <w:szCs w:val="24"/>
          <w:lang w:val="en-US"/>
        </w:rPr>
        <w:t xml:space="preserve">. </w:t>
      </w:r>
      <w:r w:rsidRPr="0053311A">
        <w:rPr>
          <w:rFonts w:ascii="Times New Roman" w:hAnsi="Times New Roman" w:cs="Times New Roman"/>
          <w:noProof/>
          <w:sz w:val="24"/>
          <w:szCs w:val="24"/>
          <w:lang w:val="en-US"/>
        </w:rPr>
        <w:t xml:space="preserve">Electricity Storage and Renewables : Costs and Markets To 2030, </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2017</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w:t>
      </w:r>
      <w:r>
        <w:rPr>
          <w:rFonts w:ascii="Times New Roman" w:hAnsi="Times New Roman" w:cs="Times New Roman"/>
          <w:noProof/>
          <w:sz w:val="24"/>
          <w:szCs w:val="24"/>
          <w:lang w:val="en-US"/>
        </w:rPr>
        <w:t xml:space="preserve"> </w:t>
      </w:r>
      <w:r w:rsidRPr="00437BB0">
        <w:rPr>
          <w:rFonts w:ascii="Times New Roman" w:hAnsi="Times New Roman" w:cs="Times New Roman"/>
          <w:noProof/>
          <w:sz w:val="24"/>
          <w:szCs w:val="24"/>
          <w:lang w:val="en-US"/>
        </w:rPr>
        <w:t>http://www.irena.org/publications/2017/Oct/Electricity-storage-and-renewables-costs-and-markets</w:t>
      </w:r>
    </w:p>
    <w:p w14:paraId="5BD9C363"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[51]</w:t>
      </w:r>
      <w:r w:rsidRPr="0053311A">
        <w:rPr>
          <w:rFonts w:ascii="Times New Roman" w:hAnsi="Times New Roman" w:cs="Times New Roman"/>
          <w:noProof/>
          <w:sz w:val="24"/>
          <w:szCs w:val="24"/>
          <w:lang w:val="en-US"/>
        </w:rPr>
        <w:tab/>
        <w:t>Danish Technological Institute</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 xml:space="preserve"> BESS project Smart grid ready Battery Energy Storage System for future grid, </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2017</w:t>
      </w:r>
      <w:r>
        <w:rPr>
          <w:rFonts w:ascii="Times New Roman" w:hAnsi="Times New Roman" w:cs="Times New Roman"/>
          <w:noProof/>
          <w:sz w:val="24"/>
          <w:szCs w:val="24"/>
          <w:lang w:val="en-US"/>
        </w:rPr>
        <w:t>)</w:t>
      </w:r>
      <w:r w:rsidRPr="0053311A">
        <w:rPr>
          <w:rFonts w:ascii="Times New Roman" w:hAnsi="Times New Roman" w:cs="Times New Roman"/>
          <w:noProof/>
          <w:sz w:val="24"/>
          <w:szCs w:val="24"/>
          <w:lang w:val="en-US"/>
        </w:rPr>
        <w:t>. https://www.energiforskning.dk/sites/energiteknologi.dk/files/slutrapporter/bess</w:t>
      </w:r>
      <w:r>
        <w:rPr>
          <w:rFonts w:ascii="Times New Roman" w:hAnsi="Times New Roman" w:cs="Times New Roman"/>
          <w:noProof/>
          <w:sz w:val="24"/>
          <w:szCs w:val="24"/>
          <w:lang w:val="en-US"/>
        </w:rPr>
        <w:t>_final_report_forskel_10731.pdf</w:t>
      </w:r>
    </w:p>
    <w:p w14:paraId="4C299F61"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[52]</w:t>
      </w:r>
      <w:r w:rsidRPr="0053311A">
        <w:rPr>
          <w:rFonts w:ascii="Times New Roman" w:hAnsi="Times New Roman" w:cs="Times New Roman"/>
          <w:noProof/>
          <w:sz w:val="24"/>
          <w:szCs w:val="24"/>
          <w:lang w:val="en-US"/>
        </w:rPr>
        <w:tab/>
        <w:t xml:space="preserve">H. Chen, T.N. Cong, W. Yang, C. Tan, Y. Li, Y. Ding, Progress in electrical energy storage system: A critical review, </w:t>
      </w:r>
      <w:r w:rsidRPr="00437BB0">
        <w:rPr>
          <w:rFonts w:ascii="Times New Roman" w:hAnsi="Times New Roman" w:cs="Times New Roman"/>
          <w:i/>
          <w:noProof/>
          <w:sz w:val="24"/>
          <w:szCs w:val="24"/>
          <w:lang w:val="en-US"/>
        </w:rPr>
        <w:t>Prog. Nat. Sci.</w:t>
      </w:r>
      <w:r w:rsidRPr="0053311A">
        <w:rPr>
          <w:rFonts w:ascii="Times New Roman" w:hAnsi="Times New Roman" w:cs="Times New Roman"/>
          <w:noProof/>
          <w:sz w:val="24"/>
          <w:szCs w:val="24"/>
          <w:lang w:val="en-US"/>
        </w:rPr>
        <w:t xml:space="preserve"> </w:t>
      </w:r>
      <w:r w:rsidRPr="00437BB0">
        <w:rPr>
          <w:rFonts w:ascii="Times New Roman" w:hAnsi="Times New Roman" w:cs="Times New Roman"/>
          <w:b/>
          <w:noProof/>
          <w:sz w:val="24"/>
          <w:szCs w:val="24"/>
          <w:lang w:val="en-US"/>
        </w:rPr>
        <w:t>19</w:t>
      </w:r>
      <w:r w:rsidRPr="0053311A">
        <w:rPr>
          <w:rFonts w:ascii="Times New Roman" w:hAnsi="Times New Roman" w:cs="Times New Roman"/>
          <w:noProof/>
          <w:sz w:val="24"/>
          <w:szCs w:val="24"/>
          <w:lang w:val="en-US"/>
        </w:rPr>
        <w:t xml:space="preserve"> (2009) 291–312.</w:t>
      </w:r>
      <w:r>
        <w:rPr>
          <w:rFonts w:ascii="Times New Roman" w:hAnsi="Times New Roman" w:cs="Times New Roman"/>
          <w:noProof/>
          <w:sz w:val="24"/>
          <w:szCs w:val="24"/>
          <w:lang w:val="en-US"/>
        </w:rPr>
        <w:t xml:space="preserve"> doi:10.1016/j.pnsc.2008.07.014</w:t>
      </w:r>
    </w:p>
    <w:p w14:paraId="73D43416"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[53]</w:t>
      </w:r>
      <w:r w:rsidRPr="0053311A">
        <w:rPr>
          <w:rFonts w:ascii="Times New Roman" w:hAnsi="Times New Roman" w:cs="Times New Roman"/>
          <w:noProof/>
          <w:sz w:val="24"/>
          <w:szCs w:val="24"/>
          <w:lang w:val="en-US"/>
        </w:rPr>
        <w:tab/>
        <w:t xml:space="preserve">D.M. Greenwood, K.Y. Lim, C. Patsios, P.F. Lyons, Y.S. Lim, P.C. Taylor, Frequency response services designed for energy storage, </w:t>
      </w:r>
      <w:r w:rsidRPr="00437BB0">
        <w:rPr>
          <w:rFonts w:ascii="Times New Roman" w:hAnsi="Times New Roman" w:cs="Times New Roman"/>
          <w:i/>
          <w:noProof/>
          <w:sz w:val="24"/>
          <w:szCs w:val="24"/>
          <w:lang w:val="en-US"/>
        </w:rPr>
        <w:t>Appl. Energy</w:t>
      </w:r>
      <w:r w:rsidRPr="0053311A">
        <w:rPr>
          <w:rFonts w:ascii="Times New Roman" w:hAnsi="Times New Roman" w:cs="Times New Roman"/>
          <w:noProof/>
          <w:sz w:val="24"/>
          <w:szCs w:val="24"/>
          <w:lang w:val="en-US"/>
        </w:rPr>
        <w:t xml:space="preserve">. </w:t>
      </w:r>
      <w:r w:rsidRPr="00437BB0">
        <w:rPr>
          <w:rFonts w:ascii="Times New Roman" w:hAnsi="Times New Roman" w:cs="Times New Roman"/>
          <w:b/>
          <w:noProof/>
          <w:sz w:val="24"/>
          <w:szCs w:val="24"/>
          <w:lang w:val="en-US"/>
        </w:rPr>
        <w:t>203</w:t>
      </w:r>
      <w:r w:rsidRPr="0053311A">
        <w:rPr>
          <w:rFonts w:ascii="Times New Roman" w:hAnsi="Times New Roman" w:cs="Times New Roman"/>
          <w:noProof/>
          <w:sz w:val="24"/>
          <w:szCs w:val="24"/>
          <w:lang w:val="en-US"/>
        </w:rPr>
        <w:t xml:space="preserve"> (2017) 115–127. doi</w:t>
      </w:r>
      <w:r>
        <w:rPr>
          <w:rFonts w:ascii="Times New Roman" w:hAnsi="Times New Roman" w:cs="Times New Roman"/>
          <w:noProof/>
          <w:sz w:val="24"/>
          <w:szCs w:val="24"/>
          <w:lang w:val="en-US"/>
        </w:rPr>
        <w:t>:10.1016/j.apenergy.2017.06.046</w:t>
      </w:r>
    </w:p>
    <w:p w14:paraId="2EDF26C1"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[54]</w:t>
      </w:r>
      <w:r w:rsidRPr="0053311A">
        <w:rPr>
          <w:rFonts w:ascii="Times New Roman" w:hAnsi="Times New Roman" w:cs="Times New Roman"/>
          <w:noProof/>
          <w:sz w:val="24"/>
          <w:szCs w:val="24"/>
          <w:lang w:val="en-US"/>
        </w:rPr>
        <w:tab/>
        <w:t xml:space="preserve">R. Benato, G. Bruno, F. Palone, R.M. Polito, M. Rebolini, Large-scale electrochemical energy storage in high voltage grids: Overview of the Italian experience, </w:t>
      </w:r>
      <w:r w:rsidRPr="00861171">
        <w:rPr>
          <w:rFonts w:ascii="Times New Roman" w:hAnsi="Times New Roman" w:cs="Times New Roman"/>
          <w:i/>
          <w:noProof/>
          <w:sz w:val="24"/>
          <w:szCs w:val="24"/>
          <w:lang w:val="en-US"/>
        </w:rPr>
        <w:t>Energies</w:t>
      </w:r>
      <w:r w:rsidRPr="0053311A">
        <w:rPr>
          <w:rFonts w:ascii="Times New Roman" w:hAnsi="Times New Roman" w:cs="Times New Roman"/>
          <w:noProof/>
          <w:sz w:val="24"/>
          <w:szCs w:val="24"/>
          <w:lang w:val="en-US"/>
        </w:rPr>
        <w:t xml:space="preserve">. </w:t>
      </w:r>
      <w:r w:rsidRPr="00861171">
        <w:rPr>
          <w:rFonts w:ascii="Times New Roman" w:hAnsi="Times New Roman" w:cs="Times New Roman"/>
          <w:b/>
          <w:noProof/>
          <w:sz w:val="24"/>
          <w:szCs w:val="24"/>
          <w:lang w:val="en-US"/>
        </w:rPr>
        <w:t>10</w:t>
      </w:r>
      <w:r w:rsidRPr="0053311A">
        <w:rPr>
          <w:rFonts w:ascii="Times New Roman" w:hAnsi="Times New Roman" w:cs="Times New Roman"/>
          <w:noProof/>
          <w:sz w:val="24"/>
          <w:szCs w:val="24"/>
          <w:lang w:val="en-US"/>
        </w:rPr>
        <w:t xml:space="preserve"> (2017)</w:t>
      </w:r>
      <w:r>
        <w:rPr>
          <w:rFonts w:ascii="Times New Roman" w:hAnsi="Times New Roman" w:cs="Times New Roman"/>
          <w:noProof/>
          <w:sz w:val="24"/>
          <w:szCs w:val="24"/>
          <w:lang w:val="en-US"/>
        </w:rPr>
        <w:t xml:space="preserve"> </w:t>
      </w:r>
      <w:r w:rsidRPr="00861171">
        <w:rPr>
          <w:rFonts w:ascii="Times New Roman" w:hAnsi="Times New Roman" w:cs="Times New Roman"/>
          <w:noProof/>
          <w:sz w:val="24"/>
          <w:szCs w:val="24"/>
          <w:lang w:val="en-US"/>
        </w:rPr>
        <w:t>1-17</w:t>
      </w:r>
      <w:r>
        <w:rPr>
          <w:rFonts w:ascii="Times New Roman" w:hAnsi="Times New Roman" w:cs="Times New Roman"/>
          <w:noProof/>
          <w:sz w:val="24"/>
          <w:szCs w:val="24"/>
          <w:lang w:val="en-US"/>
        </w:rPr>
        <w:t>. doi:10.3390/en10010108</w:t>
      </w:r>
    </w:p>
    <w:p w14:paraId="41DE9035" w14:textId="77777777" w:rsidR="00D05697" w:rsidRPr="0053311A" w:rsidRDefault="00D05697" w:rsidP="00D05697">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[55]</w:t>
      </w:r>
      <w:r w:rsidRPr="0053311A">
        <w:rPr>
          <w:rFonts w:ascii="Times New Roman" w:hAnsi="Times New Roman" w:cs="Times New Roman"/>
          <w:noProof/>
          <w:sz w:val="24"/>
          <w:szCs w:val="24"/>
          <w:lang w:val="en-US"/>
        </w:rPr>
        <w:tab/>
        <w:t xml:space="preserve">B. Zakeri, S. Syri, Electrical energy storage systems: A comparative life cycle cost analysis, </w:t>
      </w:r>
      <w:r w:rsidRPr="00861171">
        <w:rPr>
          <w:rFonts w:ascii="Times New Roman" w:hAnsi="Times New Roman" w:cs="Times New Roman"/>
          <w:i/>
          <w:noProof/>
          <w:sz w:val="24"/>
          <w:szCs w:val="24"/>
          <w:lang w:val="en-US"/>
        </w:rPr>
        <w:t>Renew. Sustain. Energy Rev</w:t>
      </w:r>
      <w:r w:rsidRPr="0053311A">
        <w:rPr>
          <w:rFonts w:ascii="Times New Roman" w:hAnsi="Times New Roman" w:cs="Times New Roman"/>
          <w:noProof/>
          <w:sz w:val="24"/>
          <w:szCs w:val="24"/>
          <w:lang w:val="en-US"/>
        </w:rPr>
        <w:t xml:space="preserve">. </w:t>
      </w:r>
      <w:r w:rsidRPr="00861171">
        <w:rPr>
          <w:rFonts w:ascii="Times New Roman" w:hAnsi="Times New Roman" w:cs="Times New Roman"/>
          <w:b/>
          <w:noProof/>
          <w:sz w:val="24"/>
          <w:szCs w:val="24"/>
          <w:lang w:val="en-US"/>
        </w:rPr>
        <w:t>42</w:t>
      </w:r>
      <w:r w:rsidRPr="0053311A">
        <w:rPr>
          <w:rFonts w:ascii="Times New Roman" w:hAnsi="Times New Roman" w:cs="Times New Roman"/>
          <w:noProof/>
          <w:sz w:val="24"/>
          <w:szCs w:val="24"/>
          <w:lang w:val="en-US"/>
        </w:rPr>
        <w:t xml:space="preserve"> (2015) 569–596.</w:t>
      </w:r>
      <w:r>
        <w:rPr>
          <w:rFonts w:ascii="Times New Roman" w:hAnsi="Times New Roman" w:cs="Times New Roman"/>
          <w:noProof/>
          <w:sz w:val="24"/>
          <w:szCs w:val="24"/>
          <w:lang w:val="en-US"/>
        </w:rPr>
        <w:t xml:space="preserve"> doi:10.1016/j.rser.2014.10.011</w:t>
      </w:r>
    </w:p>
    <w:p w14:paraId="490EB457" w14:textId="669BD49F" w:rsidR="00D05697" w:rsidRDefault="00D05697" w:rsidP="00A15D71">
      <w:pPr>
        <w:widowControl w:val="0"/>
        <w:autoSpaceDE w:val="0"/>
        <w:autoSpaceDN w:val="0"/>
        <w:adjustRightInd w:val="0"/>
        <w:spacing w:line="240" w:lineRule="auto"/>
        <w:ind w:left="640" w:hanging="640"/>
        <w:rPr>
          <w:rFonts w:ascii="Times New Roman" w:hAnsi="Times New Roman" w:cs="Times New Roman"/>
          <w:noProof/>
          <w:sz w:val="24"/>
          <w:szCs w:val="24"/>
          <w:lang w:val="en-US"/>
        </w:rPr>
      </w:pPr>
      <w:r w:rsidRPr="0053311A">
        <w:rPr>
          <w:rFonts w:ascii="Times New Roman" w:hAnsi="Times New Roman" w:cs="Times New Roman"/>
          <w:noProof/>
          <w:sz w:val="24"/>
          <w:szCs w:val="24"/>
          <w:lang w:val="en-US"/>
        </w:rPr>
        <w:t>[56]</w:t>
      </w:r>
      <w:r w:rsidRPr="0053311A">
        <w:rPr>
          <w:rFonts w:ascii="Times New Roman" w:hAnsi="Times New Roman" w:cs="Times New Roman"/>
          <w:noProof/>
          <w:sz w:val="24"/>
          <w:szCs w:val="24"/>
          <w:lang w:val="en-US"/>
        </w:rPr>
        <w:tab/>
        <w:t>G. Huff, A.B. Currier, B.C. Kaun, D.M. Rastler, S.B. Chen, D.T. Bradshaw, W.D. Gauntlett, DOE/EPRI electricity storage handbo</w:t>
      </w:r>
      <w:r w:rsidR="00925F03">
        <w:rPr>
          <w:rFonts w:ascii="Times New Roman" w:hAnsi="Times New Roman" w:cs="Times New Roman"/>
          <w:noProof/>
          <w:sz w:val="24"/>
          <w:szCs w:val="24"/>
          <w:lang w:val="en-US"/>
        </w:rPr>
        <w:t>ok in collaboration with NRECA, (</w:t>
      </w:r>
      <w:r w:rsidRPr="0053311A">
        <w:rPr>
          <w:rFonts w:ascii="Times New Roman" w:hAnsi="Times New Roman" w:cs="Times New Roman"/>
          <w:noProof/>
          <w:sz w:val="24"/>
          <w:szCs w:val="24"/>
          <w:lang w:val="en-US"/>
        </w:rPr>
        <w:t>201</w:t>
      </w:r>
      <w:r w:rsidR="00925F03">
        <w:rPr>
          <w:rFonts w:ascii="Times New Roman" w:hAnsi="Times New Roman" w:cs="Times New Roman"/>
          <w:noProof/>
          <w:sz w:val="24"/>
          <w:szCs w:val="24"/>
          <w:lang w:val="en-US"/>
        </w:rPr>
        <w:t>5)</w:t>
      </w:r>
      <w:r w:rsidRPr="0053311A">
        <w:rPr>
          <w:rFonts w:ascii="Times New Roman" w:hAnsi="Times New Roman" w:cs="Times New Roman"/>
          <w:noProof/>
          <w:sz w:val="24"/>
          <w:szCs w:val="24"/>
          <w:lang w:val="en-US"/>
        </w:rPr>
        <w:t xml:space="preserve">. </w:t>
      </w:r>
      <w:r w:rsidR="00925F03" w:rsidRPr="00925F03">
        <w:rPr>
          <w:rFonts w:ascii="Times New Roman" w:hAnsi="Times New Roman" w:cs="Times New Roman"/>
          <w:noProof/>
          <w:sz w:val="24"/>
          <w:szCs w:val="24"/>
          <w:lang w:val="en-US"/>
        </w:rPr>
        <w:t>https://www.sandia.gov/ess-ssl/publications/SAND2015-1002.pdf</w:t>
      </w:r>
    </w:p>
    <w:p w14:paraId="4E475838" w14:textId="77777777" w:rsidR="00724C1F" w:rsidRDefault="00724C1F" w:rsidP="00A15D71">
      <w:pPr>
        <w:widowControl w:val="0"/>
        <w:autoSpaceDE w:val="0"/>
        <w:autoSpaceDN w:val="0"/>
        <w:adjustRightInd w:val="0"/>
        <w:spacing w:line="240" w:lineRule="auto"/>
        <w:ind w:left="640" w:hanging="640"/>
        <w:rPr>
          <w:rFonts w:ascii="Times New Roman" w:hAnsi="Times New Roman" w:cs="Times New Roman"/>
          <w:noProof/>
          <w:sz w:val="24"/>
          <w:szCs w:val="24"/>
          <w:lang w:val="en-US"/>
        </w:rPr>
      </w:pPr>
    </w:p>
    <w:sectPr w:rsidR="00724C1F">
      <w:headerReference w:type="even" r:id="rId53"/>
      <w:headerReference w:type="default" r:id="rId54"/>
      <w:footerReference w:type="even" r:id="rId55"/>
      <w:footerReference w:type="default" r:id="rId56"/>
      <w:headerReference w:type="first" r:id="rId57"/>
      <w:footerReference w:type="first" r:id="rId58"/>
      <w:footnotePr>
        <w:numFmt w:val="chicago"/>
      </w:footnotePr>
      <w:pgSz w:w="11906" w:h="16838"/>
      <w:pgMar w:top="1440" w:right="1440" w:bottom="1440" w:left="1440"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D7757AD" w15:done="0"/>
  <w15:commentEx w15:paraId="4230D8D2" w15:done="0"/>
  <w15:commentEx w15:paraId="0C830112" w15:done="0"/>
  <w15:commentEx w15:paraId="69721E69" w15:done="0"/>
  <w15:commentEx w15:paraId="5D7D1E3C" w15:done="0"/>
  <w15:commentEx w15:paraId="7EA12EEA" w15:done="0"/>
  <w15:commentEx w15:paraId="7A6CEC13" w15:done="0"/>
  <w15:commentEx w15:paraId="0140E7E1" w15:done="0"/>
  <w15:commentEx w15:paraId="57E43476" w15:done="0"/>
  <w15:commentEx w15:paraId="49B48C62" w15:done="0"/>
  <w15:commentEx w15:paraId="5AFB60E7" w15:done="0"/>
  <w15:commentEx w15:paraId="20010765" w15:done="0"/>
  <w15:commentEx w15:paraId="444FA184" w15:done="0"/>
  <w15:commentEx w15:paraId="6FB9505E" w15:done="0"/>
  <w15:commentEx w15:paraId="5698DC23" w15:done="0"/>
  <w15:commentEx w15:paraId="57ADA504" w15:done="0"/>
  <w15:commentEx w15:paraId="29C0236D" w15:done="0"/>
  <w15:commentEx w15:paraId="6B764B5F" w15:done="0"/>
  <w15:commentEx w15:paraId="4A88E022" w15:done="0"/>
  <w15:commentEx w15:paraId="368CB160"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D7757AD" w16cid:durableId="1F7C548F"/>
  <w16cid:commentId w16cid:paraId="4230D8D2" w16cid:durableId="1F7C1B4E"/>
  <w16cid:commentId w16cid:paraId="0C830112" w16cid:durableId="1F80A08B"/>
  <w16cid:commentId w16cid:paraId="69721E69" w16cid:durableId="1F786644"/>
  <w16cid:commentId w16cid:paraId="5D7D1E3C" w16cid:durableId="1F7DB565"/>
  <w16cid:commentId w16cid:paraId="7EA12EEA" w16cid:durableId="1F786645"/>
  <w16cid:commentId w16cid:paraId="7A6CEC13" w16cid:durableId="1F81F354"/>
  <w16cid:commentId w16cid:paraId="0140E7E1" w16cid:durableId="1F81F355"/>
  <w16cid:commentId w16cid:paraId="57E43476" w16cid:durableId="1F820006"/>
  <w16cid:commentId w16cid:paraId="49B48C62" w16cid:durableId="1F80A535"/>
  <w16cid:commentId w16cid:paraId="5AFB60E7" w16cid:durableId="1F820B9B"/>
  <w16cid:commentId w16cid:paraId="20010765" w16cid:durableId="1F80BC97"/>
  <w16cid:commentId w16cid:paraId="444FA184" w16cid:durableId="1F8206DA"/>
  <w16cid:commentId w16cid:paraId="6FB9505E" w16cid:durableId="1F80A797"/>
  <w16cid:commentId w16cid:paraId="5698DC23" w16cid:durableId="1F80A7B9"/>
  <w16cid:commentId w16cid:paraId="57ADA504" w16cid:durableId="1F80B299"/>
  <w16cid:commentId w16cid:paraId="29C0236D" w16cid:durableId="1F80B735"/>
  <w16cid:commentId w16cid:paraId="6B764B5F" w16cid:durableId="1F81F35C"/>
  <w16cid:commentId w16cid:paraId="4A88E022" w16cid:durableId="1F81F35D"/>
  <w16cid:commentId w16cid:paraId="368CB160" w16cid:durableId="1F81F35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E6D01A" w14:textId="77777777" w:rsidR="00F40443" w:rsidRDefault="00F40443" w:rsidP="00011743">
      <w:pPr>
        <w:spacing w:after="0" w:line="240" w:lineRule="auto"/>
      </w:pPr>
      <w:r>
        <w:separator/>
      </w:r>
    </w:p>
  </w:endnote>
  <w:endnote w:type="continuationSeparator" w:id="0">
    <w:p w14:paraId="2F0EDAB2" w14:textId="77777777" w:rsidR="00F40443" w:rsidRDefault="00F40443" w:rsidP="000117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Gulim">
    <w:altName w:val="굴림"/>
    <w:panose1 w:val="020B0600000101010101"/>
    <w:charset w:val="81"/>
    <w:family w:val="swiss"/>
    <w:pitch w:val="variable"/>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9C4DF0" w14:textId="77777777" w:rsidR="00622EE0" w:rsidRDefault="00622EE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1C5642" w14:textId="77777777" w:rsidR="008A66D3" w:rsidRDefault="008A66D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7369AF" w14:textId="77777777" w:rsidR="00622EE0" w:rsidRDefault="00622EE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7C2D91" w14:textId="77777777" w:rsidR="00F40443" w:rsidRDefault="00F40443" w:rsidP="00011743">
      <w:pPr>
        <w:spacing w:after="0" w:line="240" w:lineRule="auto"/>
      </w:pPr>
      <w:r>
        <w:separator/>
      </w:r>
    </w:p>
  </w:footnote>
  <w:footnote w:type="continuationSeparator" w:id="0">
    <w:p w14:paraId="67FFA50F" w14:textId="77777777" w:rsidR="00F40443" w:rsidRDefault="00F40443" w:rsidP="00011743">
      <w:pPr>
        <w:spacing w:after="0" w:line="240" w:lineRule="auto"/>
      </w:pPr>
      <w:r>
        <w:continuationSeparator/>
      </w:r>
    </w:p>
  </w:footnote>
  <w:footnote w:id="1">
    <w:p w14:paraId="67A3C99A" w14:textId="2C5E0DD4" w:rsidR="008A66D3" w:rsidRPr="00A347CF" w:rsidRDefault="008A66D3">
      <w:pPr>
        <w:pStyle w:val="FootnoteText"/>
        <w:rPr>
          <w:lang w:val="en-US"/>
        </w:rPr>
      </w:pPr>
      <w:r>
        <w:rPr>
          <w:rStyle w:val="FootnoteReference"/>
        </w:rPr>
        <w:footnoteRef/>
      </w:r>
      <w:r w:rsidRPr="00A347CF">
        <w:rPr>
          <w:lang w:val="en-US"/>
        </w:rPr>
        <w:t xml:space="preserve"> </w:t>
      </w:r>
      <w:r>
        <w:rPr>
          <w:rFonts w:ascii="Times New Roman" w:hAnsi="Times New Roman" w:cs="Times New Roman"/>
          <w:sz w:val="24"/>
          <w:szCs w:val="24"/>
          <w:lang w:val="en-US"/>
        </w:rPr>
        <w:t>FCR-N: F</w:t>
      </w:r>
      <w:r w:rsidRPr="00A347CF">
        <w:rPr>
          <w:rFonts w:ascii="Times New Roman" w:hAnsi="Times New Roman" w:cs="Times New Roman"/>
          <w:sz w:val="24"/>
          <w:szCs w:val="24"/>
          <w:lang w:val="en-US"/>
        </w:rPr>
        <w:t xml:space="preserve">requency Containment </w:t>
      </w:r>
      <w:r>
        <w:rPr>
          <w:rFonts w:ascii="Times New Roman" w:hAnsi="Times New Roman" w:cs="Times New Roman"/>
          <w:sz w:val="24"/>
          <w:szCs w:val="24"/>
          <w:lang w:val="en-US"/>
        </w:rPr>
        <w:t>R</w:t>
      </w:r>
      <w:r w:rsidRPr="00A347CF">
        <w:rPr>
          <w:rFonts w:ascii="Times New Roman" w:hAnsi="Times New Roman" w:cs="Times New Roman"/>
          <w:sz w:val="24"/>
          <w:szCs w:val="24"/>
          <w:lang w:val="en-US"/>
        </w:rPr>
        <w:t xml:space="preserve">eserve for </w:t>
      </w:r>
      <w:r>
        <w:rPr>
          <w:rFonts w:ascii="Times New Roman" w:hAnsi="Times New Roman" w:cs="Times New Roman"/>
          <w:sz w:val="24"/>
          <w:szCs w:val="24"/>
          <w:lang w:val="en-US"/>
        </w:rPr>
        <w:t>N</w:t>
      </w:r>
      <w:r w:rsidRPr="00A347CF">
        <w:rPr>
          <w:rFonts w:ascii="Times New Roman" w:hAnsi="Times New Roman" w:cs="Times New Roman"/>
          <w:sz w:val="24"/>
          <w:szCs w:val="24"/>
          <w:lang w:val="en-US"/>
        </w:rPr>
        <w:t>ormal operation</w:t>
      </w:r>
      <w:r>
        <w:rPr>
          <w:rFonts w:ascii="Times New Roman" w:hAnsi="Times New Roman" w:cs="Times New Roman"/>
          <w:sz w:val="24"/>
          <w:szCs w:val="24"/>
          <w:lang w:val="en-US"/>
        </w:rPr>
        <w:t xml:space="preserve">. FCR-D: </w:t>
      </w:r>
      <w:r w:rsidRPr="00A347CF">
        <w:rPr>
          <w:rFonts w:ascii="Times New Roman" w:hAnsi="Times New Roman" w:cs="Times New Roman"/>
          <w:sz w:val="24"/>
          <w:szCs w:val="24"/>
          <w:lang w:val="en-US"/>
        </w:rPr>
        <w:t>Frequency Containment Reserve for Disturbances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38E985" w14:textId="77777777" w:rsidR="00622EE0" w:rsidRDefault="00622EE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BEC777" w14:textId="77777777" w:rsidR="00622EE0" w:rsidRDefault="00622EE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483AEE" w14:textId="77777777" w:rsidR="00622EE0" w:rsidRDefault="00622EE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1725A"/>
    <w:multiLevelType w:val="hybridMultilevel"/>
    <w:tmpl w:val="4A1A3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3750B28"/>
    <w:multiLevelType w:val="hybridMultilevel"/>
    <w:tmpl w:val="4AD42622"/>
    <w:lvl w:ilvl="0" w:tplc="FFFFFFF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
    <w:nsid w:val="5155778B"/>
    <w:multiLevelType w:val="hybridMultilevel"/>
    <w:tmpl w:val="AEB6FEF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nsid w:val="576B6EE0"/>
    <w:multiLevelType w:val="hybridMultilevel"/>
    <w:tmpl w:val="DC14A6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3"/>
  </w:num>
  <w:num w:numId="3">
    <w:abstractNumId w:val="0"/>
  </w:num>
  <w:num w:numId="4">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Rasmus RODE MOSBAEK">
    <w15:presenceInfo w15:providerId="Windows Live" w15:userId="0013820dceafe12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hyphenationZone w:val="425"/>
  <w:characterSpacingControl w:val="doNotCompress"/>
  <w:hdrShapeDefaults>
    <o:shapedefaults v:ext="edit" spidmax="2049"/>
  </w:hdrShapeDefaults>
  <w:footnotePr>
    <w:numFmt w:val="chicago"/>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5496"/>
    <w:rsid w:val="00002A5F"/>
    <w:rsid w:val="000038D3"/>
    <w:rsid w:val="00011743"/>
    <w:rsid w:val="00012BBD"/>
    <w:rsid w:val="00017AF2"/>
    <w:rsid w:val="00027531"/>
    <w:rsid w:val="00034457"/>
    <w:rsid w:val="00040FE7"/>
    <w:rsid w:val="0004399E"/>
    <w:rsid w:val="000439FA"/>
    <w:rsid w:val="00047FB7"/>
    <w:rsid w:val="0005041C"/>
    <w:rsid w:val="00056AD4"/>
    <w:rsid w:val="00057F81"/>
    <w:rsid w:val="000616C4"/>
    <w:rsid w:val="00064652"/>
    <w:rsid w:val="00070A72"/>
    <w:rsid w:val="00072754"/>
    <w:rsid w:val="000774E2"/>
    <w:rsid w:val="000842AB"/>
    <w:rsid w:val="00090E8C"/>
    <w:rsid w:val="000A233A"/>
    <w:rsid w:val="000A57F3"/>
    <w:rsid w:val="000B7372"/>
    <w:rsid w:val="000B74CE"/>
    <w:rsid w:val="000C5455"/>
    <w:rsid w:val="000D340A"/>
    <w:rsid w:val="000D4D24"/>
    <w:rsid w:val="000E1C4A"/>
    <w:rsid w:val="000E7619"/>
    <w:rsid w:val="000F0F1C"/>
    <w:rsid w:val="000F7F9E"/>
    <w:rsid w:val="0010054B"/>
    <w:rsid w:val="00112490"/>
    <w:rsid w:val="00112893"/>
    <w:rsid w:val="00112AF3"/>
    <w:rsid w:val="00115CCB"/>
    <w:rsid w:val="001174C0"/>
    <w:rsid w:val="00127DDE"/>
    <w:rsid w:val="001306C5"/>
    <w:rsid w:val="00133C2E"/>
    <w:rsid w:val="001471E2"/>
    <w:rsid w:val="00152E1F"/>
    <w:rsid w:val="00162AEC"/>
    <w:rsid w:val="001819B0"/>
    <w:rsid w:val="00194111"/>
    <w:rsid w:val="001944BB"/>
    <w:rsid w:val="001A1CD9"/>
    <w:rsid w:val="001A4EAF"/>
    <w:rsid w:val="001A7298"/>
    <w:rsid w:val="001B04D6"/>
    <w:rsid w:val="001C2971"/>
    <w:rsid w:val="001C351B"/>
    <w:rsid w:val="001C5427"/>
    <w:rsid w:val="001C5A68"/>
    <w:rsid w:val="001C67D8"/>
    <w:rsid w:val="001D698C"/>
    <w:rsid w:val="001D780B"/>
    <w:rsid w:val="001F259A"/>
    <w:rsid w:val="001F34D9"/>
    <w:rsid w:val="00202575"/>
    <w:rsid w:val="00210324"/>
    <w:rsid w:val="00217F44"/>
    <w:rsid w:val="002303F5"/>
    <w:rsid w:val="0025571A"/>
    <w:rsid w:val="00261CAA"/>
    <w:rsid w:val="00264F75"/>
    <w:rsid w:val="00282754"/>
    <w:rsid w:val="00283F8E"/>
    <w:rsid w:val="00291D7F"/>
    <w:rsid w:val="002941B4"/>
    <w:rsid w:val="00294FA1"/>
    <w:rsid w:val="002A14C6"/>
    <w:rsid w:val="002A362D"/>
    <w:rsid w:val="002B590B"/>
    <w:rsid w:val="002C35EF"/>
    <w:rsid w:val="002C40E5"/>
    <w:rsid w:val="002C43DE"/>
    <w:rsid w:val="002C6CBC"/>
    <w:rsid w:val="002D5496"/>
    <w:rsid w:val="002E3D04"/>
    <w:rsid w:val="002E3FD0"/>
    <w:rsid w:val="002E68EB"/>
    <w:rsid w:val="002F009D"/>
    <w:rsid w:val="002F38EC"/>
    <w:rsid w:val="00300BC0"/>
    <w:rsid w:val="00301DD4"/>
    <w:rsid w:val="0030424D"/>
    <w:rsid w:val="003074D8"/>
    <w:rsid w:val="00310B72"/>
    <w:rsid w:val="00324529"/>
    <w:rsid w:val="00326876"/>
    <w:rsid w:val="00327C94"/>
    <w:rsid w:val="00337F1F"/>
    <w:rsid w:val="00351DB6"/>
    <w:rsid w:val="00360845"/>
    <w:rsid w:val="00367CF7"/>
    <w:rsid w:val="0037154E"/>
    <w:rsid w:val="0037217E"/>
    <w:rsid w:val="0037567B"/>
    <w:rsid w:val="00385FB1"/>
    <w:rsid w:val="00392637"/>
    <w:rsid w:val="003936CF"/>
    <w:rsid w:val="00396662"/>
    <w:rsid w:val="003D1E7C"/>
    <w:rsid w:val="003D4B99"/>
    <w:rsid w:val="003D650C"/>
    <w:rsid w:val="003E1D16"/>
    <w:rsid w:val="003F2119"/>
    <w:rsid w:val="0040406D"/>
    <w:rsid w:val="00405A51"/>
    <w:rsid w:val="00410D88"/>
    <w:rsid w:val="00413408"/>
    <w:rsid w:val="004170D2"/>
    <w:rsid w:val="00425B4D"/>
    <w:rsid w:val="00432EAC"/>
    <w:rsid w:val="00443122"/>
    <w:rsid w:val="00443321"/>
    <w:rsid w:val="0044725D"/>
    <w:rsid w:val="004646E5"/>
    <w:rsid w:val="00466C62"/>
    <w:rsid w:val="00481E63"/>
    <w:rsid w:val="004A1365"/>
    <w:rsid w:val="004A49E2"/>
    <w:rsid w:val="004A4C6C"/>
    <w:rsid w:val="004A5F03"/>
    <w:rsid w:val="004A7C48"/>
    <w:rsid w:val="004B0B8F"/>
    <w:rsid w:val="004B3A8B"/>
    <w:rsid w:val="004C1883"/>
    <w:rsid w:val="004C53E3"/>
    <w:rsid w:val="004D3142"/>
    <w:rsid w:val="004D7228"/>
    <w:rsid w:val="004E6D25"/>
    <w:rsid w:val="004E7381"/>
    <w:rsid w:val="004F0F93"/>
    <w:rsid w:val="004F7EEF"/>
    <w:rsid w:val="00503D33"/>
    <w:rsid w:val="00510080"/>
    <w:rsid w:val="00520C0A"/>
    <w:rsid w:val="00523957"/>
    <w:rsid w:val="00534F1F"/>
    <w:rsid w:val="00535693"/>
    <w:rsid w:val="00544654"/>
    <w:rsid w:val="00547C40"/>
    <w:rsid w:val="00554C56"/>
    <w:rsid w:val="005738D6"/>
    <w:rsid w:val="00575C9D"/>
    <w:rsid w:val="00581384"/>
    <w:rsid w:val="00591F73"/>
    <w:rsid w:val="00595B04"/>
    <w:rsid w:val="005A6803"/>
    <w:rsid w:val="005C44A1"/>
    <w:rsid w:val="005C5A22"/>
    <w:rsid w:val="005E1059"/>
    <w:rsid w:val="005E1BE3"/>
    <w:rsid w:val="005E3EA2"/>
    <w:rsid w:val="005F331C"/>
    <w:rsid w:val="00622EE0"/>
    <w:rsid w:val="006468E8"/>
    <w:rsid w:val="006512E5"/>
    <w:rsid w:val="00654992"/>
    <w:rsid w:val="00657EF0"/>
    <w:rsid w:val="006612FE"/>
    <w:rsid w:val="0066414F"/>
    <w:rsid w:val="00667408"/>
    <w:rsid w:val="00674516"/>
    <w:rsid w:val="00684C45"/>
    <w:rsid w:val="006867BA"/>
    <w:rsid w:val="00697295"/>
    <w:rsid w:val="006A6251"/>
    <w:rsid w:val="006B6AD4"/>
    <w:rsid w:val="006B7796"/>
    <w:rsid w:val="006B792C"/>
    <w:rsid w:val="006C407C"/>
    <w:rsid w:val="006D06F4"/>
    <w:rsid w:val="006D073E"/>
    <w:rsid w:val="006D762F"/>
    <w:rsid w:val="006E23AB"/>
    <w:rsid w:val="00700C13"/>
    <w:rsid w:val="00701474"/>
    <w:rsid w:val="00721276"/>
    <w:rsid w:val="007212D7"/>
    <w:rsid w:val="00724C1F"/>
    <w:rsid w:val="0073587F"/>
    <w:rsid w:val="007428C1"/>
    <w:rsid w:val="00743BE0"/>
    <w:rsid w:val="00747EBB"/>
    <w:rsid w:val="00757108"/>
    <w:rsid w:val="00775E92"/>
    <w:rsid w:val="007769EC"/>
    <w:rsid w:val="007903D3"/>
    <w:rsid w:val="00795BD2"/>
    <w:rsid w:val="007A4125"/>
    <w:rsid w:val="007A65A1"/>
    <w:rsid w:val="007B0BF7"/>
    <w:rsid w:val="007B1ED4"/>
    <w:rsid w:val="007B5545"/>
    <w:rsid w:val="007C2D8F"/>
    <w:rsid w:val="007C7FCE"/>
    <w:rsid w:val="007D19C6"/>
    <w:rsid w:val="007D441B"/>
    <w:rsid w:val="007D5D90"/>
    <w:rsid w:val="007E4B53"/>
    <w:rsid w:val="007F2F6B"/>
    <w:rsid w:val="007F46F4"/>
    <w:rsid w:val="00800229"/>
    <w:rsid w:val="0080464E"/>
    <w:rsid w:val="0082519D"/>
    <w:rsid w:val="00827D48"/>
    <w:rsid w:val="008542C8"/>
    <w:rsid w:val="00855651"/>
    <w:rsid w:val="008632F5"/>
    <w:rsid w:val="008649F0"/>
    <w:rsid w:val="00874CCD"/>
    <w:rsid w:val="008774B0"/>
    <w:rsid w:val="00880BC5"/>
    <w:rsid w:val="0088298C"/>
    <w:rsid w:val="008879FB"/>
    <w:rsid w:val="00891450"/>
    <w:rsid w:val="008946CA"/>
    <w:rsid w:val="0089514A"/>
    <w:rsid w:val="008A08AF"/>
    <w:rsid w:val="008A1711"/>
    <w:rsid w:val="008A2410"/>
    <w:rsid w:val="008A66D3"/>
    <w:rsid w:val="008A6A4E"/>
    <w:rsid w:val="008A77C5"/>
    <w:rsid w:val="008B7918"/>
    <w:rsid w:val="008B79E8"/>
    <w:rsid w:val="008D35F0"/>
    <w:rsid w:val="008E69FB"/>
    <w:rsid w:val="008F4830"/>
    <w:rsid w:val="008F5458"/>
    <w:rsid w:val="009017CA"/>
    <w:rsid w:val="00921C5B"/>
    <w:rsid w:val="00925F03"/>
    <w:rsid w:val="00927E13"/>
    <w:rsid w:val="00941857"/>
    <w:rsid w:val="009612A9"/>
    <w:rsid w:val="00961640"/>
    <w:rsid w:val="009618FA"/>
    <w:rsid w:val="00986F3F"/>
    <w:rsid w:val="00987231"/>
    <w:rsid w:val="00990927"/>
    <w:rsid w:val="009935F6"/>
    <w:rsid w:val="0099412A"/>
    <w:rsid w:val="009969B8"/>
    <w:rsid w:val="00997442"/>
    <w:rsid w:val="009A0C2D"/>
    <w:rsid w:val="009A64AC"/>
    <w:rsid w:val="009B0AB4"/>
    <w:rsid w:val="009D3608"/>
    <w:rsid w:val="009E09F3"/>
    <w:rsid w:val="009E1E07"/>
    <w:rsid w:val="009E2641"/>
    <w:rsid w:val="009E54ED"/>
    <w:rsid w:val="00A015CC"/>
    <w:rsid w:val="00A02A71"/>
    <w:rsid w:val="00A104EC"/>
    <w:rsid w:val="00A15D71"/>
    <w:rsid w:val="00A179CF"/>
    <w:rsid w:val="00A22CE0"/>
    <w:rsid w:val="00A250D0"/>
    <w:rsid w:val="00A320CB"/>
    <w:rsid w:val="00A347CF"/>
    <w:rsid w:val="00A35922"/>
    <w:rsid w:val="00A37799"/>
    <w:rsid w:val="00A46A42"/>
    <w:rsid w:val="00A52A80"/>
    <w:rsid w:val="00A5710F"/>
    <w:rsid w:val="00A617CB"/>
    <w:rsid w:val="00A66154"/>
    <w:rsid w:val="00A75022"/>
    <w:rsid w:val="00A76CDF"/>
    <w:rsid w:val="00A83304"/>
    <w:rsid w:val="00A87B92"/>
    <w:rsid w:val="00A94088"/>
    <w:rsid w:val="00A95A70"/>
    <w:rsid w:val="00AA4239"/>
    <w:rsid w:val="00AC1622"/>
    <w:rsid w:val="00AC3C33"/>
    <w:rsid w:val="00AE0D8F"/>
    <w:rsid w:val="00AE691D"/>
    <w:rsid w:val="00AE78DE"/>
    <w:rsid w:val="00AF0D0F"/>
    <w:rsid w:val="00B00073"/>
    <w:rsid w:val="00B00513"/>
    <w:rsid w:val="00B04465"/>
    <w:rsid w:val="00B04E5D"/>
    <w:rsid w:val="00B05CE5"/>
    <w:rsid w:val="00B073C6"/>
    <w:rsid w:val="00B07B3A"/>
    <w:rsid w:val="00B102B2"/>
    <w:rsid w:val="00B11519"/>
    <w:rsid w:val="00B149C4"/>
    <w:rsid w:val="00B30429"/>
    <w:rsid w:val="00B33CC2"/>
    <w:rsid w:val="00B4148D"/>
    <w:rsid w:val="00B47DA1"/>
    <w:rsid w:val="00B51587"/>
    <w:rsid w:val="00B578D5"/>
    <w:rsid w:val="00B60186"/>
    <w:rsid w:val="00B63D6C"/>
    <w:rsid w:val="00B70A1C"/>
    <w:rsid w:val="00B71FC0"/>
    <w:rsid w:val="00B74CFC"/>
    <w:rsid w:val="00B77792"/>
    <w:rsid w:val="00B95C79"/>
    <w:rsid w:val="00BA5767"/>
    <w:rsid w:val="00BB1C77"/>
    <w:rsid w:val="00BC35D2"/>
    <w:rsid w:val="00BC7778"/>
    <w:rsid w:val="00BD1E70"/>
    <w:rsid w:val="00BD75BC"/>
    <w:rsid w:val="00BF3C1E"/>
    <w:rsid w:val="00BF7599"/>
    <w:rsid w:val="00C1797C"/>
    <w:rsid w:val="00C21A87"/>
    <w:rsid w:val="00C45F4B"/>
    <w:rsid w:val="00C701BF"/>
    <w:rsid w:val="00C72B12"/>
    <w:rsid w:val="00C733CA"/>
    <w:rsid w:val="00C828CC"/>
    <w:rsid w:val="00C83C7D"/>
    <w:rsid w:val="00C85E51"/>
    <w:rsid w:val="00C86CF8"/>
    <w:rsid w:val="00C86EA6"/>
    <w:rsid w:val="00C86F85"/>
    <w:rsid w:val="00C87AA8"/>
    <w:rsid w:val="00C9281F"/>
    <w:rsid w:val="00C94FB7"/>
    <w:rsid w:val="00CA0110"/>
    <w:rsid w:val="00CA6B9A"/>
    <w:rsid w:val="00CA7A96"/>
    <w:rsid w:val="00CB48C7"/>
    <w:rsid w:val="00CE0F57"/>
    <w:rsid w:val="00CE415F"/>
    <w:rsid w:val="00CF7220"/>
    <w:rsid w:val="00D05697"/>
    <w:rsid w:val="00D11787"/>
    <w:rsid w:val="00D147B7"/>
    <w:rsid w:val="00D15F32"/>
    <w:rsid w:val="00D16799"/>
    <w:rsid w:val="00D35F9A"/>
    <w:rsid w:val="00D5367B"/>
    <w:rsid w:val="00D54BF2"/>
    <w:rsid w:val="00D641E5"/>
    <w:rsid w:val="00D67207"/>
    <w:rsid w:val="00D72C75"/>
    <w:rsid w:val="00D8291F"/>
    <w:rsid w:val="00D842CC"/>
    <w:rsid w:val="00D854B6"/>
    <w:rsid w:val="00D92E8A"/>
    <w:rsid w:val="00D95E05"/>
    <w:rsid w:val="00DB0ED5"/>
    <w:rsid w:val="00DB5867"/>
    <w:rsid w:val="00DC7498"/>
    <w:rsid w:val="00DC7887"/>
    <w:rsid w:val="00DE496B"/>
    <w:rsid w:val="00DE4EE3"/>
    <w:rsid w:val="00DE6D09"/>
    <w:rsid w:val="00DF1FD7"/>
    <w:rsid w:val="00DF3B7D"/>
    <w:rsid w:val="00DF6907"/>
    <w:rsid w:val="00E000C1"/>
    <w:rsid w:val="00E003ED"/>
    <w:rsid w:val="00E04F1F"/>
    <w:rsid w:val="00E06118"/>
    <w:rsid w:val="00E06D29"/>
    <w:rsid w:val="00E1189D"/>
    <w:rsid w:val="00E172F3"/>
    <w:rsid w:val="00E20D7C"/>
    <w:rsid w:val="00E222CE"/>
    <w:rsid w:val="00E27C0F"/>
    <w:rsid w:val="00E30EF0"/>
    <w:rsid w:val="00E32665"/>
    <w:rsid w:val="00E373C1"/>
    <w:rsid w:val="00E42F4A"/>
    <w:rsid w:val="00E5073F"/>
    <w:rsid w:val="00E55836"/>
    <w:rsid w:val="00E60026"/>
    <w:rsid w:val="00E709D7"/>
    <w:rsid w:val="00E72E6F"/>
    <w:rsid w:val="00E84CCB"/>
    <w:rsid w:val="00EA3FFE"/>
    <w:rsid w:val="00EA50F2"/>
    <w:rsid w:val="00EA7643"/>
    <w:rsid w:val="00EB15B2"/>
    <w:rsid w:val="00EB71C7"/>
    <w:rsid w:val="00EC45EE"/>
    <w:rsid w:val="00ED04FE"/>
    <w:rsid w:val="00ED20FB"/>
    <w:rsid w:val="00ED2517"/>
    <w:rsid w:val="00ED2FDD"/>
    <w:rsid w:val="00EE6CA0"/>
    <w:rsid w:val="00EF3EFD"/>
    <w:rsid w:val="00EF5E91"/>
    <w:rsid w:val="00F00F94"/>
    <w:rsid w:val="00F03EFB"/>
    <w:rsid w:val="00F04FC3"/>
    <w:rsid w:val="00F061DF"/>
    <w:rsid w:val="00F12639"/>
    <w:rsid w:val="00F1285B"/>
    <w:rsid w:val="00F20753"/>
    <w:rsid w:val="00F21B66"/>
    <w:rsid w:val="00F258DB"/>
    <w:rsid w:val="00F32361"/>
    <w:rsid w:val="00F40443"/>
    <w:rsid w:val="00F43F41"/>
    <w:rsid w:val="00F44718"/>
    <w:rsid w:val="00F5525F"/>
    <w:rsid w:val="00F622AF"/>
    <w:rsid w:val="00F80B02"/>
    <w:rsid w:val="00F841DA"/>
    <w:rsid w:val="00F85A70"/>
    <w:rsid w:val="00F86D2B"/>
    <w:rsid w:val="00F90AFB"/>
    <w:rsid w:val="00F9155E"/>
    <w:rsid w:val="00F94C0E"/>
    <w:rsid w:val="00FA39C1"/>
    <w:rsid w:val="00FA53BC"/>
    <w:rsid w:val="00FB0366"/>
    <w:rsid w:val="00FC5412"/>
    <w:rsid w:val="00FD46A1"/>
    <w:rsid w:val="00FE5C6B"/>
    <w:rsid w:val="00FF1340"/>
    <w:rsid w:val="00FF60AC"/>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AD16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842CC"/>
    <w:pPr>
      <w:keepNext/>
      <w:keepLines/>
      <w:spacing w:before="240" w:after="0"/>
      <w:outlineLvl w:val="0"/>
    </w:pPr>
    <w:rPr>
      <w:rFonts w:ascii="Times New Roman" w:eastAsiaTheme="majorEastAsia" w:hAnsi="Times New Roman"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D5496"/>
    <w:pPr>
      <w:keepNext/>
      <w:keepLines/>
      <w:spacing w:before="40" w:after="0"/>
      <w:outlineLvl w:val="1"/>
    </w:pPr>
    <w:rPr>
      <w:rFonts w:asciiTheme="majorHAnsi" w:eastAsiaTheme="majorEastAsia" w:hAnsiTheme="majorHAnsi" w:cstheme="majorBidi"/>
      <w:color w:val="2F5496" w:themeColor="accent1" w:themeShade="BF"/>
      <w:sz w:val="26"/>
      <w:szCs w:val="26"/>
      <w:lang w:val="en-US"/>
    </w:rPr>
  </w:style>
  <w:style w:type="paragraph" w:styleId="Heading3">
    <w:name w:val="heading 3"/>
    <w:basedOn w:val="Normal"/>
    <w:next w:val="Normal"/>
    <w:link w:val="Heading3Char"/>
    <w:uiPriority w:val="9"/>
    <w:unhideWhenUsed/>
    <w:qFormat/>
    <w:rsid w:val="004A49E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D5496"/>
    <w:rPr>
      <w:rFonts w:asciiTheme="majorHAnsi" w:eastAsiaTheme="majorEastAsia" w:hAnsiTheme="majorHAnsi" w:cstheme="majorBidi"/>
      <w:color w:val="2F5496" w:themeColor="accent1" w:themeShade="BF"/>
      <w:sz w:val="26"/>
      <w:szCs w:val="26"/>
      <w:lang w:val="en-US"/>
    </w:rPr>
  </w:style>
  <w:style w:type="paragraph" w:styleId="Title">
    <w:name w:val="Title"/>
    <w:basedOn w:val="Normal"/>
    <w:next w:val="Normal"/>
    <w:link w:val="TitleChar"/>
    <w:uiPriority w:val="10"/>
    <w:qFormat/>
    <w:rsid w:val="002D5496"/>
    <w:pPr>
      <w:spacing w:after="0" w:line="240" w:lineRule="auto"/>
      <w:contextualSpacing/>
    </w:pPr>
    <w:rPr>
      <w:rFonts w:asciiTheme="majorHAnsi" w:eastAsiaTheme="majorEastAsia" w:hAnsiTheme="majorHAnsi" w:cstheme="majorBidi"/>
      <w:spacing w:val="-10"/>
      <w:kern w:val="28"/>
      <w:sz w:val="56"/>
      <w:szCs w:val="56"/>
      <w:lang w:val="en-US"/>
    </w:rPr>
  </w:style>
  <w:style w:type="character" w:customStyle="1" w:styleId="TitleChar">
    <w:name w:val="Title Char"/>
    <w:basedOn w:val="DefaultParagraphFont"/>
    <w:link w:val="Title"/>
    <w:uiPriority w:val="10"/>
    <w:rsid w:val="002D5496"/>
    <w:rPr>
      <w:rFonts w:asciiTheme="majorHAnsi" w:eastAsiaTheme="majorEastAsia" w:hAnsiTheme="majorHAnsi" w:cstheme="majorBidi"/>
      <w:spacing w:val="-10"/>
      <w:kern w:val="28"/>
      <w:sz w:val="56"/>
      <w:szCs w:val="56"/>
      <w:lang w:val="en-US"/>
    </w:rPr>
  </w:style>
  <w:style w:type="paragraph" w:styleId="Caption">
    <w:name w:val="caption"/>
    <w:basedOn w:val="Normal"/>
    <w:next w:val="Normal"/>
    <w:uiPriority w:val="35"/>
    <w:unhideWhenUsed/>
    <w:qFormat/>
    <w:rsid w:val="002D5496"/>
    <w:pPr>
      <w:spacing w:after="200" w:line="240" w:lineRule="auto"/>
    </w:pPr>
    <w:rPr>
      <w:b/>
      <w:bCs/>
      <w:color w:val="4472C4" w:themeColor="accent1"/>
      <w:sz w:val="18"/>
      <w:szCs w:val="18"/>
      <w:lang w:val="en-US"/>
    </w:rPr>
  </w:style>
  <w:style w:type="character" w:styleId="CommentReference">
    <w:name w:val="annotation reference"/>
    <w:basedOn w:val="DefaultParagraphFont"/>
    <w:uiPriority w:val="99"/>
    <w:semiHidden/>
    <w:unhideWhenUsed/>
    <w:rsid w:val="003D1E7C"/>
    <w:rPr>
      <w:sz w:val="16"/>
      <w:szCs w:val="16"/>
    </w:rPr>
  </w:style>
  <w:style w:type="paragraph" w:styleId="CommentText">
    <w:name w:val="annotation text"/>
    <w:basedOn w:val="Normal"/>
    <w:link w:val="CommentTextChar"/>
    <w:uiPriority w:val="99"/>
    <w:semiHidden/>
    <w:unhideWhenUsed/>
    <w:rsid w:val="003D1E7C"/>
    <w:pPr>
      <w:spacing w:line="240" w:lineRule="auto"/>
    </w:pPr>
    <w:rPr>
      <w:sz w:val="20"/>
      <w:szCs w:val="20"/>
    </w:rPr>
  </w:style>
  <w:style w:type="character" w:customStyle="1" w:styleId="CommentTextChar">
    <w:name w:val="Comment Text Char"/>
    <w:basedOn w:val="DefaultParagraphFont"/>
    <w:link w:val="CommentText"/>
    <w:uiPriority w:val="99"/>
    <w:semiHidden/>
    <w:rsid w:val="003D1E7C"/>
    <w:rPr>
      <w:sz w:val="20"/>
      <w:szCs w:val="20"/>
    </w:rPr>
  </w:style>
  <w:style w:type="paragraph" w:styleId="CommentSubject">
    <w:name w:val="annotation subject"/>
    <w:basedOn w:val="CommentText"/>
    <w:next w:val="CommentText"/>
    <w:link w:val="CommentSubjectChar"/>
    <w:uiPriority w:val="99"/>
    <w:semiHidden/>
    <w:unhideWhenUsed/>
    <w:rsid w:val="003D1E7C"/>
    <w:rPr>
      <w:b/>
      <w:bCs/>
    </w:rPr>
  </w:style>
  <w:style w:type="character" w:customStyle="1" w:styleId="CommentSubjectChar">
    <w:name w:val="Comment Subject Char"/>
    <w:basedOn w:val="CommentTextChar"/>
    <w:link w:val="CommentSubject"/>
    <w:uiPriority w:val="99"/>
    <w:semiHidden/>
    <w:rsid w:val="003D1E7C"/>
    <w:rPr>
      <w:b/>
      <w:bCs/>
      <w:sz w:val="20"/>
      <w:szCs w:val="20"/>
    </w:rPr>
  </w:style>
  <w:style w:type="paragraph" w:styleId="BalloonText">
    <w:name w:val="Balloon Text"/>
    <w:basedOn w:val="Normal"/>
    <w:link w:val="BalloonTextChar"/>
    <w:uiPriority w:val="99"/>
    <w:semiHidden/>
    <w:unhideWhenUsed/>
    <w:rsid w:val="003D1E7C"/>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D1E7C"/>
    <w:rPr>
      <w:rFonts w:ascii="Times New Roman" w:hAnsi="Times New Roman" w:cs="Times New Roman"/>
      <w:sz w:val="18"/>
      <w:szCs w:val="18"/>
    </w:rPr>
  </w:style>
  <w:style w:type="table" w:styleId="TableGrid">
    <w:name w:val="Table Grid"/>
    <w:basedOn w:val="TableNormal"/>
    <w:uiPriority w:val="59"/>
    <w:rsid w:val="003D1E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842CC"/>
    <w:rPr>
      <w:rFonts w:ascii="Times New Roman" w:eastAsiaTheme="majorEastAsia" w:hAnsi="Times New Roman" w:cstheme="majorBidi"/>
      <w:color w:val="2F5496" w:themeColor="accent1" w:themeShade="BF"/>
      <w:sz w:val="32"/>
      <w:szCs w:val="32"/>
    </w:rPr>
  </w:style>
  <w:style w:type="character" w:styleId="Hyperlink">
    <w:name w:val="Hyperlink"/>
    <w:basedOn w:val="DefaultParagraphFont"/>
    <w:uiPriority w:val="99"/>
    <w:unhideWhenUsed/>
    <w:rsid w:val="004A49E2"/>
    <w:rPr>
      <w:color w:val="0563C1" w:themeColor="hyperlink"/>
      <w:u w:val="single"/>
    </w:rPr>
  </w:style>
  <w:style w:type="character" w:customStyle="1" w:styleId="UnresolvedMention1">
    <w:name w:val="Unresolved Mention1"/>
    <w:basedOn w:val="DefaultParagraphFont"/>
    <w:uiPriority w:val="99"/>
    <w:semiHidden/>
    <w:unhideWhenUsed/>
    <w:rsid w:val="004A49E2"/>
    <w:rPr>
      <w:color w:val="605E5C"/>
      <w:shd w:val="clear" w:color="auto" w:fill="E1DFDD"/>
    </w:rPr>
  </w:style>
  <w:style w:type="character" w:customStyle="1" w:styleId="Heading3Char">
    <w:name w:val="Heading 3 Char"/>
    <w:basedOn w:val="DefaultParagraphFont"/>
    <w:link w:val="Heading3"/>
    <w:uiPriority w:val="9"/>
    <w:rsid w:val="004A49E2"/>
    <w:rPr>
      <w:rFonts w:asciiTheme="majorHAnsi" w:eastAsiaTheme="majorEastAsia" w:hAnsiTheme="majorHAnsi" w:cstheme="majorBidi"/>
      <w:color w:val="1F3763" w:themeColor="accent1" w:themeShade="7F"/>
      <w:sz w:val="24"/>
      <w:szCs w:val="24"/>
    </w:rPr>
  </w:style>
  <w:style w:type="paragraph" w:styleId="TOCHeading">
    <w:name w:val="TOC Heading"/>
    <w:basedOn w:val="Heading1"/>
    <w:next w:val="Normal"/>
    <w:uiPriority w:val="39"/>
    <w:unhideWhenUsed/>
    <w:qFormat/>
    <w:rsid w:val="00DF3B7D"/>
    <w:pPr>
      <w:spacing w:before="480" w:line="276" w:lineRule="auto"/>
      <w:outlineLvl w:val="9"/>
    </w:pPr>
    <w:rPr>
      <w:b/>
      <w:bCs/>
      <w:sz w:val="28"/>
      <w:szCs w:val="28"/>
      <w:lang w:val="en-US"/>
    </w:rPr>
  </w:style>
  <w:style w:type="paragraph" w:styleId="TOC3">
    <w:name w:val="toc 3"/>
    <w:basedOn w:val="Normal"/>
    <w:next w:val="Normal"/>
    <w:autoRedefine/>
    <w:uiPriority w:val="39"/>
    <w:unhideWhenUsed/>
    <w:rsid w:val="00DF3B7D"/>
    <w:pPr>
      <w:spacing w:after="0"/>
      <w:ind w:left="440"/>
    </w:pPr>
    <w:rPr>
      <w:rFonts w:cstheme="minorHAnsi"/>
      <w:sz w:val="20"/>
      <w:szCs w:val="20"/>
    </w:rPr>
  </w:style>
  <w:style w:type="paragraph" w:styleId="TOC1">
    <w:name w:val="toc 1"/>
    <w:basedOn w:val="Normal"/>
    <w:next w:val="Normal"/>
    <w:autoRedefine/>
    <w:uiPriority w:val="39"/>
    <w:unhideWhenUsed/>
    <w:rsid w:val="00D842CC"/>
    <w:pPr>
      <w:spacing w:after="0"/>
    </w:pPr>
    <w:rPr>
      <w:rFonts w:cstheme="minorHAnsi"/>
      <w:b/>
      <w:bCs/>
      <w:i/>
      <w:iCs/>
      <w:sz w:val="24"/>
      <w:szCs w:val="24"/>
    </w:rPr>
  </w:style>
  <w:style w:type="paragraph" w:styleId="TOC2">
    <w:name w:val="toc 2"/>
    <w:basedOn w:val="Normal"/>
    <w:next w:val="Normal"/>
    <w:autoRedefine/>
    <w:uiPriority w:val="39"/>
    <w:unhideWhenUsed/>
    <w:rsid w:val="00D842CC"/>
    <w:pPr>
      <w:spacing w:after="0"/>
    </w:pPr>
    <w:rPr>
      <w:rFonts w:cstheme="minorHAnsi"/>
      <w:bCs/>
    </w:rPr>
  </w:style>
  <w:style w:type="paragraph" w:styleId="TOC4">
    <w:name w:val="toc 4"/>
    <w:basedOn w:val="Normal"/>
    <w:next w:val="Normal"/>
    <w:autoRedefine/>
    <w:uiPriority w:val="39"/>
    <w:semiHidden/>
    <w:unhideWhenUsed/>
    <w:rsid w:val="00DF3B7D"/>
    <w:pPr>
      <w:spacing w:after="0"/>
      <w:ind w:left="660"/>
    </w:pPr>
    <w:rPr>
      <w:rFonts w:cstheme="minorHAnsi"/>
      <w:sz w:val="20"/>
      <w:szCs w:val="20"/>
    </w:rPr>
  </w:style>
  <w:style w:type="paragraph" w:styleId="TOC5">
    <w:name w:val="toc 5"/>
    <w:basedOn w:val="Normal"/>
    <w:next w:val="Normal"/>
    <w:autoRedefine/>
    <w:uiPriority w:val="39"/>
    <w:semiHidden/>
    <w:unhideWhenUsed/>
    <w:rsid w:val="00DF3B7D"/>
    <w:pPr>
      <w:spacing w:after="0"/>
      <w:ind w:left="880"/>
    </w:pPr>
    <w:rPr>
      <w:rFonts w:cstheme="minorHAnsi"/>
      <w:sz w:val="20"/>
      <w:szCs w:val="20"/>
    </w:rPr>
  </w:style>
  <w:style w:type="paragraph" w:styleId="TOC6">
    <w:name w:val="toc 6"/>
    <w:basedOn w:val="Normal"/>
    <w:next w:val="Normal"/>
    <w:autoRedefine/>
    <w:uiPriority w:val="39"/>
    <w:semiHidden/>
    <w:unhideWhenUsed/>
    <w:rsid w:val="00DF3B7D"/>
    <w:pPr>
      <w:spacing w:after="0"/>
      <w:ind w:left="1100"/>
    </w:pPr>
    <w:rPr>
      <w:rFonts w:cstheme="minorHAnsi"/>
      <w:sz w:val="20"/>
      <w:szCs w:val="20"/>
    </w:rPr>
  </w:style>
  <w:style w:type="paragraph" w:styleId="TOC7">
    <w:name w:val="toc 7"/>
    <w:basedOn w:val="Normal"/>
    <w:next w:val="Normal"/>
    <w:autoRedefine/>
    <w:uiPriority w:val="39"/>
    <w:semiHidden/>
    <w:unhideWhenUsed/>
    <w:rsid w:val="00DF3B7D"/>
    <w:pPr>
      <w:spacing w:after="0"/>
      <w:ind w:left="1320"/>
    </w:pPr>
    <w:rPr>
      <w:rFonts w:cstheme="minorHAnsi"/>
      <w:sz w:val="20"/>
      <w:szCs w:val="20"/>
    </w:rPr>
  </w:style>
  <w:style w:type="paragraph" w:styleId="TOC8">
    <w:name w:val="toc 8"/>
    <w:basedOn w:val="Normal"/>
    <w:next w:val="Normal"/>
    <w:autoRedefine/>
    <w:uiPriority w:val="39"/>
    <w:semiHidden/>
    <w:unhideWhenUsed/>
    <w:rsid w:val="00DF3B7D"/>
    <w:pPr>
      <w:spacing w:after="0"/>
      <w:ind w:left="1540"/>
    </w:pPr>
    <w:rPr>
      <w:rFonts w:cstheme="minorHAnsi"/>
      <w:sz w:val="20"/>
      <w:szCs w:val="20"/>
    </w:rPr>
  </w:style>
  <w:style w:type="paragraph" w:styleId="TOC9">
    <w:name w:val="toc 9"/>
    <w:basedOn w:val="Normal"/>
    <w:next w:val="Normal"/>
    <w:autoRedefine/>
    <w:uiPriority w:val="39"/>
    <w:semiHidden/>
    <w:unhideWhenUsed/>
    <w:rsid w:val="00DF3B7D"/>
    <w:pPr>
      <w:spacing w:after="0"/>
      <w:ind w:left="1760"/>
    </w:pPr>
    <w:rPr>
      <w:rFonts w:cstheme="minorHAnsi"/>
      <w:sz w:val="20"/>
      <w:szCs w:val="20"/>
    </w:rPr>
  </w:style>
  <w:style w:type="paragraph" w:styleId="ListParagraph">
    <w:name w:val="List Paragraph"/>
    <w:basedOn w:val="Normal"/>
    <w:uiPriority w:val="34"/>
    <w:qFormat/>
    <w:rsid w:val="00961640"/>
    <w:pPr>
      <w:ind w:left="720"/>
      <w:contextualSpacing/>
    </w:pPr>
  </w:style>
  <w:style w:type="character" w:styleId="FollowedHyperlink">
    <w:name w:val="FollowedHyperlink"/>
    <w:basedOn w:val="DefaultParagraphFont"/>
    <w:uiPriority w:val="99"/>
    <w:semiHidden/>
    <w:unhideWhenUsed/>
    <w:rsid w:val="00B77792"/>
    <w:rPr>
      <w:color w:val="954F72" w:themeColor="followedHyperlink"/>
      <w:u w:val="single"/>
    </w:rPr>
  </w:style>
  <w:style w:type="character" w:customStyle="1" w:styleId="MTEquationSection">
    <w:name w:val="MTEquationSection"/>
    <w:basedOn w:val="DefaultParagraphFont"/>
    <w:rsid w:val="003074D8"/>
    <w:rPr>
      <w:rFonts w:ascii="Times New Roman" w:hAnsi="Times New Roman" w:cs="Times New Roman"/>
      <w:noProof/>
      <w:vanish/>
      <w:color w:val="FF0000"/>
      <w:sz w:val="52"/>
      <w:szCs w:val="52"/>
    </w:rPr>
  </w:style>
  <w:style w:type="paragraph" w:customStyle="1" w:styleId="MTDisplayEquation">
    <w:name w:val="MTDisplayEquation"/>
    <w:basedOn w:val="Normal"/>
    <w:next w:val="Normal"/>
    <w:link w:val="MTDisplayEquationChar"/>
    <w:rsid w:val="003074D8"/>
    <w:pPr>
      <w:tabs>
        <w:tab w:val="center" w:pos="4520"/>
        <w:tab w:val="right" w:pos="9020"/>
      </w:tabs>
    </w:pPr>
    <w:rPr>
      <w:rFonts w:ascii="Times New Roman" w:hAnsi="Times New Roman" w:cs="Times New Roman"/>
      <w:lang w:val="en-US"/>
    </w:rPr>
  </w:style>
  <w:style w:type="character" w:customStyle="1" w:styleId="MTDisplayEquationChar">
    <w:name w:val="MTDisplayEquation Char"/>
    <w:basedOn w:val="DefaultParagraphFont"/>
    <w:link w:val="MTDisplayEquation"/>
    <w:rsid w:val="003074D8"/>
    <w:rPr>
      <w:rFonts w:ascii="Times New Roman" w:hAnsi="Times New Roman" w:cs="Times New Roman"/>
      <w:lang w:val="en-US"/>
    </w:rPr>
  </w:style>
  <w:style w:type="paragraph" w:styleId="Revision">
    <w:name w:val="Revision"/>
    <w:hidden/>
    <w:uiPriority w:val="99"/>
    <w:semiHidden/>
    <w:rsid w:val="008D35F0"/>
    <w:pPr>
      <w:spacing w:after="0" w:line="240" w:lineRule="auto"/>
    </w:pPr>
  </w:style>
  <w:style w:type="paragraph" w:styleId="FootnoteText">
    <w:name w:val="footnote text"/>
    <w:basedOn w:val="Normal"/>
    <w:link w:val="FootnoteTextChar"/>
    <w:uiPriority w:val="99"/>
    <w:semiHidden/>
    <w:unhideWhenUsed/>
    <w:rsid w:val="0001174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11743"/>
    <w:rPr>
      <w:sz w:val="20"/>
      <w:szCs w:val="20"/>
    </w:rPr>
  </w:style>
  <w:style w:type="character" w:styleId="FootnoteReference">
    <w:name w:val="footnote reference"/>
    <w:basedOn w:val="DefaultParagraphFont"/>
    <w:uiPriority w:val="99"/>
    <w:semiHidden/>
    <w:unhideWhenUsed/>
    <w:rsid w:val="00011743"/>
    <w:rPr>
      <w:vertAlign w:val="superscript"/>
    </w:rPr>
  </w:style>
  <w:style w:type="paragraph" w:styleId="Header">
    <w:name w:val="header"/>
    <w:basedOn w:val="Normal"/>
    <w:link w:val="HeaderChar"/>
    <w:uiPriority w:val="99"/>
    <w:unhideWhenUsed/>
    <w:rsid w:val="00E20D7C"/>
    <w:pPr>
      <w:tabs>
        <w:tab w:val="center" w:pos="4819"/>
        <w:tab w:val="right" w:pos="9638"/>
      </w:tabs>
      <w:spacing w:after="0" w:line="240" w:lineRule="auto"/>
    </w:pPr>
  </w:style>
  <w:style w:type="character" w:customStyle="1" w:styleId="HeaderChar">
    <w:name w:val="Header Char"/>
    <w:basedOn w:val="DefaultParagraphFont"/>
    <w:link w:val="Header"/>
    <w:uiPriority w:val="99"/>
    <w:rsid w:val="00E20D7C"/>
  </w:style>
  <w:style w:type="paragraph" w:styleId="Footer">
    <w:name w:val="footer"/>
    <w:basedOn w:val="Normal"/>
    <w:link w:val="FooterChar"/>
    <w:uiPriority w:val="99"/>
    <w:unhideWhenUsed/>
    <w:rsid w:val="00E20D7C"/>
    <w:pPr>
      <w:tabs>
        <w:tab w:val="center" w:pos="4819"/>
        <w:tab w:val="right" w:pos="9638"/>
      </w:tabs>
      <w:spacing w:after="0" w:line="240" w:lineRule="auto"/>
    </w:pPr>
  </w:style>
  <w:style w:type="character" w:customStyle="1" w:styleId="FooterChar">
    <w:name w:val="Footer Char"/>
    <w:basedOn w:val="DefaultParagraphFont"/>
    <w:link w:val="Footer"/>
    <w:uiPriority w:val="99"/>
    <w:rsid w:val="00E20D7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842CC"/>
    <w:pPr>
      <w:keepNext/>
      <w:keepLines/>
      <w:spacing w:before="240" w:after="0"/>
      <w:outlineLvl w:val="0"/>
    </w:pPr>
    <w:rPr>
      <w:rFonts w:ascii="Times New Roman" w:eastAsiaTheme="majorEastAsia" w:hAnsi="Times New Roman"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D5496"/>
    <w:pPr>
      <w:keepNext/>
      <w:keepLines/>
      <w:spacing w:before="40" w:after="0"/>
      <w:outlineLvl w:val="1"/>
    </w:pPr>
    <w:rPr>
      <w:rFonts w:asciiTheme="majorHAnsi" w:eastAsiaTheme="majorEastAsia" w:hAnsiTheme="majorHAnsi" w:cstheme="majorBidi"/>
      <w:color w:val="2F5496" w:themeColor="accent1" w:themeShade="BF"/>
      <w:sz w:val="26"/>
      <w:szCs w:val="26"/>
      <w:lang w:val="en-US"/>
    </w:rPr>
  </w:style>
  <w:style w:type="paragraph" w:styleId="Heading3">
    <w:name w:val="heading 3"/>
    <w:basedOn w:val="Normal"/>
    <w:next w:val="Normal"/>
    <w:link w:val="Heading3Char"/>
    <w:uiPriority w:val="9"/>
    <w:unhideWhenUsed/>
    <w:qFormat/>
    <w:rsid w:val="004A49E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D5496"/>
    <w:rPr>
      <w:rFonts w:asciiTheme="majorHAnsi" w:eastAsiaTheme="majorEastAsia" w:hAnsiTheme="majorHAnsi" w:cstheme="majorBidi"/>
      <w:color w:val="2F5496" w:themeColor="accent1" w:themeShade="BF"/>
      <w:sz w:val="26"/>
      <w:szCs w:val="26"/>
      <w:lang w:val="en-US"/>
    </w:rPr>
  </w:style>
  <w:style w:type="paragraph" w:styleId="Title">
    <w:name w:val="Title"/>
    <w:basedOn w:val="Normal"/>
    <w:next w:val="Normal"/>
    <w:link w:val="TitleChar"/>
    <w:uiPriority w:val="10"/>
    <w:qFormat/>
    <w:rsid w:val="002D5496"/>
    <w:pPr>
      <w:spacing w:after="0" w:line="240" w:lineRule="auto"/>
      <w:contextualSpacing/>
    </w:pPr>
    <w:rPr>
      <w:rFonts w:asciiTheme="majorHAnsi" w:eastAsiaTheme="majorEastAsia" w:hAnsiTheme="majorHAnsi" w:cstheme="majorBidi"/>
      <w:spacing w:val="-10"/>
      <w:kern w:val="28"/>
      <w:sz w:val="56"/>
      <w:szCs w:val="56"/>
      <w:lang w:val="en-US"/>
    </w:rPr>
  </w:style>
  <w:style w:type="character" w:customStyle="1" w:styleId="TitleChar">
    <w:name w:val="Title Char"/>
    <w:basedOn w:val="DefaultParagraphFont"/>
    <w:link w:val="Title"/>
    <w:uiPriority w:val="10"/>
    <w:rsid w:val="002D5496"/>
    <w:rPr>
      <w:rFonts w:asciiTheme="majorHAnsi" w:eastAsiaTheme="majorEastAsia" w:hAnsiTheme="majorHAnsi" w:cstheme="majorBidi"/>
      <w:spacing w:val="-10"/>
      <w:kern w:val="28"/>
      <w:sz w:val="56"/>
      <w:szCs w:val="56"/>
      <w:lang w:val="en-US"/>
    </w:rPr>
  </w:style>
  <w:style w:type="paragraph" w:styleId="Caption">
    <w:name w:val="caption"/>
    <w:basedOn w:val="Normal"/>
    <w:next w:val="Normal"/>
    <w:uiPriority w:val="35"/>
    <w:unhideWhenUsed/>
    <w:qFormat/>
    <w:rsid w:val="002D5496"/>
    <w:pPr>
      <w:spacing w:after="200" w:line="240" w:lineRule="auto"/>
    </w:pPr>
    <w:rPr>
      <w:b/>
      <w:bCs/>
      <w:color w:val="4472C4" w:themeColor="accent1"/>
      <w:sz w:val="18"/>
      <w:szCs w:val="18"/>
      <w:lang w:val="en-US"/>
    </w:rPr>
  </w:style>
  <w:style w:type="character" w:styleId="CommentReference">
    <w:name w:val="annotation reference"/>
    <w:basedOn w:val="DefaultParagraphFont"/>
    <w:uiPriority w:val="99"/>
    <w:semiHidden/>
    <w:unhideWhenUsed/>
    <w:rsid w:val="003D1E7C"/>
    <w:rPr>
      <w:sz w:val="16"/>
      <w:szCs w:val="16"/>
    </w:rPr>
  </w:style>
  <w:style w:type="paragraph" w:styleId="CommentText">
    <w:name w:val="annotation text"/>
    <w:basedOn w:val="Normal"/>
    <w:link w:val="CommentTextChar"/>
    <w:uiPriority w:val="99"/>
    <w:semiHidden/>
    <w:unhideWhenUsed/>
    <w:rsid w:val="003D1E7C"/>
    <w:pPr>
      <w:spacing w:line="240" w:lineRule="auto"/>
    </w:pPr>
    <w:rPr>
      <w:sz w:val="20"/>
      <w:szCs w:val="20"/>
    </w:rPr>
  </w:style>
  <w:style w:type="character" w:customStyle="1" w:styleId="CommentTextChar">
    <w:name w:val="Comment Text Char"/>
    <w:basedOn w:val="DefaultParagraphFont"/>
    <w:link w:val="CommentText"/>
    <w:uiPriority w:val="99"/>
    <w:semiHidden/>
    <w:rsid w:val="003D1E7C"/>
    <w:rPr>
      <w:sz w:val="20"/>
      <w:szCs w:val="20"/>
    </w:rPr>
  </w:style>
  <w:style w:type="paragraph" w:styleId="CommentSubject">
    <w:name w:val="annotation subject"/>
    <w:basedOn w:val="CommentText"/>
    <w:next w:val="CommentText"/>
    <w:link w:val="CommentSubjectChar"/>
    <w:uiPriority w:val="99"/>
    <w:semiHidden/>
    <w:unhideWhenUsed/>
    <w:rsid w:val="003D1E7C"/>
    <w:rPr>
      <w:b/>
      <w:bCs/>
    </w:rPr>
  </w:style>
  <w:style w:type="character" w:customStyle="1" w:styleId="CommentSubjectChar">
    <w:name w:val="Comment Subject Char"/>
    <w:basedOn w:val="CommentTextChar"/>
    <w:link w:val="CommentSubject"/>
    <w:uiPriority w:val="99"/>
    <w:semiHidden/>
    <w:rsid w:val="003D1E7C"/>
    <w:rPr>
      <w:b/>
      <w:bCs/>
      <w:sz w:val="20"/>
      <w:szCs w:val="20"/>
    </w:rPr>
  </w:style>
  <w:style w:type="paragraph" w:styleId="BalloonText">
    <w:name w:val="Balloon Text"/>
    <w:basedOn w:val="Normal"/>
    <w:link w:val="BalloonTextChar"/>
    <w:uiPriority w:val="99"/>
    <w:semiHidden/>
    <w:unhideWhenUsed/>
    <w:rsid w:val="003D1E7C"/>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D1E7C"/>
    <w:rPr>
      <w:rFonts w:ascii="Times New Roman" w:hAnsi="Times New Roman" w:cs="Times New Roman"/>
      <w:sz w:val="18"/>
      <w:szCs w:val="18"/>
    </w:rPr>
  </w:style>
  <w:style w:type="table" w:styleId="TableGrid">
    <w:name w:val="Table Grid"/>
    <w:basedOn w:val="TableNormal"/>
    <w:uiPriority w:val="59"/>
    <w:rsid w:val="003D1E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842CC"/>
    <w:rPr>
      <w:rFonts w:ascii="Times New Roman" w:eastAsiaTheme="majorEastAsia" w:hAnsi="Times New Roman" w:cstheme="majorBidi"/>
      <w:color w:val="2F5496" w:themeColor="accent1" w:themeShade="BF"/>
      <w:sz w:val="32"/>
      <w:szCs w:val="32"/>
    </w:rPr>
  </w:style>
  <w:style w:type="character" w:styleId="Hyperlink">
    <w:name w:val="Hyperlink"/>
    <w:basedOn w:val="DefaultParagraphFont"/>
    <w:uiPriority w:val="99"/>
    <w:unhideWhenUsed/>
    <w:rsid w:val="004A49E2"/>
    <w:rPr>
      <w:color w:val="0563C1" w:themeColor="hyperlink"/>
      <w:u w:val="single"/>
    </w:rPr>
  </w:style>
  <w:style w:type="character" w:customStyle="1" w:styleId="UnresolvedMention1">
    <w:name w:val="Unresolved Mention1"/>
    <w:basedOn w:val="DefaultParagraphFont"/>
    <w:uiPriority w:val="99"/>
    <w:semiHidden/>
    <w:unhideWhenUsed/>
    <w:rsid w:val="004A49E2"/>
    <w:rPr>
      <w:color w:val="605E5C"/>
      <w:shd w:val="clear" w:color="auto" w:fill="E1DFDD"/>
    </w:rPr>
  </w:style>
  <w:style w:type="character" w:customStyle="1" w:styleId="Heading3Char">
    <w:name w:val="Heading 3 Char"/>
    <w:basedOn w:val="DefaultParagraphFont"/>
    <w:link w:val="Heading3"/>
    <w:uiPriority w:val="9"/>
    <w:rsid w:val="004A49E2"/>
    <w:rPr>
      <w:rFonts w:asciiTheme="majorHAnsi" w:eastAsiaTheme="majorEastAsia" w:hAnsiTheme="majorHAnsi" w:cstheme="majorBidi"/>
      <w:color w:val="1F3763" w:themeColor="accent1" w:themeShade="7F"/>
      <w:sz w:val="24"/>
      <w:szCs w:val="24"/>
    </w:rPr>
  </w:style>
  <w:style w:type="paragraph" w:styleId="TOCHeading">
    <w:name w:val="TOC Heading"/>
    <w:basedOn w:val="Heading1"/>
    <w:next w:val="Normal"/>
    <w:uiPriority w:val="39"/>
    <w:unhideWhenUsed/>
    <w:qFormat/>
    <w:rsid w:val="00DF3B7D"/>
    <w:pPr>
      <w:spacing w:before="480" w:line="276" w:lineRule="auto"/>
      <w:outlineLvl w:val="9"/>
    </w:pPr>
    <w:rPr>
      <w:b/>
      <w:bCs/>
      <w:sz w:val="28"/>
      <w:szCs w:val="28"/>
      <w:lang w:val="en-US"/>
    </w:rPr>
  </w:style>
  <w:style w:type="paragraph" w:styleId="TOC3">
    <w:name w:val="toc 3"/>
    <w:basedOn w:val="Normal"/>
    <w:next w:val="Normal"/>
    <w:autoRedefine/>
    <w:uiPriority w:val="39"/>
    <w:unhideWhenUsed/>
    <w:rsid w:val="00DF3B7D"/>
    <w:pPr>
      <w:spacing w:after="0"/>
      <w:ind w:left="440"/>
    </w:pPr>
    <w:rPr>
      <w:rFonts w:cstheme="minorHAnsi"/>
      <w:sz w:val="20"/>
      <w:szCs w:val="20"/>
    </w:rPr>
  </w:style>
  <w:style w:type="paragraph" w:styleId="TOC1">
    <w:name w:val="toc 1"/>
    <w:basedOn w:val="Normal"/>
    <w:next w:val="Normal"/>
    <w:autoRedefine/>
    <w:uiPriority w:val="39"/>
    <w:unhideWhenUsed/>
    <w:rsid w:val="00D842CC"/>
    <w:pPr>
      <w:spacing w:after="0"/>
    </w:pPr>
    <w:rPr>
      <w:rFonts w:cstheme="minorHAnsi"/>
      <w:b/>
      <w:bCs/>
      <w:i/>
      <w:iCs/>
      <w:sz w:val="24"/>
      <w:szCs w:val="24"/>
    </w:rPr>
  </w:style>
  <w:style w:type="paragraph" w:styleId="TOC2">
    <w:name w:val="toc 2"/>
    <w:basedOn w:val="Normal"/>
    <w:next w:val="Normal"/>
    <w:autoRedefine/>
    <w:uiPriority w:val="39"/>
    <w:unhideWhenUsed/>
    <w:rsid w:val="00D842CC"/>
    <w:pPr>
      <w:spacing w:after="0"/>
    </w:pPr>
    <w:rPr>
      <w:rFonts w:cstheme="minorHAnsi"/>
      <w:bCs/>
    </w:rPr>
  </w:style>
  <w:style w:type="paragraph" w:styleId="TOC4">
    <w:name w:val="toc 4"/>
    <w:basedOn w:val="Normal"/>
    <w:next w:val="Normal"/>
    <w:autoRedefine/>
    <w:uiPriority w:val="39"/>
    <w:semiHidden/>
    <w:unhideWhenUsed/>
    <w:rsid w:val="00DF3B7D"/>
    <w:pPr>
      <w:spacing w:after="0"/>
      <w:ind w:left="660"/>
    </w:pPr>
    <w:rPr>
      <w:rFonts w:cstheme="minorHAnsi"/>
      <w:sz w:val="20"/>
      <w:szCs w:val="20"/>
    </w:rPr>
  </w:style>
  <w:style w:type="paragraph" w:styleId="TOC5">
    <w:name w:val="toc 5"/>
    <w:basedOn w:val="Normal"/>
    <w:next w:val="Normal"/>
    <w:autoRedefine/>
    <w:uiPriority w:val="39"/>
    <w:semiHidden/>
    <w:unhideWhenUsed/>
    <w:rsid w:val="00DF3B7D"/>
    <w:pPr>
      <w:spacing w:after="0"/>
      <w:ind w:left="880"/>
    </w:pPr>
    <w:rPr>
      <w:rFonts w:cstheme="minorHAnsi"/>
      <w:sz w:val="20"/>
      <w:szCs w:val="20"/>
    </w:rPr>
  </w:style>
  <w:style w:type="paragraph" w:styleId="TOC6">
    <w:name w:val="toc 6"/>
    <w:basedOn w:val="Normal"/>
    <w:next w:val="Normal"/>
    <w:autoRedefine/>
    <w:uiPriority w:val="39"/>
    <w:semiHidden/>
    <w:unhideWhenUsed/>
    <w:rsid w:val="00DF3B7D"/>
    <w:pPr>
      <w:spacing w:after="0"/>
      <w:ind w:left="1100"/>
    </w:pPr>
    <w:rPr>
      <w:rFonts w:cstheme="minorHAnsi"/>
      <w:sz w:val="20"/>
      <w:szCs w:val="20"/>
    </w:rPr>
  </w:style>
  <w:style w:type="paragraph" w:styleId="TOC7">
    <w:name w:val="toc 7"/>
    <w:basedOn w:val="Normal"/>
    <w:next w:val="Normal"/>
    <w:autoRedefine/>
    <w:uiPriority w:val="39"/>
    <w:semiHidden/>
    <w:unhideWhenUsed/>
    <w:rsid w:val="00DF3B7D"/>
    <w:pPr>
      <w:spacing w:after="0"/>
      <w:ind w:left="1320"/>
    </w:pPr>
    <w:rPr>
      <w:rFonts w:cstheme="minorHAnsi"/>
      <w:sz w:val="20"/>
      <w:szCs w:val="20"/>
    </w:rPr>
  </w:style>
  <w:style w:type="paragraph" w:styleId="TOC8">
    <w:name w:val="toc 8"/>
    <w:basedOn w:val="Normal"/>
    <w:next w:val="Normal"/>
    <w:autoRedefine/>
    <w:uiPriority w:val="39"/>
    <w:semiHidden/>
    <w:unhideWhenUsed/>
    <w:rsid w:val="00DF3B7D"/>
    <w:pPr>
      <w:spacing w:after="0"/>
      <w:ind w:left="1540"/>
    </w:pPr>
    <w:rPr>
      <w:rFonts w:cstheme="minorHAnsi"/>
      <w:sz w:val="20"/>
      <w:szCs w:val="20"/>
    </w:rPr>
  </w:style>
  <w:style w:type="paragraph" w:styleId="TOC9">
    <w:name w:val="toc 9"/>
    <w:basedOn w:val="Normal"/>
    <w:next w:val="Normal"/>
    <w:autoRedefine/>
    <w:uiPriority w:val="39"/>
    <w:semiHidden/>
    <w:unhideWhenUsed/>
    <w:rsid w:val="00DF3B7D"/>
    <w:pPr>
      <w:spacing w:after="0"/>
      <w:ind w:left="1760"/>
    </w:pPr>
    <w:rPr>
      <w:rFonts w:cstheme="minorHAnsi"/>
      <w:sz w:val="20"/>
      <w:szCs w:val="20"/>
    </w:rPr>
  </w:style>
  <w:style w:type="paragraph" w:styleId="ListParagraph">
    <w:name w:val="List Paragraph"/>
    <w:basedOn w:val="Normal"/>
    <w:uiPriority w:val="34"/>
    <w:qFormat/>
    <w:rsid w:val="00961640"/>
    <w:pPr>
      <w:ind w:left="720"/>
      <w:contextualSpacing/>
    </w:pPr>
  </w:style>
  <w:style w:type="character" w:styleId="FollowedHyperlink">
    <w:name w:val="FollowedHyperlink"/>
    <w:basedOn w:val="DefaultParagraphFont"/>
    <w:uiPriority w:val="99"/>
    <w:semiHidden/>
    <w:unhideWhenUsed/>
    <w:rsid w:val="00B77792"/>
    <w:rPr>
      <w:color w:val="954F72" w:themeColor="followedHyperlink"/>
      <w:u w:val="single"/>
    </w:rPr>
  </w:style>
  <w:style w:type="character" w:customStyle="1" w:styleId="MTEquationSection">
    <w:name w:val="MTEquationSection"/>
    <w:basedOn w:val="DefaultParagraphFont"/>
    <w:rsid w:val="003074D8"/>
    <w:rPr>
      <w:rFonts w:ascii="Times New Roman" w:hAnsi="Times New Roman" w:cs="Times New Roman"/>
      <w:noProof/>
      <w:vanish/>
      <w:color w:val="FF0000"/>
      <w:sz w:val="52"/>
      <w:szCs w:val="52"/>
    </w:rPr>
  </w:style>
  <w:style w:type="paragraph" w:customStyle="1" w:styleId="MTDisplayEquation">
    <w:name w:val="MTDisplayEquation"/>
    <w:basedOn w:val="Normal"/>
    <w:next w:val="Normal"/>
    <w:link w:val="MTDisplayEquationChar"/>
    <w:rsid w:val="003074D8"/>
    <w:pPr>
      <w:tabs>
        <w:tab w:val="center" w:pos="4520"/>
        <w:tab w:val="right" w:pos="9020"/>
      </w:tabs>
    </w:pPr>
    <w:rPr>
      <w:rFonts w:ascii="Times New Roman" w:hAnsi="Times New Roman" w:cs="Times New Roman"/>
      <w:lang w:val="en-US"/>
    </w:rPr>
  </w:style>
  <w:style w:type="character" w:customStyle="1" w:styleId="MTDisplayEquationChar">
    <w:name w:val="MTDisplayEquation Char"/>
    <w:basedOn w:val="DefaultParagraphFont"/>
    <w:link w:val="MTDisplayEquation"/>
    <w:rsid w:val="003074D8"/>
    <w:rPr>
      <w:rFonts w:ascii="Times New Roman" w:hAnsi="Times New Roman" w:cs="Times New Roman"/>
      <w:lang w:val="en-US"/>
    </w:rPr>
  </w:style>
  <w:style w:type="paragraph" w:styleId="Revision">
    <w:name w:val="Revision"/>
    <w:hidden/>
    <w:uiPriority w:val="99"/>
    <w:semiHidden/>
    <w:rsid w:val="008D35F0"/>
    <w:pPr>
      <w:spacing w:after="0" w:line="240" w:lineRule="auto"/>
    </w:pPr>
  </w:style>
  <w:style w:type="paragraph" w:styleId="FootnoteText">
    <w:name w:val="footnote text"/>
    <w:basedOn w:val="Normal"/>
    <w:link w:val="FootnoteTextChar"/>
    <w:uiPriority w:val="99"/>
    <w:semiHidden/>
    <w:unhideWhenUsed/>
    <w:rsid w:val="0001174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11743"/>
    <w:rPr>
      <w:sz w:val="20"/>
      <w:szCs w:val="20"/>
    </w:rPr>
  </w:style>
  <w:style w:type="character" w:styleId="FootnoteReference">
    <w:name w:val="footnote reference"/>
    <w:basedOn w:val="DefaultParagraphFont"/>
    <w:uiPriority w:val="99"/>
    <w:semiHidden/>
    <w:unhideWhenUsed/>
    <w:rsid w:val="00011743"/>
    <w:rPr>
      <w:vertAlign w:val="superscript"/>
    </w:rPr>
  </w:style>
  <w:style w:type="paragraph" w:styleId="Header">
    <w:name w:val="header"/>
    <w:basedOn w:val="Normal"/>
    <w:link w:val="HeaderChar"/>
    <w:uiPriority w:val="99"/>
    <w:unhideWhenUsed/>
    <w:rsid w:val="00E20D7C"/>
    <w:pPr>
      <w:tabs>
        <w:tab w:val="center" w:pos="4819"/>
        <w:tab w:val="right" w:pos="9638"/>
      </w:tabs>
      <w:spacing w:after="0" w:line="240" w:lineRule="auto"/>
    </w:pPr>
  </w:style>
  <w:style w:type="character" w:customStyle="1" w:styleId="HeaderChar">
    <w:name w:val="Header Char"/>
    <w:basedOn w:val="DefaultParagraphFont"/>
    <w:link w:val="Header"/>
    <w:uiPriority w:val="99"/>
    <w:rsid w:val="00E20D7C"/>
  </w:style>
  <w:style w:type="paragraph" w:styleId="Footer">
    <w:name w:val="footer"/>
    <w:basedOn w:val="Normal"/>
    <w:link w:val="FooterChar"/>
    <w:uiPriority w:val="99"/>
    <w:unhideWhenUsed/>
    <w:rsid w:val="00E20D7C"/>
    <w:pPr>
      <w:tabs>
        <w:tab w:val="center" w:pos="4819"/>
        <w:tab w:val="right" w:pos="9638"/>
      </w:tabs>
      <w:spacing w:after="0" w:line="240" w:lineRule="auto"/>
    </w:pPr>
  </w:style>
  <w:style w:type="character" w:customStyle="1" w:styleId="FooterChar">
    <w:name w:val="Footer Char"/>
    <w:basedOn w:val="DefaultParagraphFont"/>
    <w:link w:val="Footer"/>
    <w:uiPriority w:val="99"/>
    <w:rsid w:val="00E20D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85027">
      <w:bodyDiv w:val="1"/>
      <w:marLeft w:val="0"/>
      <w:marRight w:val="0"/>
      <w:marTop w:val="0"/>
      <w:marBottom w:val="0"/>
      <w:divBdr>
        <w:top w:val="none" w:sz="0" w:space="0" w:color="auto"/>
        <w:left w:val="none" w:sz="0" w:space="0" w:color="auto"/>
        <w:bottom w:val="none" w:sz="0" w:space="0" w:color="auto"/>
        <w:right w:val="none" w:sz="0" w:space="0" w:color="auto"/>
      </w:divBdr>
    </w:div>
    <w:div w:id="249393016">
      <w:bodyDiv w:val="1"/>
      <w:marLeft w:val="0"/>
      <w:marRight w:val="0"/>
      <w:marTop w:val="0"/>
      <w:marBottom w:val="0"/>
      <w:divBdr>
        <w:top w:val="none" w:sz="0" w:space="0" w:color="auto"/>
        <w:left w:val="none" w:sz="0" w:space="0" w:color="auto"/>
        <w:bottom w:val="none" w:sz="0" w:space="0" w:color="auto"/>
        <w:right w:val="none" w:sz="0" w:space="0" w:color="auto"/>
      </w:divBdr>
    </w:div>
    <w:div w:id="253251445">
      <w:bodyDiv w:val="1"/>
      <w:marLeft w:val="0"/>
      <w:marRight w:val="0"/>
      <w:marTop w:val="0"/>
      <w:marBottom w:val="0"/>
      <w:divBdr>
        <w:top w:val="none" w:sz="0" w:space="0" w:color="auto"/>
        <w:left w:val="none" w:sz="0" w:space="0" w:color="auto"/>
        <w:bottom w:val="none" w:sz="0" w:space="0" w:color="auto"/>
        <w:right w:val="none" w:sz="0" w:space="0" w:color="auto"/>
      </w:divBdr>
    </w:div>
    <w:div w:id="320234786">
      <w:bodyDiv w:val="1"/>
      <w:marLeft w:val="0"/>
      <w:marRight w:val="0"/>
      <w:marTop w:val="0"/>
      <w:marBottom w:val="0"/>
      <w:divBdr>
        <w:top w:val="none" w:sz="0" w:space="0" w:color="auto"/>
        <w:left w:val="none" w:sz="0" w:space="0" w:color="auto"/>
        <w:bottom w:val="none" w:sz="0" w:space="0" w:color="auto"/>
        <w:right w:val="none" w:sz="0" w:space="0" w:color="auto"/>
      </w:divBdr>
    </w:div>
    <w:div w:id="344789419">
      <w:bodyDiv w:val="1"/>
      <w:marLeft w:val="0"/>
      <w:marRight w:val="0"/>
      <w:marTop w:val="0"/>
      <w:marBottom w:val="0"/>
      <w:divBdr>
        <w:top w:val="none" w:sz="0" w:space="0" w:color="auto"/>
        <w:left w:val="none" w:sz="0" w:space="0" w:color="auto"/>
        <w:bottom w:val="none" w:sz="0" w:space="0" w:color="auto"/>
        <w:right w:val="none" w:sz="0" w:space="0" w:color="auto"/>
      </w:divBdr>
    </w:div>
    <w:div w:id="371422595">
      <w:bodyDiv w:val="1"/>
      <w:marLeft w:val="0"/>
      <w:marRight w:val="0"/>
      <w:marTop w:val="0"/>
      <w:marBottom w:val="0"/>
      <w:divBdr>
        <w:top w:val="none" w:sz="0" w:space="0" w:color="auto"/>
        <w:left w:val="none" w:sz="0" w:space="0" w:color="auto"/>
        <w:bottom w:val="none" w:sz="0" w:space="0" w:color="auto"/>
        <w:right w:val="none" w:sz="0" w:space="0" w:color="auto"/>
      </w:divBdr>
    </w:div>
    <w:div w:id="466355690">
      <w:bodyDiv w:val="1"/>
      <w:marLeft w:val="0"/>
      <w:marRight w:val="0"/>
      <w:marTop w:val="0"/>
      <w:marBottom w:val="0"/>
      <w:divBdr>
        <w:top w:val="none" w:sz="0" w:space="0" w:color="auto"/>
        <w:left w:val="none" w:sz="0" w:space="0" w:color="auto"/>
        <w:bottom w:val="none" w:sz="0" w:space="0" w:color="auto"/>
        <w:right w:val="none" w:sz="0" w:space="0" w:color="auto"/>
      </w:divBdr>
    </w:div>
    <w:div w:id="599945210">
      <w:bodyDiv w:val="1"/>
      <w:marLeft w:val="0"/>
      <w:marRight w:val="0"/>
      <w:marTop w:val="0"/>
      <w:marBottom w:val="0"/>
      <w:divBdr>
        <w:top w:val="none" w:sz="0" w:space="0" w:color="auto"/>
        <w:left w:val="none" w:sz="0" w:space="0" w:color="auto"/>
        <w:bottom w:val="none" w:sz="0" w:space="0" w:color="auto"/>
        <w:right w:val="none" w:sz="0" w:space="0" w:color="auto"/>
      </w:divBdr>
    </w:div>
    <w:div w:id="683213267">
      <w:bodyDiv w:val="1"/>
      <w:marLeft w:val="0"/>
      <w:marRight w:val="0"/>
      <w:marTop w:val="0"/>
      <w:marBottom w:val="0"/>
      <w:divBdr>
        <w:top w:val="none" w:sz="0" w:space="0" w:color="auto"/>
        <w:left w:val="none" w:sz="0" w:space="0" w:color="auto"/>
        <w:bottom w:val="none" w:sz="0" w:space="0" w:color="auto"/>
        <w:right w:val="none" w:sz="0" w:space="0" w:color="auto"/>
      </w:divBdr>
    </w:div>
    <w:div w:id="768501364">
      <w:bodyDiv w:val="1"/>
      <w:marLeft w:val="0"/>
      <w:marRight w:val="0"/>
      <w:marTop w:val="0"/>
      <w:marBottom w:val="0"/>
      <w:divBdr>
        <w:top w:val="none" w:sz="0" w:space="0" w:color="auto"/>
        <w:left w:val="none" w:sz="0" w:space="0" w:color="auto"/>
        <w:bottom w:val="none" w:sz="0" w:space="0" w:color="auto"/>
        <w:right w:val="none" w:sz="0" w:space="0" w:color="auto"/>
      </w:divBdr>
    </w:div>
    <w:div w:id="835649930">
      <w:bodyDiv w:val="1"/>
      <w:marLeft w:val="0"/>
      <w:marRight w:val="0"/>
      <w:marTop w:val="0"/>
      <w:marBottom w:val="0"/>
      <w:divBdr>
        <w:top w:val="none" w:sz="0" w:space="0" w:color="auto"/>
        <w:left w:val="none" w:sz="0" w:space="0" w:color="auto"/>
        <w:bottom w:val="none" w:sz="0" w:space="0" w:color="auto"/>
        <w:right w:val="none" w:sz="0" w:space="0" w:color="auto"/>
      </w:divBdr>
    </w:div>
    <w:div w:id="916596174">
      <w:bodyDiv w:val="1"/>
      <w:marLeft w:val="0"/>
      <w:marRight w:val="0"/>
      <w:marTop w:val="0"/>
      <w:marBottom w:val="0"/>
      <w:divBdr>
        <w:top w:val="none" w:sz="0" w:space="0" w:color="auto"/>
        <w:left w:val="none" w:sz="0" w:space="0" w:color="auto"/>
        <w:bottom w:val="none" w:sz="0" w:space="0" w:color="auto"/>
        <w:right w:val="none" w:sz="0" w:space="0" w:color="auto"/>
      </w:divBdr>
    </w:div>
    <w:div w:id="1040978691">
      <w:bodyDiv w:val="1"/>
      <w:marLeft w:val="0"/>
      <w:marRight w:val="0"/>
      <w:marTop w:val="0"/>
      <w:marBottom w:val="0"/>
      <w:divBdr>
        <w:top w:val="none" w:sz="0" w:space="0" w:color="auto"/>
        <w:left w:val="none" w:sz="0" w:space="0" w:color="auto"/>
        <w:bottom w:val="none" w:sz="0" w:space="0" w:color="auto"/>
        <w:right w:val="none" w:sz="0" w:space="0" w:color="auto"/>
      </w:divBdr>
    </w:div>
    <w:div w:id="1245069859">
      <w:bodyDiv w:val="1"/>
      <w:marLeft w:val="0"/>
      <w:marRight w:val="0"/>
      <w:marTop w:val="0"/>
      <w:marBottom w:val="0"/>
      <w:divBdr>
        <w:top w:val="none" w:sz="0" w:space="0" w:color="auto"/>
        <w:left w:val="none" w:sz="0" w:space="0" w:color="auto"/>
        <w:bottom w:val="none" w:sz="0" w:space="0" w:color="auto"/>
        <w:right w:val="none" w:sz="0" w:space="0" w:color="auto"/>
      </w:divBdr>
    </w:div>
    <w:div w:id="1413353817">
      <w:bodyDiv w:val="1"/>
      <w:marLeft w:val="0"/>
      <w:marRight w:val="0"/>
      <w:marTop w:val="0"/>
      <w:marBottom w:val="0"/>
      <w:divBdr>
        <w:top w:val="none" w:sz="0" w:space="0" w:color="auto"/>
        <w:left w:val="none" w:sz="0" w:space="0" w:color="auto"/>
        <w:bottom w:val="none" w:sz="0" w:space="0" w:color="auto"/>
        <w:right w:val="none" w:sz="0" w:space="0" w:color="auto"/>
      </w:divBdr>
    </w:div>
    <w:div w:id="1429930511">
      <w:bodyDiv w:val="1"/>
      <w:marLeft w:val="0"/>
      <w:marRight w:val="0"/>
      <w:marTop w:val="0"/>
      <w:marBottom w:val="0"/>
      <w:divBdr>
        <w:top w:val="none" w:sz="0" w:space="0" w:color="auto"/>
        <w:left w:val="none" w:sz="0" w:space="0" w:color="auto"/>
        <w:bottom w:val="none" w:sz="0" w:space="0" w:color="auto"/>
        <w:right w:val="none" w:sz="0" w:space="0" w:color="auto"/>
      </w:divBdr>
    </w:div>
    <w:div w:id="1514762985">
      <w:bodyDiv w:val="1"/>
      <w:marLeft w:val="0"/>
      <w:marRight w:val="0"/>
      <w:marTop w:val="0"/>
      <w:marBottom w:val="0"/>
      <w:divBdr>
        <w:top w:val="none" w:sz="0" w:space="0" w:color="auto"/>
        <w:left w:val="none" w:sz="0" w:space="0" w:color="auto"/>
        <w:bottom w:val="none" w:sz="0" w:space="0" w:color="auto"/>
        <w:right w:val="none" w:sz="0" w:space="0" w:color="auto"/>
      </w:divBdr>
    </w:div>
    <w:div w:id="1562793699">
      <w:bodyDiv w:val="1"/>
      <w:marLeft w:val="0"/>
      <w:marRight w:val="0"/>
      <w:marTop w:val="0"/>
      <w:marBottom w:val="0"/>
      <w:divBdr>
        <w:top w:val="none" w:sz="0" w:space="0" w:color="auto"/>
        <w:left w:val="none" w:sz="0" w:space="0" w:color="auto"/>
        <w:bottom w:val="none" w:sz="0" w:space="0" w:color="auto"/>
        <w:right w:val="none" w:sz="0" w:space="0" w:color="auto"/>
      </w:divBdr>
    </w:div>
    <w:div w:id="1597903527">
      <w:bodyDiv w:val="1"/>
      <w:marLeft w:val="0"/>
      <w:marRight w:val="0"/>
      <w:marTop w:val="0"/>
      <w:marBottom w:val="0"/>
      <w:divBdr>
        <w:top w:val="none" w:sz="0" w:space="0" w:color="auto"/>
        <w:left w:val="none" w:sz="0" w:space="0" w:color="auto"/>
        <w:bottom w:val="none" w:sz="0" w:space="0" w:color="auto"/>
        <w:right w:val="none" w:sz="0" w:space="0" w:color="auto"/>
      </w:divBdr>
    </w:div>
    <w:div w:id="1598756018">
      <w:bodyDiv w:val="1"/>
      <w:marLeft w:val="0"/>
      <w:marRight w:val="0"/>
      <w:marTop w:val="0"/>
      <w:marBottom w:val="0"/>
      <w:divBdr>
        <w:top w:val="none" w:sz="0" w:space="0" w:color="auto"/>
        <w:left w:val="none" w:sz="0" w:space="0" w:color="auto"/>
        <w:bottom w:val="none" w:sz="0" w:space="0" w:color="auto"/>
        <w:right w:val="none" w:sz="0" w:space="0" w:color="auto"/>
      </w:divBdr>
    </w:div>
    <w:div w:id="1659919667">
      <w:bodyDiv w:val="1"/>
      <w:marLeft w:val="0"/>
      <w:marRight w:val="0"/>
      <w:marTop w:val="0"/>
      <w:marBottom w:val="0"/>
      <w:divBdr>
        <w:top w:val="none" w:sz="0" w:space="0" w:color="auto"/>
        <w:left w:val="none" w:sz="0" w:space="0" w:color="auto"/>
        <w:bottom w:val="none" w:sz="0" w:space="0" w:color="auto"/>
        <w:right w:val="none" w:sz="0" w:space="0" w:color="auto"/>
      </w:divBdr>
    </w:div>
    <w:div w:id="1765610335">
      <w:bodyDiv w:val="1"/>
      <w:marLeft w:val="0"/>
      <w:marRight w:val="0"/>
      <w:marTop w:val="0"/>
      <w:marBottom w:val="0"/>
      <w:divBdr>
        <w:top w:val="none" w:sz="0" w:space="0" w:color="auto"/>
        <w:left w:val="none" w:sz="0" w:space="0" w:color="auto"/>
        <w:bottom w:val="none" w:sz="0" w:space="0" w:color="auto"/>
        <w:right w:val="none" w:sz="0" w:space="0" w:color="auto"/>
      </w:divBdr>
    </w:div>
    <w:div w:id="1881891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iff"/><Relationship Id="rId18" Type="http://schemas.openxmlformats.org/officeDocument/2006/relationships/image" Target="media/image7.png"/><Relationship Id="rId26" Type="http://schemas.openxmlformats.org/officeDocument/2006/relationships/image" Target="media/image12.wmf"/><Relationship Id="rId39" Type="http://schemas.openxmlformats.org/officeDocument/2006/relationships/image" Target="media/image19.wmf"/><Relationship Id="rId21" Type="http://schemas.openxmlformats.org/officeDocument/2006/relationships/image" Target="media/image9.wmf"/><Relationship Id="rId34" Type="http://schemas.openxmlformats.org/officeDocument/2006/relationships/oleObject" Target="embeddings/oleObject7.bin"/><Relationship Id="rId42" Type="http://schemas.openxmlformats.org/officeDocument/2006/relationships/oleObject" Target="embeddings/oleObject11.bin"/><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footer" Target="footer1.xml"/><Relationship Id="rId63" Type="http://schemas.microsoft.com/office/2011/relationships/commentsExtended" Target="commentsExtended.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oleObject" Target="embeddings/oleObject1.bin"/><Relationship Id="rId29" Type="http://schemas.openxmlformats.org/officeDocument/2006/relationships/image" Target="media/image14.wmf"/><Relationship Id="rId41" Type="http://schemas.openxmlformats.org/officeDocument/2006/relationships/image" Target="media/image20.wmf"/><Relationship Id="rId54" Type="http://schemas.openxmlformats.org/officeDocument/2006/relationships/header" Target="header2.xml"/><Relationship Id="rId62"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soren@hybridgreentech.com" TargetMode="External"/><Relationship Id="rId24" Type="http://schemas.openxmlformats.org/officeDocument/2006/relationships/image" Target="media/image11.wmf"/><Relationship Id="rId32" Type="http://schemas.openxmlformats.org/officeDocument/2006/relationships/oleObject" Target="embeddings/oleObject6.bin"/><Relationship Id="rId37" Type="http://schemas.openxmlformats.org/officeDocument/2006/relationships/image" Target="media/image18.wmf"/><Relationship Id="rId40" Type="http://schemas.openxmlformats.org/officeDocument/2006/relationships/oleObject" Target="embeddings/oleObject10.bin"/><Relationship Id="rId45" Type="http://schemas.openxmlformats.org/officeDocument/2006/relationships/image" Target="media/image22.png"/><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4.tiff"/><Relationship Id="rId23" Type="http://schemas.openxmlformats.org/officeDocument/2006/relationships/image" Target="media/image10.gif"/><Relationship Id="rId28" Type="http://schemas.openxmlformats.org/officeDocument/2006/relationships/image" Target="media/image13.png"/><Relationship Id="rId36" Type="http://schemas.openxmlformats.org/officeDocument/2006/relationships/oleObject" Target="embeddings/oleObject8.bin"/><Relationship Id="rId49" Type="http://schemas.openxmlformats.org/officeDocument/2006/relationships/image" Target="media/image26.png"/><Relationship Id="rId57" Type="http://schemas.openxmlformats.org/officeDocument/2006/relationships/header" Target="header3.xml"/><Relationship Id="rId61" Type="http://schemas.microsoft.com/office/2011/relationships/people" Target="people.xml"/><Relationship Id="rId10" Type="http://schemas.openxmlformats.org/officeDocument/2006/relationships/hyperlink" Target="mailto:rasmus@hybridgreentech.com" TargetMode="External"/><Relationship Id="rId19" Type="http://schemas.openxmlformats.org/officeDocument/2006/relationships/image" Target="media/image8.wmf"/><Relationship Id="rId31" Type="http://schemas.openxmlformats.org/officeDocument/2006/relationships/image" Target="media/image15.wmf"/><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mailto:tmo@ens.dk" TargetMode="External"/><Relationship Id="rId14" Type="http://schemas.openxmlformats.org/officeDocument/2006/relationships/image" Target="media/image3.png"/><Relationship Id="rId22" Type="http://schemas.openxmlformats.org/officeDocument/2006/relationships/oleObject" Target="embeddings/oleObject2.bin"/><Relationship Id="rId27" Type="http://schemas.openxmlformats.org/officeDocument/2006/relationships/oleObject" Target="embeddings/oleObject4.bin"/><Relationship Id="rId30" Type="http://schemas.openxmlformats.org/officeDocument/2006/relationships/oleObject" Target="embeddings/oleObject5.bin"/><Relationship Id="rId35" Type="http://schemas.openxmlformats.org/officeDocument/2006/relationships/image" Target="media/image17.wmf"/><Relationship Id="rId43" Type="http://schemas.openxmlformats.org/officeDocument/2006/relationships/oleObject" Target="embeddings/oleObject12.bin"/><Relationship Id="rId48" Type="http://schemas.openxmlformats.org/officeDocument/2006/relationships/image" Target="media/image25.png"/><Relationship Id="rId56"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image" Target="media/image1.tiff"/><Relationship Id="rId17" Type="http://schemas.openxmlformats.org/officeDocument/2006/relationships/image" Target="media/image6.jpeg"/><Relationship Id="rId25" Type="http://schemas.openxmlformats.org/officeDocument/2006/relationships/oleObject" Target="embeddings/oleObject3.bin"/><Relationship Id="rId33" Type="http://schemas.openxmlformats.org/officeDocument/2006/relationships/image" Target="media/image16.wmf"/><Relationship Id="rId38" Type="http://schemas.openxmlformats.org/officeDocument/2006/relationships/oleObject" Target="embeddings/oleObject9.bin"/><Relationship Id="rId46" Type="http://schemas.openxmlformats.org/officeDocument/2006/relationships/image" Target="media/image23.png"/><Relationship Id="rId5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8F4725-759D-447E-9BEF-2D0D22A3E5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35254</Words>
  <Characters>215055</Characters>
  <Application>Microsoft Office Word</Application>
  <DocSecurity>0</DocSecurity>
  <Lines>1792</Lines>
  <Paragraphs>499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DTU</Company>
  <LinksUpToDate>false</LinksUpToDate>
  <CharactersWithSpaces>249810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Rasmus RODE MOSBAEK</dc:creator>
  <cp:lastModifiedBy>Mikkel Strunge Kany</cp:lastModifiedBy>
  <cp:revision>2</cp:revision>
  <cp:lastPrinted>2018-10-31T11:05:00Z</cp:lastPrinted>
  <dcterms:created xsi:type="dcterms:W3CDTF">2018-11-14T13:04:00Z</dcterms:created>
  <dcterms:modified xsi:type="dcterms:W3CDTF">2018-11-14T13:04:00Z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http://www.zotero.org/styles/analytical-methods</vt:lpwstr>
  </property>
  <property fmtid="{D5CDD505-2E9C-101B-9397-08002B2CF9AE}" pid="7" name="Mendeley Recent Style Name 2_1">
    <vt:lpwstr>Analytical Methods</vt:lpwstr>
  </property>
  <property fmtid="{D5CDD505-2E9C-101B-9397-08002B2CF9AE}" pid="8" name="Mendeley Recent Style Id 3_1">
    <vt:lpwstr>http://www.zotero.org/styles/electrochimica-acta</vt:lpwstr>
  </property>
  <property fmtid="{D5CDD505-2E9C-101B-9397-08002B2CF9AE}" pid="9" name="Mendeley Recent Style Name 3_1">
    <vt:lpwstr>Electrochimica Acta</vt:lpwstr>
  </property>
  <property fmtid="{D5CDD505-2E9C-101B-9397-08002B2CF9AE}" pid="10" name="Mendeley Recent Style Id 4_1">
    <vt:lpwstr>http://www.zotero.org/styles/harvard1</vt:lpwstr>
  </property>
  <property fmtid="{D5CDD505-2E9C-101B-9397-08002B2CF9AE}" pid="11" name="Mendeley Recent Style Name 4_1">
    <vt:lpwstr>Harvard Reference format 1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http://www.zotero.org/styles/journal-of-the-electrochemical-society</vt:lpwstr>
  </property>
  <property fmtid="{D5CDD505-2E9C-101B-9397-08002B2CF9AE}" pid="15" name="Mendeley Recent Style Name 6_1">
    <vt:lpwstr>Journal of The Electrochemical Society</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7th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05941276-4649-37ff-a9d5-24c9541f6b0c</vt:lpwstr>
  </property>
  <property fmtid="{D5CDD505-2E9C-101B-9397-08002B2CF9AE}" pid="24" name="Mendeley Citation Style_1">
    <vt:lpwstr>http://www.zotero.org/styles/electrochimica-acta</vt:lpwstr>
  </property>
  <property fmtid="{D5CDD505-2E9C-101B-9397-08002B2CF9AE}" pid="25" name="MTEquationSection">
    <vt:lpwstr>1</vt:lpwstr>
  </property>
  <property fmtid="{D5CDD505-2E9C-101B-9397-08002B2CF9AE}" pid="26" name="MTWinEqns">
    <vt:bool>true</vt:bool>
  </property>
  <property fmtid="{D5CDD505-2E9C-101B-9397-08002B2CF9AE}" pid="27" name="MTEquationNumber2">
    <vt:lpwstr>(#E1)</vt:lpwstr>
  </property>
</Properties>
</file>