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2464E" w14:textId="7AED7A31" w:rsidR="005E3FC3" w:rsidRPr="000102B5" w:rsidRDefault="0000660D" w:rsidP="00E96EBA">
      <w:pPr>
        <w:pStyle w:val="Heading1"/>
        <w:rPr>
          <w:lang w:val="en-US"/>
        </w:rPr>
      </w:pPr>
      <w:r w:rsidRPr="0000660D">
        <w:rPr>
          <w:noProof/>
          <w:lang w:val="en-US" w:eastAsia="da-DK"/>
        </w:rPr>
        <w:t>Appendix</w:t>
      </w:r>
      <w:r w:rsidR="00E71FF2">
        <w:rPr>
          <w:lang w:val="en-US"/>
        </w:rPr>
        <w:t xml:space="preserve"> 4</w:t>
      </w:r>
      <w:r w:rsidR="008E5D1A">
        <w:rPr>
          <w:lang w:val="en-US"/>
        </w:rPr>
        <w:t xml:space="preserve">: </w:t>
      </w:r>
      <w:r w:rsidR="00E71FF2">
        <w:rPr>
          <w:lang w:val="en-US"/>
        </w:rPr>
        <w:t>Description of the subsidy and economy scheme</w:t>
      </w:r>
    </w:p>
    <w:p w14:paraId="45AFF8B3" w14:textId="77777777" w:rsidR="00AC60EA" w:rsidRPr="000102B5" w:rsidRDefault="00AC60EA" w:rsidP="008F2666">
      <w:pPr>
        <w:rPr>
          <w:lang w:val="en-US"/>
        </w:rPr>
      </w:pPr>
    </w:p>
    <w:p w14:paraId="0AE4C71E" w14:textId="77777777" w:rsidR="008F2666" w:rsidRPr="000102B5" w:rsidRDefault="008F2666" w:rsidP="00E96EBA">
      <w:pPr>
        <w:pStyle w:val="Heading5"/>
        <w:rPr>
          <w:lang w:val="en-US"/>
        </w:rPr>
      </w:pPr>
    </w:p>
    <w:p w14:paraId="3B0DD2FB" w14:textId="77777777" w:rsidR="00E71FF2" w:rsidRPr="00AB482D" w:rsidRDefault="00E71FF2" w:rsidP="00BD2A74">
      <w:pPr>
        <w:pStyle w:val="Heading1"/>
        <w:keepNext/>
        <w:numPr>
          <w:ilvl w:val="0"/>
          <w:numId w:val="15"/>
        </w:numPr>
        <w:overflowPunct w:val="0"/>
        <w:autoSpaceDE w:val="0"/>
        <w:autoSpaceDN w:val="0"/>
        <w:adjustRightInd w:val="0"/>
        <w:spacing w:after="300" w:line="312" w:lineRule="auto"/>
        <w:contextualSpacing w:val="0"/>
        <w:jc w:val="both"/>
        <w:textAlignment w:val="baseline"/>
        <w:rPr>
          <w:rFonts w:ascii="Arial" w:hAnsi="Arial" w:cs="Arial"/>
          <w:lang w:val="en-US"/>
        </w:rPr>
      </w:pPr>
      <w:bookmarkStart w:id="0" w:name="_Ref169525064"/>
      <w:r>
        <w:rPr>
          <w:rFonts w:ascii="Arial" w:hAnsi="Arial" w:cs="Arial"/>
          <w:lang w:val="en-US"/>
        </w:rPr>
        <w:t xml:space="preserve">PAYMENT OF SUBSIDIES </w:t>
      </w:r>
      <w:bookmarkEnd w:id="0"/>
    </w:p>
    <w:p w14:paraId="1C63AB25" w14:textId="27C88401" w:rsidR="00E71FF2" w:rsidRPr="00A33960" w:rsidRDefault="00E71FF2" w:rsidP="00E71FF2">
      <w:pPr>
        <w:rPr>
          <w:rFonts w:cs="Arial"/>
          <w:lang w:val="en-US"/>
        </w:rPr>
      </w:pPr>
      <w:r w:rsidRPr="00A33960">
        <w:rPr>
          <w:rFonts w:cs="Arial"/>
          <w:lang w:val="en-US"/>
        </w:rPr>
        <w:t xml:space="preserve">This document includes in paragraph </w:t>
      </w:r>
      <w:r>
        <w:rPr>
          <w:rFonts w:cs="Arial"/>
          <w:lang w:val="en-US"/>
        </w:rPr>
        <w:fldChar w:fldCharType="begin"/>
      </w:r>
      <w:r>
        <w:rPr>
          <w:rFonts w:cs="Arial"/>
          <w:lang w:val="en-US"/>
        </w:rPr>
        <w:instrText xml:space="preserve"> REF _Ref169525064 \r \h </w:instrText>
      </w:r>
      <w:r>
        <w:rPr>
          <w:rFonts w:cs="Arial"/>
          <w:lang w:val="en-US"/>
        </w:rPr>
      </w:r>
      <w:r>
        <w:rPr>
          <w:rFonts w:cs="Arial"/>
          <w:lang w:val="en-US"/>
        </w:rPr>
        <w:fldChar w:fldCharType="separate"/>
      </w:r>
      <w:r w:rsidR="001906DB">
        <w:rPr>
          <w:rFonts w:cs="Arial"/>
          <w:lang w:val="en-US"/>
        </w:rPr>
        <w:t>1</w:t>
      </w:r>
      <w:r>
        <w:rPr>
          <w:rFonts w:cs="Arial"/>
          <w:lang w:val="en-US"/>
        </w:rPr>
        <w:fldChar w:fldCharType="end"/>
      </w:r>
      <w:r w:rsidRPr="00A33960">
        <w:rPr>
          <w:rFonts w:cs="Arial"/>
          <w:lang w:val="en-US"/>
        </w:rPr>
        <w:t xml:space="preserve"> a description of the DEA’s current overall assumptions and considerations regarding </w:t>
      </w:r>
      <w:r>
        <w:rPr>
          <w:rFonts w:cs="Arial"/>
          <w:lang w:val="en-US"/>
        </w:rPr>
        <w:t>the payment of subsidies, including adjustment mechanisms in relation to the subsidy, invoicing and final settlement</w:t>
      </w:r>
      <w:r w:rsidRPr="00A33960">
        <w:rPr>
          <w:rFonts w:cs="Arial"/>
          <w:lang w:val="en-US"/>
        </w:rPr>
        <w:t>.</w:t>
      </w:r>
    </w:p>
    <w:p w14:paraId="36A97A9E" w14:textId="77777777" w:rsidR="00E71FF2" w:rsidRPr="00A33960" w:rsidRDefault="00E71FF2" w:rsidP="00E71FF2">
      <w:pPr>
        <w:rPr>
          <w:rFonts w:cs="Arial"/>
          <w:lang w:val="en-US"/>
        </w:rPr>
      </w:pPr>
    </w:p>
    <w:p w14:paraId="1ED1C083" w14:textId="19F72E04" w:rsidR="00E71FF2" w:rsidRPr="00A33960" w:rsidRDefault="00E71FF2" w:rsidP="00E71FF2">
      <w:pPr>
        <w:rPr>
          <w:rFonts w:cs="Arial"/>
          <w:lang w:val="en-US"/>
        </w:rPr>
      </w:pPr>
      <w:r w:rsidRPr="00A33960">
        <w:rPr>
          <w:rFonts w:cs="Arial"/>
          <w:lang w:val="en-US"/>
        </w:rPr>
        <w:t xml:space="preserve">An overview of the terms used in this document is included in paragraph </w:t>
      </w:r>
      <w:r>
        <w:rPr>
          <w:rFonts w:cs="Arial"/>
          <w:lang w:val="en-US"/>
        </w:rPr>
        <w:fldChar w:fldCharType="begin"/>
      </w:r>
      <w:r>
        <w:rPr>
          <w:rFonts w:cs="Arial"/>
          <w:lang w:val="en-US"/>
        </w:rPr>
        <w:instrText xml:space="preserve"> REF _Ref169524867 \r \h </w:instrText>
      </w:r>
      <w:r>
        <w:rPr>
          <w:rFonts w:cs="Arial"/>
          <w:lang w:val="en-US"/>
        </w:rPr>
      </w:r>
      <w:r>
        <w:rPr>
          <w:rFonts w:cs="Arial"/>
          <w:lang w:val="en-US"/>
        </w:rPr>
        <w:fldChar w:fldCharType="separate"/>
      </w:r>
      <w:r w:rsidR="001906DB">
        <w:rPr>
          <w:rFonts w:cs="Arial"/>
          <w:lang w:val="en-US"/>
        </w:rPr>
        <w:t>2</w:t>
      </w:r>
      <w:r>
        <w:rPr>
          <w:rFonts w:cs="Arial"/>
          <w:lang w:val="en-US"/>
        </w:rPr>
        <w:fldChar w:fldCharType="end"/>
      </w:r>
      <w:r w:rsidRPr="00A33960">
        <w:rPr>
          <w:rFonts w:cs="Arial"/>
          <w:lang w:val="en-US"/>
        </w:rPr>
        <w:t>.</w:t>
      </w:r>
    </w:p>
    <w:p w14:paraId="6FD33582" w14:textId="77777777" w:rsidR="00E71FF2" w:rsidRPr="00F33288" w:rsidRDefault="00E71FF2" w:rsidP="00E71FF2">
      <w:pPr>
        <w:rPr>
          <w:lang w:val="en-US"/>
        </w:rPr>
      </w:pPr>
    </w:p>
    <w:p w14:paraId="14B8A6DA" w14:textId="77777777" w:rsidR="00E71FF2" w:rsidRPr="001B72D6" w:rsidRDefault="00E71FF2" w:rsidP="00BD2A74">
      <w:pPr>
        <w:pStyle w:val="Heading2"/>
        <w:keepLines w:val="0"/>
        <w:numPr>
          <w:ilvl w:val="1"/>
          <w:numId w:val="15"/>
        </w:numPr>
        <w:overflowPunct w:val="0"/>
        <w:autoSpaceDE w:val="0"/>
        <w:autoSpaceDN w:val="0"/>
        <w:adjustRightInd w:val="0"/>
        <w:spacing w:before="0" w:after="300" w:line="312" w:lineRule="auto"/>
        <w:jc w:val="both"/>
        <w:textAlignment w:val="baseline"/>
        <w:rPr>
          <w:rFonts w:ascii="Arial" w:hAnsi="Arial" w:cs="Arial"/>
        </w:rPr>
      </w:pPr>
      <w:proofErr w:type="spellStart"/>
      <w:r w:rsidRPr="001B72D6">
        <w:rPr>
          <w:rFonts w:ascii="Arial" w:hAnsi="Arial" w:cs="Arial"/>
        </w:rPr>
        <w:t>Introduction</w:t>
      </w:r>
      <w:proofErr w:type="spellEnd"/>
    </w:p>
    <w:p w14:paraId="0AE5BEF5" w14:textId="682E264B" w:rsidR="00E71FF2" w:rsidRPr="001B72D6" w:rsidRDefault="00E71FF2" w:rsidP="00E71FF2">
      <w:pPr>
        <w:rPr>
          <w:rFonts w:cs="Arial"/>
          <w:lang w:val="en-US"/>
        </w:rPr>
      </w:pPr>
      <w:r w:rsidRPr="001B72D6">
        <w:rPr>
          <w:rFonts w:cs="Arial"/>
          <w:lang w:val="en-US"/>
        </w:rPr>
        <w:t xml:space="preserve">Each tenderer shall specify the quantity of </w:t>
      </w:r>
      <w:bookmarkStart w:id="1" w:name="_Hlk167451250"/>
      <w:r w:rsidRPr="001B72D6">
        <w:rPr>
          <w:rFonts w:cs="Arial"/>
          <w:lang w:val="en-US"/>
        </w:rPr>
        <w:t>CO</w:t>
      </w:r>
      <w:r w:rsidRPr="001B72D6">
        <w:rPr>
          <w:rFonts w:cs="Arial"/>
          <w:vertAlign w:val="subscript"/>
          <w:lang w:val="en-US"/>
        </w:rPr>
        <w:t>2</w:t>
      </w:r>
      <w:bookmarkEnd w:id="1"/>
      <w:r w:rsidRPr="001B72D6">
        <w:rPr>
          <w:rFonts w:cs="Arial"/>
          <w:lang w:val="en-US"/>
        </w:rPr>
        <w:t xml:space="preserve"> that the tenderer offers to capture and Store each year,</w:t>
      </w:r>
      <w:r>
        <w:rPr>
          <w:rFonts w:cs="Arial"/>
          <w:lang w:val="en-US"/>
        </w:rPr>
        <w:t xml:space="preserve"> which as a</w:t>
      </w:r>
      <w:r w:rsidRPr="001B72D6">
        <w:rPr>
          <w:rFonts w:cs="Arial"/>
          <w:lang w:val="en-US"/>
        </w:rPr>
        <w:t xml:space="preserve"> minimum </w:t>
      </w:r>
      <w:r>
        <w:rPr>
          <w:rFonts w:cs="Arial"/>
          <w:lang w:val="en-US"/>
        </w:rPr>
        <w:t xml:space="preserve">shall be </w:t>
      </w:r>
      <w:r w:rsidR="000D1D6D">
        <w:rPr>
          <w:rFonts w:cs="Arial"/>
          <w:lang w:val="en-US"/>
        </w:rPr>
        <w:t>100,</w:t>
      </w:r>
      <w:r w:rsidRPr="001B72D6">
        <w:rPr>
          <w:rFonts w:cs="Arial"/>
          <w:lang w:val="en-US"/>
        </w:rPr>
        <w:t xml:space="preserve">000 </w:t>
      </w:r>
      <w:proofErr w:type="spellStart"/>
      <w:r w:rsidRPr="001B72D6">
        <w:rPr>
          <w:rFonts w:cs="Arial"/>
          <w:lang w:val="en-US"/>
        </w:rPr>
        <w:t>tonnes</w:t>
      </w:r>
      <w:proofErr w:type="spellEnd"/>
      <w:r w:rsidRPr="001B72D6">
        <w:rPr>
          <w:rFonts w:cs="Arial"/>
          <w:lang w:val="en-US"/>
        </w:rPr>
        <w:t xml:space="preserve"> of CO</w:t>
      </w:r>
      <w:r w:rsidRPr="001B72D6">
        <w:rPr>
          <w:rFonts w:cs="Arial"/>
          <w:vertAlign w:val="subscript"/>
          <w:lang w:val="en-US"/>
        </w:rPr>
        <w:t>2</w:t>
      </w:r>
      <w:r w:rsidRPr="001B72D6">
        <w:rPr>
          <w:rFonts w:cs="Arial"/>
          <w:lang w:val="en-US"/>
        </w:rPr>
        <w:t xml:space="preserve"> pr. year </w:t>
      </w:r>
      <w:r>
        <w:rPr>
          <w:rFonts w:cs="Arial"/>
          <w:lang w:val="en-US"/>
        </w:rPr>
        <w:t xml:space="preserve">from 2030 until 2044 </w:t>
      </w:r>
      <w:r w:rsidRPr="001B72D6">
        <w:rPr>
          <w:rFonts w:cs="Arial"/>
          <w:lang w:val="en-US"/>
        </w:rPr>
        <w:t xml:space="preserve">(the Annual Quantity). The Annual Quantity shall be the same quantity for each year; however, a smaller quantity can be offered for </w:t>
      </w:r>
      <w:r>
        <w:rPr>
          <w:rFonts w:cs="Arial"/>
          <w:lang w:val="en-US"/>
        </w:rPr>
        <w:t>2029</w:t>
      </w:r>
      <w:r w:rsidRPr="001B72D6">
        <w:rPr>
          <w:rFonts w:cs="Arial"/>
          <w:lang w:val="en-US"/>
        </w:rPr>
        <w:t xml:space="preserve"> (</w:t>
      </w:r>
      <w:r>
        <w:rPr>
          <w:rFonts w:cs="Arial"/>
          <w:lang w:val="en-US"/>
        </w:rPr>
        <w:t xml:space="preserve">the </w:t>
      </w:r>
      <w:r w:rsidRPr="001B72D6">
        <w:rPr>
          <w:rFonts w:cs="Arial"/>
          <w:lang w:val="en-US"/>
        </w:rPr>
        <w:t>2029</w:t>
      </w:r>
      <w:r>
        <w:rPr>
          <w:rFonts w:cs="Arial"/>
          <w:lang w:val="en-US"/>
        </w:rPr>
        <w:t>-Quantity</w:t>
      </w:r>
      <w:r w:rsidRPr="001B72D6">
        <w:rPr>
          <w:rFonts w:cs="Arial"/>
          <w:lang w:val="en-US"/>
        </w:rPr>
        <w:t>).</w:t>
      </w:r>
      <w:r>
        <w:rPr>
          <w:rFonts w:cs="Arial"/>
          <w:lang w:val="en-US"/>
        </w:rPr>
        <w:t xml:space="preserve"> </w:t>
      </w:r>
      <w:r w:rsidRPr="003924ED">
        <w:rPr>
          <w:rFonts w:cs="Arial"/>
          <w:lang w:val="en-US"/>
        </w:rPr>
        <w:t xml:space="preserve"> </w:t>
      </w:r>
      <w:r>
        <w:rPr>
          <w:rFonts w:cs="Arial"/>
          <w:lang w:val="en-US"/>
        </w:rPr>
        <w:t xml:space="preserve">The 2029-Quantity can be less than 100,000 </w:t>
      </w:r>
      <w:proofErr w:type="spellStart"/>
      <w:r>
        <w:rPr>
          <w:rFonts w:cs="Arial"/>
          <w:lang w:val="en-US"/>
        </w:rPr>
        <w:t>tonnes</w:t>
      </w:r>
      <w:proofErr w:type="spellEnd"/>
      <w:r>
        <w:rPr>
          <w:rFonts w:cs="Arial"/>
          <w:lang w:val="en-US"/>
        </w:rPr>
        <w:t xml:space="preserve"> of CO</w:t>
      </w:r>
      <w:r w:rsidRPr="00352DB6">
        <w:rPr>
          <w:rFonts w:cs="Arial"/>
          <w:vertAlign w:val="subscript"/>
          <w:lang w:val="en-US"/>
        </w:rPr>
        <w:t>2</w:t>
      </w:r>
      <w:r>
        <w:rPr>
          <w:rFonts w:cs="Arial"/>
          <w:lang w:val="en-US"/>
        </w:rPr>
        <w:t>.</w:t>
      </w:r>
    </w:p>
    <w:p w14:paraId="2ADB749A" w14:textId="77777777" w:rsidR="00E71FF2" w:rsidRPr="001B72D6" w:rsidRDefault="00E71FF2" w:rsidP="00E71FF2">
      <w:pPr>
        <w:rPr>
          <w:rFonts w:cs="Arial"/>
          <w:lang w:val="en-US"/>
        </w:rPr>
      </w:pPr>
    </w:p>
    <w:p w14:paraId="4015093E" w14:textId="77777777" w:rsidR="00E71FF2" w:rsidRPr="001B72D6" w:rsidRDefault="00E71FF2" w:rsidP="00E71FF2">
      <w:pPr>
        <w:rPr>
          <w:rFonts w:cs="Arial"/>
          <w:lang w:val="en-US"/>
        </w:rPr>
      </w:pPr>
      <w:bookmarkStart w:id="2" w:name="_Hlk169589050"/>
      <w:r w:rsidRPr="001B72D6">
        <w:rPr>
          <w:rFonts w:cs="Arial"/>
          <w:lang w:val="en-US"/>
        </w:rPr>
        <w:t xml:space="preserve">The subsidy will be paid per </w:t>
      </w:r>
      <w:proofErr w:type="spellStart"/>
      <w:r w:rsidRPr="001B72D6">
        <w:rPr>
          <w:rFonts w:cs="Arial"/>
          <w:lang w:val="en-US"/>
        </w:rPr>
        <w:t>tonne</w:t>
      </w:r>
      <w:proofErr w:type="spellEnd"/>
      <w:r w:rsidRPr="001B72D6">
        <w:rPr>
          <w:rFonts w:cs="Arial"/>
          <w:lang w:val="en-US"/>
        </w:rPr>
        <w:t xml:space="preserve"> of CO</w:t>
      </w:r>
      <w:r w:rsidRPr="001B72D6">
        <w:rPr>
          <w:rFonts w:cs="Arial"/>
          <w:vertAlign w:val="subscript"/>
          <w:lang w:val="en-US"/>
        </w:rPr>
        <w:t>2</w:t>
      </w:r>
      <w:r w:rsidRPr="001B72D6">
        <w:rPr>
          <w:rFonts w:cs="Arial"/>
          <w:lang w:val="en-US"/>
        </w:rPr>
        <w:t xml:space="preserve"> Stored in accordance with the contract, including requirements regarding verification and documentation.</w:t>
      </w:r>
    </w:p>
    <w:bookmarkEnd w:id="2"/>
    <w:p w14:paraId="02106C70" w14:textId="77777777" w:rsidR="00E71FF2" w:rsidRPr="001B72D6" w:rsidRDefault="00E71FF2" w:rsidP="00E71FF2">
      <w:pPr>
        <w:rPr>
          <w:rFonts w:cs="Arial"/>
          <w:lang w:val="en-US"/>
        </w:rPr>
      </w:pPr>
    </w:p>
    <w:p w14:paraId="4B1CC127" w14:textId="77777777" w:rsidR="00E71FF2" w:rsidRPr="001B72D6" w:rsidRDefault="00E71FF2" w:rsidP="00E71FF2">
      <w:pPr>
        <w:rPr>
          <w:rFonts w:cs="Arial"/>
          <w:lang w:val="en-US"/>
        </w:rPr>
      </w:pPr>
      <w:bookmarkStart w:id="3" w:name="_Hlk169590872"/>
      <w:r w:rsidRPr="001B72D6">
        <w:rPr>
          <w:rFonts w:cs="Arial"/>
          <w:lang w:val="en-US"/>
        </w:rPr>
        <w:t xml:space="preserve">Subsidy will only be paid for Storage of the </w:t>
      </w:r>
      <w:r>
        <w:rPr>
          <w:rFonts w:cs="Arial"/>
          <w:lang w:val="en-US"/>
        </w:rPr>
        <w:t xml:space="preserve">Contracted </w:t>
      </w:r>
      <w:r w:rsidRPr="001B72D6">
        <w:rPr>
          <w:rFonts w:cs="Arial"/>
          <w:lang w:val="en-US"/>
        </w:rPr>
        <w:t>Quantity, i.e. subsidy will not be paid for Stored quantities of CO</w:t>
      </w:r>
      <w:r w:rsidRPr="001B72D6">
        <w:rPr>
          <w:rFonts w:cs="Arial"/>
          <w:vertAlign w:val="subscript"/>
          <w:lang w:val="en-US"/>
        </w:rPr>
        <w:t>2</w:t>
      </w:r>
      <w:r w:rsidRPr="001B72D6">
        <w:rPr>
          <w:rFonts w:cs="Arial"/>
          <w:lang w:val="en-US"/>
        </w:rPr>
        <w:t xml:space="preserve"> that exceed the Annual Quantity</w:t>
      </w:r>
      <w:r>
        <w:rPr>
          <w:rFonts w:cs="Arial"/>
          <w:lang w:val="en-US"/>
        </w:rPr>
        <w:t xml:space="preserve"> or, if relevant, the 2029-Quantity</w:t>
      </w:r>
      <w:r w:rsidRPr="001B72D6">
        <w:rPr>
          <w:rFonts w:cs="Arial"/>
          <w:lang w:val="en-US"/>
        </w:rPr>
        <w:t xml:space="preserve">. The Operator is not remunerated or compensated for any costs by the DEA other than the </w:t>
      </w:r>
      <w:r>
        <w:rPr>
          <w:rFonts w:cs="Arial"/>
          <w:lang w:val="en-US"/>
        </w:rPr>
        <w:t>s</w:t>
      </w:r>
      <w:r w:rsidRPr="001B72D6">
        <w:rPr>
          <w:rFonts w:cs="Arial"/>
          <w:lang w:val="en-US"/>
        </w:rPr>
        <w:t xml:space="preserve">ubsidy per </w:t>
      </w:r>
      <w:proofErr w:type="spellStart"/>
      <w:r w:rsidRPr="001B72D6">
        <w:rPr>
          <w:rFonts w:cs="Arial"/>
          <w:lang w:val="en-US"/>
        </w:rPr>
        <w:t>tonne</w:t>
      </w:r>
      <w:proofErr w:type="spellEnd"/>
      <w:r w:rsidRPr="001B72D6">
        <w:rPr>
          <w:rFonts w:cs="Arial"/>
          <w:lang w:val="en-US"/>
        </w:rPr>
        <w:t xml:space="preserve"> of CO</w:t>
      </w:r>
      <w:r w:rsidRPr="001B72D6">
        <w:rPr>
          <w:rFonts w:cs="Arial"/>
          <w:vertAlign w:val="subscript"/>
          <w:lang w:val="en-US"/>
        </w:rPr>
        <w:t>2</w:t>
      </w:r>
      <w:r w:rsidRPr="001B72D6">
        <w:rPr>
          <w:rFonts w:cs="Arial"/>
          <w:lang w:val="en-US"/>
        </w:rPr>
        <w:t xml:space="preserve">. </w:t>
      </w:r>
    </w:p>
    <w:p w14:paraId="292AE56A" w14:textId="77777777" w:rsidR="00E71FF2" w:rsidRPr="001B72D6" w:rsidRDefault="00E71FF2" w:rsidP="00E71FF2">
      <w:pPr>
        <w:rPr>
          <w:rFonts w:cs="Arial"/>
          <w:lang w:val="en-US"/>
        </w:rPr>
      </w:pPr>
    </w:p>
    <w:p w14:paraId="6DAFE1BB" w14:textId="6243B0CF" w:rsidR="00E71FF2" w:rsidRPr="001B72D6" w:rsidRDefault="00E71FF2" w:rsidP="00E71FF2">
      <w:pPr>
        <w:rPr>
          <w:rFonts w:cs="Arial"/>
          <w:lang w:val="en-US"/>
        </w:rPr>
      </w:pPr>
      <w:r w:rsidRPr="001B72D6">
        <w:rPr>
          <w:rFonts w:cs="Arial"/>
          <w:lang w:val="en-US"/>
        </w:rPr>
        <w:t xml:space="preserve">The CCS fund is a funding governed by statutory appropriation with expenditure ceiling (in Danish: </w:t>
      </w:r>
      <w:proofErr w:type="spellStart"/>
      <w:r w:rsidRPr="001B72D6">
        <w:rPr>
          <w:rFonts w:cs="Arial"/>
          <w:i/>
          <w:iCs/>
          <w:lang w:val="en-US"/>
        </w:rPr>
        <w:t>Lovbunden</w:t>
      </w:r>
      <w:proofErr w:type="spellEnd"/>
      <w:r w:rsidRPr="001B72D6">
        <w:rPr>
          <w:rFonts w:cs="Arial"/>
          <w:i/>
          <w:iCs/>
          <w:lang w:val="en-US"/>
        </w:rPr>
        <w:t xml:space="preserve"> </w:t>
      </w:r>
      <w:proofErr w:type="spellStart"/>
      <w:r w:rsidRPr="001B72D6">
        <w:rPr>
          <w:rFonts w:cs="Arial"/>
          <w:i/>
          <w:iCs/>
          <w:lang w:val="en-US"/>
        </w:rPr>
        <w:t>bevilling</w:t>
      </w:r>
      <w:proofErr w:type="spellEnd"/>
      <w:r w:rsidRPr="001B72D6">
        <w:rPr>
          <w:rFonts w:cs="Arial"/>
          <w:i/>
          <w:iCs/>
          <w:lang w:val="en-US"/>
        </w:rPr>
        <w:t xml:space="preserve"> under </w:t>
      </w:r>
      <w:proofErr w:type="spellStart"/>
      <w:r w:rsidRPr="001B72D6">
        <w:rPr>
          <w:rFonts w:cs="Arial"/>
          <w:i/>
          <w:iCs/>
          <w:lang w:val="en-US"/>
        </w:rPr>
        <w:t>udgiftsloft</w:t>
      </w:r>
      <w:proofErr w:type="spellEnd"/>
      <w:r w:rsidRPr="001B72D6">
        <w:rPr>
          <w:rFonts w:cs="Arial"/>
          <w:lang w:val="en-US"/>
        </w:rPr>
        <w:t>).</w:t>
      </w:r>
      <w:r>
        <w:rPr>
          <w:rFonts w:cs="Arial"/>
          <w:lang w:val="en-US"/>
        </w:rPr>
        <w:t xml:space="preserve"> This implies that</w:t>
      </w:r>
      <w:r w:rsidRPr="001B72D6">
        <w:rPr>
          <w:rFonts w:cs="Arial"/>
          <w:lang w:val="en-US"/>
        </w:rPr>
        <w:t xml:space="preserve"> </w:t>
      </w:r>
      <w:r w:rsidR="000D1D6D">
        <w:rPr>
          <w:rFonts w:cs="Arial"/>
          <w:lang w:val="en-US"/>
        </w:rPr>
        <w:t>excess subsidies for a year</w:t>
      </w:r>
      <w:r w:rsidRPr="001B72D6">
        <w:rPr>
          <w:rFonts w:cs="Arial"/>
          <w:lang w:val="en-US"/>
        </w:rPr>
        <w:t xml:space="preserve"> cannot be postponed or transferred, in whole or in part, to the subsequent years.</w:t>
      </w:r>
    </w:p>
    <w:bookmarkEnd w:id="3"/>
    <w:p w14:paraId="0F73B50D" w14:textId="77777777" w:rsidR="00E71FF2" w:rsidRPr="001B72D6" w:rsidRDefault="00E71FF2" w:rsidP="00E71FF2">
      <w:pPr>
        <w:rPr>
          <w:rFonts w:cs="Arial"/>
          <w:lang w:val="en-US"/>
        </w:rPr>
      </w:pPr>
      <w:r w:rsidRPr="001B72D6">
        <w:rPr>
          <w:rFonts w:cs="Arial"/>
          <w:lang w:val="en-US"/>
        </w:rPr>
        <w:t xml:space="preserve"> </w:t>
      </w:r>
    </w:p>
    <w:p w14:paraId="64F57FC6" w14:textId="106E77D2" w:rsidR="00E71FF2" w:rsidRPr="001B72D6" w:rsidRDefault="00E71FF2" w:rsidP="00E71FF2">
      <w:pPr>
        <w:rPr>
          <w:rFonts w:cs="Arial"/>
          <w:lang w:val="en-US"/>
        </w:rPr>
      </w:pPr>
      <w:bookmarkStart w:id="4" w:name="_Hlk169590500"/>
      <w:r w:rsidRPr="001B72D6">
        <w:rPr>
          <w:rFonts w:cs="Arial"/>
          <w:lang w:val="en-US"/>
        </w:rPr>
        <w:t xml:space="preserve">The </w:t>
      </w:r>
      <w:r>
        <w:rPr>
          <w:rFonts w:cs="Arial"/>
          <w:lang w:val="en-US"/>
        </w:rPr>
        <w:t>s</w:t>
      </w:r>
      <w:r w:rsidRPr="001B72D6">
        <w:rPr>
          <w:rFonts w:cs="Arial"/>
          <w:lang w:val="en-US"/>
        </w:rPr>
        <w:t xml:space="preserve">ubsidy will be based on a rate per </w:t>
      </w:r>
      <w:proofErr w:type="spellStart"/>
      <w:r w:rsidRPr="001B72D6">
        <w:rPr>
          <w:rFonts w:cs="Arial"/>
          <w:lang w:val="en-US"/>
        </w:rPr>
        <w:t>tonne</w:t>
      </w:r>
      <w:proofErr w:type="spellEnd"/>
      <w:r w:rsidRPr="001B72D6">
        <w:rPr>
          <w:rFonts w:cs="Arial"/>
          <w:lang w:val="en-US"/>
        </w:rPr>
        <w:t xml:space="preserve"> of CO</w:t>
      </w:r>
      <w:r w:rsidRPr="001B72D6">
        <w:rPr>
          <w:rFonts w:cs="Arial"/>
          <w:vertAlign w:val="subscript"/>
          <w:lang w:val="en-US"/>
        </w:rPr>
        <w:t>2</w:t>
      </w:r>
      <w:r w:rsidRPr="001B72D6">
        <w:rPr>
          <w:rFonts w:cs="Arial"/>
          <w:lang w:val="en-US"/>
        </w:rPr>
        <w:t xml:space="preserve"> offered by the tenderer (the Offered Rate) with the adjustments described below in paragraphs </w:t>
      </w:r>
      <w:r w:rsidRPr="001B72D6">
        <w:rPr>
          <w:rFonts w:cs="Arial"/>
          <w:highlight w:val="yellow"/>
          <w:lang w:val="en-US"/>
        </w:rPr>
        <w:fldChar w:fldCharType="begin"/>
      </w:r>
      <w:r w:rsidRPr="001B72D6">
        <w:rPr>
          <w:rFonts w:cs="Arial"/>
          <w:lang w:val="en-US"/>
        </w:rPr>
        <w:instrText xml:space="preserve"> REF _Ref168918852 \r \h </w:instrText>
      </w:r>
      <w:r>
        <w:rPr>
          <w:rFonts w:cs="Arial"/>
          <w:highlight w:val="yellow"/>
          <w:lang w:val="en-US"/>
        </w:rPr>
        <w:instrText xml:space="preserve"> \* MERGEFORMAT </w:instrText>
      </w:r>
      <w:r w:rsidRPr="001B72D6">
        <w:rPr>
          <w:rFonts w:cs="Arial"/>
          <w:highlight w:val="yellow"/>
          <w:lang w:val="en-US"/>
        </w:rPr>
      </w:r>
      <w:r w:rsidRPr="001B72D6">
        <w:rPr>
          <w:rFonts w:cs="Arial"/>
          <w:highlight w:val="yellow"/>
          <w:lang w:val="en-US"/>
        </w:rPr>
        <w:fldChar w:fldCharType="separate"/>
      </w:r>
      <w:r w:rsidR="001906DB">
        <w:rPr>
          <w:rFonts w:cs="Arial"/>
          <w:lang w:val="en-US"/>
        </w:rPr>
        <w:t>1.2</w:t>
      </w:r>
      <w:r w:rsidRPr="001B72D6">
        <w:rPr>
          <w:rFonts w:cs="Arial"/>
          <w:highlight w:val="yellow"/>
          <w:lang w:val="en-US"/>
        </w:rPr>
        <w:fldChar w:fldCharType="end"/>
      </w:r>
      <w:r w:rsidRPr="001B72D6">
        <w:rPr>
          <w:rFonts w:cs="Arial"/>
          <w:lang w:val="en-US"/>
        </w:rPr>
        <w:t xml:space="preserve"> – </w:t>
      </w:r>
      <w:r w:rsidRPr="001B72D6">
        <w:rPr>
          <w:rFonts w:cs="Arial"/>
          <w:highlight w:val="yellow"/>
          <w:lang w:val="en-US"/>
        </w:rPr>
        <w:fldChar w:fldCharType="begin"/>
      </w:r>
      <w:r w:rsidRPr="001B72D6">
        <w:rPr>
          <w:rFonts w:cs="Arial"/>
          <w:lang w:val="en-US"/>
        </w:rPr>
        <w:instrText xml:space="preserve"> REF _Ref168918858 \r \h </w:instrText>
      </w:r>
      <w:r>
        <w:rPr>
          <w:rFonts w:cs="Arial"/>
          <w:highlight w:val="yellow"/>
          <w:lang w:val="en-US"/>
        </w:rPr>
        <w:instrText xml:space="preserve"> \* MERGEFORMAT </w:instrText>
      </w:r>
      <w:r w:rsidRPr="001B72D6">
        <w:rPr>
          <w:rFonts w:cs="Arial"/>
          <w:highlight w:val="yellow"/>
          <w:lang w:val="en-US"/>
        </w:rPr>
      </w:r>
      <w:r w:rsidRPr="001B72D6">
        <w:rPr>
          <w:rFonts w:cs="Arial"/>
          <w:highlight w:val="yellow"/>
          <w:lang w:val="en-US"/>
        </w:rPr>
        <w:fldChar w:fldCharType="separate"/>
      </w:r>
      <w:r w:rsidR="001906DB">
        <w:rPr>
          <w:rFonts w:cs="Arial"/>
          <w:lang w:val="en-US"/>
        </w:rPr>
        <w:t>1.6</w:t>
      </w:r>
      <w:r w:rsidRPr="001B72D6">
        <w:rPr>
          <w:rFonts w:cs="Arial"/>
          <w:highlight w:val="yellow"/>
          <w:lang w:val="en-US"/>
        </w:rPr>
        <w:fldChar w:fldCharType="end"/>
      </w:r>
      <w:r w:rsidRPr="001B72D6">
        <w:rPr>
          <w:rFonts w:cs="Arial"/>
          <w:lang w:val="en-US"/>
        </w:rPr>
        <w:t xml:space="preserve">. </w:t>
      </w:r>
      <w:r w:rsidR="00D76677">
        <w:rPr>
          <w:rFonts w:cs="Arial"/>
          <w:lang w:val="en-US"/>
        </w:rPr>
        <w:t xml:space="preserve">With the exception of adjustment for inflation, </w:t>
      </w:r>
      <w:r w:rsidRPr="001B72D6">
        <w:rPr>
          <w:rFonts w:cs="Arial"/>
          <w:lang w:val="en-US"/>
        </w:rPr>
        <w:t xml:space="preserve">a general rule </w:t>
      </w:r>
      <w:r w:rsidR="00D76677">
        <w:rPr>
          <w:rFonts w:cs="Arial"/>
          <w:lang w:val="en-US"/>
        </w:rPr>
        <w:t xml:space="preserve">is that </w:t>
      </w:r>
      <w:r w:rsidRPr="001B72D6">
        <w:rPr>
          <w:rFonts w:cs="Arial"/>
          <w:lang w:val="en-US"/>
        </w:rPr>
        <w:t>the adjustments can only reduce the subsidy.</w:t>
      </w:r>
      <w:bookmarkEnd w:id="4"/>
    </w:p>
    <w:p w14:paraId="3933B6C8" w14:textId="77777777" w:rsidR="00E71FF2" w:rsidRPr="001B72D6" w:rsidRDefault="00E71FF2" w:rsidP="00E71FF2">
      <w:pPr>
        <w:rPr>
          <w:rFonts w:cs="Arial"/>
          <w:lang w:val="en-US"/>
        </w:rPr>
      </w:pPr>
    </w:p>
    <w:p w14:paraId="0FF7E70F" w14:textId="77777777" w:rsidR="00E71FF2" w:rsidRPr="001B72D6" w:rsidRDefault="00E71FF2" w:rsidP="00BD2A74">
      <w:pPr>
        <w:pStyle w:val="Heading2"/>
        <w:keepLines w:val="0"/>
        <w:numPr>
          <w:ilvl w:val="1"/>
          <w:numId w:val="15"/>
        </w:numPr>
        <w:overflowPunct w:val="0"/>
        <w:autoSpaceDE w:val="0"/>
        <w:autoSpaceDN w:val="0"/>
        <w:adjustRightInd w:val="0"/>
        <w:spacing w:before="0" w:after="300" w:line="312" w:lineRule="auto"/>
        <w:jc w:val="both"/>
        <w:textAlignment w:val="baseline"/>
        <w:rPr>
          <w:rFonts w:ascii="Arial" w:hAnsi="Arial" w:cs="Arial"/>
        </w:rPr>
      </w:pPr>
      <w:bookmarkStart w:id="5" w:name="_Ref168918852"/>
      <w:proofErr w:type="spellStart"/>
      <w:r w:rsidRPr="001B72D6">
        <w:rPr>
          <w:rFonts w:ascii="Arial" w:hAnsi="Arial" w:cs="Arial"/>
        </w:rPr>
        <w:lastRenderedPageBreak/>
        <w:t>Adjust</w:t>
      </w:r>
      <w:bookmarkStart w:id="6" w:name="_GoBack"/>
      <w:bookmarkEnd w:id="6"/>
      <w:r w:rsidRPr="001B72D6">
        <w:rPr>
          <w:rFonts w:ascii="Arial" w:hAnsi="Arial" w:cs="Arial"/>
        </w:rPr>
        <w:t>ments</w:t>
      </w:r>
      <w:proofErr w:type="spellEnd"/>
      <w:r w:rsidRPr="001B72D6">
        <w:rPr>
          <w:rFonts w:ascii="Arial" w:hAnsi="Arial" w:cs="Arial"/>
        </w:rPr>
        <w:t xml:space="preserve"> due to inflation</w:t>
      </w:r>
      <w:bookmarkEnd w:id="5"/>
    </w:p>
    <w:p w14:paraId="3467DA1B" w14:textId="77777777" w:rsidR="00E71FF2" w:rsidRPr="001B72D6" w:rsidRDefault="00E71FF2" w:rsidP="00E71FF2">
      <w:pPr>
        <w:rPr>
          <w:rFonts w:cs="Arial"/>
          <w:lang w:val="en-US"/>
        </w:rPr>
      </w:pPr>
      <w:r w:rsidRPr="001B72D6">
        <w:rPr>
          <w:rFonts w:cs="Arial"/>
          <w:lang w:val="en-US"/>
        </w:rPr>
        <w:t>The subsidies will be adjusted for inflation annually, in accordance with the index located in row “</w:t>
      </w:r>
      <w:proofErr w:type="spellStart"/>
      <w:r w:rsidRPr="001B72D6">
        <w:rPr>
          <w:rFonts w:cs="Arial"/>
          <w:lang w:val="en-US"/>
        </w:rPr>
        <w:t>Forbrugerprisindeks</w:t>
      </w:r>
      <w:proofErr w:type="spellEnd"/>
      <w:r w:rsidRPr="001B72D6">
        <w:rPr>
          <w:rFonts w:cs="Arial"/>
          <w:lang w:val="en-US"/>
        </w:rPr>
        <w:t>” and column “</w:t>
      </w:r>
      <w:proofErr w:type="spellStart"/>
      <w:r w:rsidRPr="001B72D6">
        <w:rPr>
          <w:rFonts w:cs="Arial"/>
          <w:lang w:val="en-US"/>
        </w:rPr>
        <w:t>Samlet</w:t>
      </w:r>
      <w:proofErr w:type="spellEnd"/>
      <w:r w:rsidRPr="001B72D6">
        <w:rPr>
          <w:rFonts w:cs="Arial"/>
          <w:lang w:val="en-US"/>
        </w:rPr>
        <w:t xml:space="preserve"> </w:t>
      </w:r>
      <w:proofErr w:type="spellStart"/>
      <w:r w:rsidRPr="001B72D6">
        <w:rPr>
          <w:rFonts w:cs="Arial"/>
          <w:lang w:val="en-US"/>
        </w:rPr>
        <w:t>opregning</w:t>
      </w:r>
      <w:proofErr w:type="spellEnd"/>
      <w:r w:rsidRPr="001B72D6">
        <w:rPr>
          <w:rFonts w:cs="Arial"/>
          <w:lang w:val="en-US"/>
        </w:rPr>
        <w:t>” in the table “</w:t>
      </w:r>
      <w:proofErr w:type="spellStart"/>
      <w:r w:rsidRPr="001B72D6">
        <w:rPr>
          <w:rFonts w:cs="Arial"/>
          <w:lang w:val="en-US"/>
        </w:rPr>
        <w:t>Pris</w:t>
      </w:r>
      <w:proofErr w:type="spellEnd"/>
      <w:r w:rsidRPr="001B72D6">
        <w:rPr>
          <w:rFonts w:cs="Arial"/>
          <w:lang w:val="en-US"/>
        </w:rPr>
        <w:t xml:space="preserve">- </w:t>
      </w:r>
      <w:proofErr w:type="spellStart"/>
      <w:r w:rsidRPr="001B72D6">
        <w:rPr>
          <w:rFonts w:cs="Arial"/>
          <w:lang w:val="en-US"/>
        </w:rPr>
        <w:t>og</w:t>
      </w:r>
      <w:proofErr w:type="spellEnd"/>
      <w:r w:rsidRPr="001B72D6">
        <w:rPr>
          <w:rFonts w:cs="Arial"/>
          <w:lang w:val="en-US"/>
        </w:rPr>
        <w:t xml:space="preserve"> </w:t>
      </w:r>
      <w:proofErr w:type="spellStart"/>
      <w:r w:rsidRPr="001B72D6">
        <w:rPr>
          <w:rFonts w:cs="Arial"/>
          <w:lang w:val="en-US"/>
        </w:rPr>
        <w:t>Lønforudsætninger</w:t>
      </w:r>
      <w:proofErr w:type="spellEnd"/>
      <w:r w:rsidRPr="001B72D6">
        <w:rPr>
          <w:rFonts w:cs="Arial"/>
          <w:lang w:val="en-US"/>
        </w:rPr>
        <w:t>” published by the Danish Agency for Public Finance and Management.</w:t>
      </w:r>
      <w:r w:rsidRPr="001B72D6">
        <w:rPr>
          <w:rStyle w:val="FootnoteReference"/>
          <w:rFonts w:cs="Arial"/>
        </w:rPr>
        <w:footnoteReference w:id="2"/>
      </w:r>
    </w:p>
    <w:p w14:paraId="0F27055E" w14:textId="77777777" w:rsidR="00E71FF2" w:rsidRPr="001B72D6" w:rsidRDefault="00E71FF2" w:rsidP="00E71FF2">
      <w:pPr>
        <w:rPr>
          <w:rFonts w:cs="Arial"/>
          <w:lang w:val="en-US"/>
        </w:rPr>
      </w:pPr>
    </w:p>
    <w:p w14:paraId="6705AC88" w14:textId="77777777" w:rsidR="00E71FF2" w:rsidRPr="001B72D6" w:rsidRDefault="00E71FF2" w:rsidP="00E71FF2">
      <w:pPr>
        <w:rPr>
          <w:rFonts w:cs="Arial"/>
          <w:lang w:val="en-US"/>
        </w:rPr>
      </w:pPr>
      <w:r w:rsidRPr="001B72D6">
        <w:rPr>
          <w:rFonts w:cs="Arial"/>
          <w:lang w:val="en-US"/>
        </w:rPr>
        <w:t>The index is set in May for the following year by the Danish Agency for Public Finance and Management. E.g. the adjustment for expected inflation on public grants for the year 2025 was set in May 2024.</w:t>
      </w:r>
    </w:p>
    <w:p w14:paraId="5FB8BEE3" w14:textId="77777777" w:rsidR="00E71FF2" w:rsidRPr="001B72D6" w:rsidRDefault="00E71FF2" w:rsidP="00E71FF2">
      <w:pPr>
        <w:rPr>
          <w:rFonts w:cs="Arial"/>
          <w:lang w:val="en-US"/>
        </w:rPr>
      </w:pPr>
    </w:p>
    <w:p w14:paraId="4D7FF05E" w14:textId="77777777" w:rsidR="00E71FF2" w:rsidRPr="001B72D6" w:rsidRDefault="00E71FF2" w:rsidP="00962A4B">
      <w:pPr>
        <w:pStyle w:val="Heading2"/>
        <w:keepLines w:val="0"/>
        <w:numPr>
          <w:ilvl w:val="1"/>
          <w:numId w:val="15"/>
        </w:numPr>
        <w:overflowPunct w:val="0"/>
        <w:autoSpaceDE w:val="0"/>
        <w:autoSpaceDN w:val="0"/>
        <w:adjustRightInd w:val="0"/>
        <w:spacing w:before="0" w:after="300" w:line="312" w:lineRule="auto"/>
        <w:textAlignment w:val="baseline"/>
        <w:rPr>
          <w:rFonts w:ascii="Arial" w:hAnsi="Arial" w:cs="Arial"/>
          <w:lang w:val="en-US"/>
        </w:rPr>
      </w:pPr>
      <w:r w:rsidRPr="001B72D6">
        <w:rPr>
          <w:rFonts w:ascii="Arial" w:hAnsi="Arial" w:cs="Arial"/>
          <w:lang w:val="en-US"/>
        </w:rPr>
        <w:t>Adjustments regarding European Union Allowances (EUA)</w:t>
      </w:r>
    </w:p>
    <w:p w14:paraId="4C21606A" w14:textId="77777777" w:rsidR="00D1317C" w:rsidRPr="001B72D6" w:rsidRDefault="00D1317C" w:rsidP="00D1317C">
      <w:pPr>
        <w:pStyle w:val="Heading3"/>
        <w:keepLines w:val="0"/>
        <w:numPr>
          <w:ilvl w:val="2"/>
          <w:numId w:val="15"/>
        </w:numPr>
        <w:overflowPunct w:val="0"/>
        <w:autoSpaceDE w:val="0"/>
        <w:autoSpaceDN w:val="0"/>
        <w:adjustRightInd w:val="0"/>
        <w:spacing w:before="0" w:after="300" w:line="312" w:lineRule="auto"/>
        <w:jc w:val="both"/>
        <w:textAlignment w:val="baseline"/>
        <w:rPr>
          <w:rFonts w:ascii="Arial" w:hAnsi="Arial" w:cs="Arial"/>
          <w:lang w:val="en-US"/>
        </w:rPr>
      </w:pPr>
      <w:bookmarkStart w:id="7" w:name="_Ref169704146"/>
      <w:bookmarkStart w:id="8" w:name="_Hlk167298255"/>
      <w:r w:rsidRPr="001B72D6">
        <w:rPr>
          <w:rFonts w:ascii="Arial" w:hAnsi="Arial" w:cs="Arial"/>
          <w:lang w:val="en-US"/>
        </w:rPr>
        <w:t>Fossil CO</w:t>
      </w:r>
      <w:r w:rsidRPr="00962A4B">
        <w:rPr>
          <w:rFonts w:ascii="Arial" w:hAnsi="Arial" w:cs="Arial"/>
          <w:vertAlign w:val="subscript"/>
          <w:lang w:val="en-US"/>
        </w:rPr>
        <w:t>2</w:t>
      </w:r>
      <w:bookmarkEnd w:id="7"/>
    </w:p>
    <w:p w14:paraId="1E729BE2" w14:textId="647FE205" w:rsidR="00D1317C" w:rsidRDefault="00D1317C" w:rsidP="00D1317C">
      <w:pPr>
        <w:pStyle w:val="ListParagraph"/>
        <w:numPr>
          <w:ilvl w:val="0"/>
          <w:numId w:val="29"/>
        </w:numPr>
        <w:rPr>
          <w:rFonts w:cs="Arial"/>
          <w:lang w:val="en-US"/>
        </w:rPr>
      </w:pPr>
      <w:r w:rsidRPr="001B72D6">
        <w:rPr>
          <w:rFonts w:cs="Arial"/>
          <w:lang w:val="en-US"/>
        </w:rPr>
        <w:t xml:space="preserve">The DEA will each quarter of each year adjust the Subsidy Rate if the market value of EUA exceeds the EUA </w:t>
      </w:r>
      <w:r>
        <w:rPr>
          <w:rFonts w:cs="Arial"/>
          <w:lang w:val="en-US"/>
        </w:rPr>
        <w:t>B</w:t>
      </w:r>
      <w:r w:rsidRPr="001B72D6">
        <w:rPr>
          <w:rFonts w:cs="Arial"/>
          <w:lang w:val="en-US"/>
        </w:rPr>
        <w:t xml:space="preserve">aseline </w:t>
      </w:r>
      <w:r>
        <w:rPr>
          <w:rFonts w:cs="Arial"/>
          <w:lang w:val="en-US"/>
        </w:rPr>
        <w:t>P</w:t>
      </w:r>
      <w:r w:rsidRPr="001B72D6">
        <w:rPr>
          <w:rFonts w:cs="Arial"/>
          <w:lang w:val="en-US"/>
        </w:rPr>
        <w:t>rice provided in the tender documents</w:t>
      </w:r>
      <w:r>
        <w:rPr>
          <w:rFonts w:cs="Arial"/>
          <w:lang w:val="en-US"/>
        </w:rPr>
        <w:t>.</w:t>
      </w:r>
    </w:p>
    <w:p w14:paraId="782297CF" w14:textId="77777777" w:rsidR="00D1317C" w:rsidRPr="00D1317C" w:rsidRDefault="00D1317C" w:rsidP="00D1317C">
      <w:pPr>
        <w:pStyle w:val="ListParagraph"/>
        <w:numPr>
          <w:ilvl w:val="0"/>
          <w:numId w:val="29"/>
        </w:numPr>
        <w:rPr>
          <w:rFonts w:cs="Arial"/>
          <w:lang w:val="en-US"/>
        </w:rPr>
      </w:pPr>
      <w:r w:rsidRPr="00D1317C">
        <w:rPr>
          <w:rFonts w:cs="Arial"/>
          <w:lang w:val="en-US"/>
        </w:rPr>
        <w:t>The subsidy will also be reduced if the proportion of the fossil fraction of the Stored CO</w:t>
      </w:r>
      <w:r w:rsidRPr="00D1317C">
        <w:rPr>
          <w:rFonts w:cs="Arial"/>
          <w:vertAlign w:val="subscript"/>
          <w:lang w:val="en-US"/>
        </w:rPr>
        <w:t>2</w:t>
      </w:r>
      <w:r w:rsidRPr="00D1317C">
        <w:rPr>
          <w:rFonts w:cs="Arial"/>
          <w:lang w:val="en-US"/>
        </w:rPr>
        <w:t xml:space="preserve"> in a specific year is higher than the fossil fraction specified for that year by the Operator in the offer.</w:t>
      </w:r>
    </w:p>
    <w:p w14:paraId="534B7906" w14:textId="77777777" w:rsidR="00D1317C" w:rsidRPr="00D1317C" w:rsidRDefault="00D1317C" w:rsidP="00D1317C">
      <w:pPr>
        <w:pStyle w:val="ListParagraph"/>
        <w:numPr>
          <w:ilvl w:val="0"/>
          <w:numId w:val="29"/>
        </w:numPr>
        <w:rPr>
          <w:rFonts w:cs="Arial"/>
          <w:lang w:val="en-US"/>
        </w:rPr>
      </w:pPr>
      <w:r w:rsidRPr="00D1317C">
        <w:rPr>
          <w:rFonts w:cs="Arial"/>
          <w:lang w:val="en-US"/>
        </w:rPr>
        <w:t>The subsidy will not be increased in case the market value of EUA is less than the EUA Baseline Price.</w:t>
      </w:r>
    </w:p>
    <w:p w14:paraId="310DB87A" w14:textId="77777777" w:rsidR="00D1317C" w:rsidRPr="00D1317C" w:rsidRDefault="00D1317C" w:rsidP="00D1317C">
      <w:pPr>
        <w:pStyle w:val="ListParagraph"/>
        <w:rPr>
          <w:rFonts w:cs="Arial"/>
          <w:lang w:val="en-US"/>
        </w:rPr>
      </w:pPr>
    </w:p>
    <w:p w14:paraId="5146FC83" w14:textId="12674299" w:rsidR="00E71FF2" w:rsidRPr="001B72D6" w:rsidRDefault="00E71FF2" w:rsidP="00E71FF2">
      <w:pPr>
        <w:rPr>
          <w:rFonts w:cs="Arial"/>
          <w:lang w:val="en-US"/>
        </w:rPr>
      </w:pPr>
      <w:r w:rsidRPr="001B72D6">
        <w:rPr>
          <w:rFonts w:cs="Arial"/>
          <w:lang w:val="en-US"/>
        </w:rPr>
        <w:t xml:space="preserve">The tenderer is – if basing its project on </w:t>
      </w:r>
      <w:proofErr w:type="gramStart"/>
      <w:r w:rsidRPr="001B72D6">
        <w:rPr>
          <w:rFonts w:cs="Arial"/>
          <w:lang w:val="en-US"/>
        </w:rPr>
        <w:t>one or more</w:t>
      </w:r>
      <w:r>
        <w:rPr>
          <w:rFonts w:cs="Arial"/>
          <w:lang w:val="en-US"/>
        </w:rPr>
        <w:t xml:space="preserve"> </w:t>
      </w:r>
      <w:r w:rsidRPr="001B72D6">
        <w:rPr>
          <w:rFonts w:cs="Arial"/>
          <w:lang w:val="en-US"/>
        </w:rPr>
        <w:t>point</w:t>
      </w:r>
      <w:proofErr w:type="gramEnd"/>
      <w:r w:rsidRPr="001B72D6">
        <w:rPr>
          <w:rFonts w:cs="Arial"/>
          <w:lang w:val="en-US"/>
        </w:rPr>
        <w:t xml:space="preserve"> sources participating in the EU ETS – </w:t>
      </w:r>
      <w:r>
        <w:rPr>
          <w:rFonts w:cs="Arial"/>
          <w:lang w:val="en-US"/>
        </w:rPr>
        <w:t>assumed</w:t>
      </w:r>
      <w:r w:rsidRPr="001B72D6">
        <w:rPr>
          <w:rFonts w:cs="Arial"/>
          <w:lang w:val="en-US"/>
        </w:rPr>
        <w:t xml:space="preserve"> to take the expected savings of EUA into account when calculating the Offered Rate.</w:t>
      </w:r>
      <w:bookmarkEnd w:id="8"/>
      <w:r w:rsidRPr="001B72D6">
        <w:rPr>
          <w:rFonts w:cs="Arial"/>
          <w:lang w:val="en-US"/>
        </w:rPr>
        <w:t xml:space="preserve"> </w:t>
      </w:r>
    </w:p>
    <w:p w14:paraId="2B5211C5" w14:textId="77777777" w:rsidR="00E71FF2" w:rsidRPr="001B72D6" w:rsidRDefault="00E71FF2" w:rsidP="00E71FF2">
      <w:pPr>
        <w:rPr>
          <w:rFonts w:cs="Arial"/>
          <w:lang w:val="en-US"/>
        </w:rPr>
      </w:pPr>
    </w:p>
    <w:p w14:paraId="068086CA" w14:textId="77777777" w:rsidR="00E71FF2" w:rsidRPr="001B72D6" w:rsidRDefault="00E71FF2" w:rsidP="00E71FF2">
      <w:pPr>
        <w:rPr>
          <w:rFonts w:cs="Arial"/>
          <w:lang w:val="en-US"/>
        </w:rPr>
      </w:pPr>
      <w:r w:rsidRPr="001B72D6">
        <w:rPr>
          <w:rFonts w:cs="Arial"/>
          <w:lang w:val="en-US"/>
        </w:rPr>
        <w:t xml:space="preserve">The term “savings of EUA” means the value of EUA, resulting from either a reduced cost (as no purchase of allowances is required) or an income by the sale of excess allowances. The adjustment will apply with the value of EUA regardless of whether the Operator is an entity subject to the EUA or the Operator bases the performance of the contract on another entity subject to the EUA. This means that the value of EUA of such another entity, will be considered as “savings of EUA” for the Operator – and of equal value for the Operator, regardless of the agreement between the two entities and regardless of whether the Operator in fact has obtained an income of such equal value.    </w:t>
      </w:r>
    </w:p>
    <w:p w14:paraId="0BBFAD28" w14:textId="77777777" w:rsidR="00E71FF2" w:rsidRPr="001B72D6" w:rsidRDefault="00E71FF2" w:rsidP="00E71FF2">
      <w:pPr>
        <w:rPr>
          <w:rFonts w:cs="Arial"/>
          <w:lang w:val="en-US"/>
        </w:rPr>
      </w:pPr>
    </w:p>
    <w:p w14:paraId="53628CBB" w14:textId="77777777" w:rsidR="00E71FF2" w:rsidRPr="001B72D6" w:rsidRDefault="00E71FF2" w:rsidP="00E71FF2">
      <w:pPr>
        <w:rPr>
          <w:rFonts w:cs="Arial"/>
          <w:lang w:val="en-US"/>
        </w:rPr>
      </w:pPr>
      <w:r w:rsidRPr="001B72D6">
        <w:rPr>
          <w:rFonts w:cs="Arial"/>
          <w:lang w:val="en-US"/>
        </w:rPr>
        <w:lastRenderedPageBreak/>
        <w:t xml:space="preserve">The DEA will provide information in the tender documents on the projected value of EUA that will be used as a baseline value for the DEA’s adjustment of the subsidy (EUA </w:t>
      </w:r>
      <w:r>
        <w:rPr>
          <w:rFonts w:cs="Arial"/>
          <w:lang w:val="en-US"/>
        </w:rPr>
        <w:t>B</w:t>
      </w:r>
      <w:r w:rsidRPr="001B72D6">
        <w:rPr>
          <w:rFonts w:cs="Arial"/>
          <w:lang w:val="en-US"/>
        </w:rPr>
        <w:t xml:space="preserve">aseline </w:t>
      </w:r>
      <w:r>
        <w:rPr>
          <w:rFonts w:cs="Arial"/>
          <w:lang w:val="en-US"/>
        </w:rPr>
        <w:t>P</w:t>
      </w:r>
      <w:r w:rsidRPr="001B72D6">
        <w:rPr>
          <w:rFonts w:cs="Arial"/>
          <w:lang w:val="en-US"/>
        </w:rPr>
        <w:t xml:space="preserve">rice). At present, the DEA expects to use the projected value of EUA provided by the Ministry of Finance in the key figures catalogue (in Danish: </w:t>
      </w:r>
      <w:proofErr w:type="spellStart"/>
      <w:r w:rsidRPr="001B72D6">
        <w:rPr>
          <w:rFonts w:cs="Arial"/>
          <w:i/>
          <w:iCs/>
          <w:lang w:val="en-US"/>
        </w:rPr>
        <w:t>nøgletalskataloget</w:t>
      </w:r>
      <w:proofErr w:type="spellEnd"/>
      <w:r w:rsidRPr="001B72D6">
        <w:rPr>
          <w:rFonts w:cs="Arial"/>
          <w:lang w:val="en-US"/>
        </w:rPr>
        <w:t xml:space="preserve">) as the EUA </w:t>
      </w:r>
      <w:r>
        <w:rPr>
          <w:rFonts w:cs="Arial"/>
          <w:lang w:val="en-US"/>
        </w:rPr>
        <w:t>B</w:t>
      </w:r>
      <w:r w:rsidRPr="001B72D6">
        <w:rPr>
          <w:rFonts w:cs="Arial"/>
          <w:lang w:val="en-US"/>
        </w:rPr>
        <w:t xml:space="preserve">aseline </w:t>
      </w:r>
      <w:r>
        <w:rPr>
          <w:rFonts w:cs="Arial"/>
          <w:lang w:val="en-US"/>
        </w:rPr>
        <w:t>P</w:t>
      </w:r>
      <w:r w:rsidRPr="001B72D6">
        <w:rPr>
          <w:rFonts w:cs="Arial"/>
          <w:lang w:val="en-US"/>
        </w:rPr>
        <w:t xml:space="preserve">rice. The EUA </w:t>
      </w:r>
      <w:r>
        <w:rPr>
          <w:rFonts w:cs="Arial"/>
          <w:lang w:val="en-US"/>
        </w:rPr>
        <w:t>B</w:t>
      </w:r>
      <w:r w:rsidRPr="001B72D6">
        <w:rPr>
          <w:rFonts w:cs="Arial"/>
          <w:lang w:val="en-US"/>
        </w:rPr>
        <w:t>aseline</w:t>
      </w:r>
      <w:r>
        <w:rPr>
          <w:rFonts w:cs="Arial"/>
          <w:lang w:val="en-US"/>
        </w:rPr>
        <w:t xml:space="preserve"> P</w:t>
      </w:r>
      <w:r w:rsidRPr="001B72D6">
        <w:rPr>
          <w:rFonts w:cs="Arial"/>
          <w:lang w:val="en-US"/>
        </w:rPr>
        <w:t>rice will be specified by the DEA in the tender documents.</w:t>
      </w:r>
      <w:r w:rsidRPr="001B72D6">
        <w:rPr>
          <w:rStyle w:val="FootnoteReference"/>
          <w:rFonts w:cs="Arial"/>
        </w:rPr>
        <w:footnoteReference w:id="3"/>
      </w:r>
    </w:p>
    <w:p w14:paraId="06BDBA6D" w14:textId="77777777" w:rsidR="00E71FF2" w:rsidRPr="001B72D6" w:rsidRDefault="00E71FF2" w:rsidP="00E71FF2">
      <w:pPr>
        <w:rPr>
          <w:rFonts w:cs="Arial"/>
          <w:lang w:val="en-US"/>
        </w:rPr>
      </w:pPr>
    </w:p>
    <w:p w14:paraId="37A5AEEE" w14:textId="69B12EDD" w:rsidR="00E71FF2" w:rsidRPr="001B72D6" w:rsidRDefault="00E71FF2" w:rsidP="00E71FF2">
      <w:pPr>
        <w:rPr>
          <w:rFonts w:cs="Arial"/>
          <w:lang w:val="en-US"/>
        </w:rPr>
      </w:pPr>
      <w:r w:rsidRPr="001B72D6">
        <w:rPr>
          <w:rFonts w:cs="Arial"/>
          <w:lang w:val="en-US"/>
        </w:rPr>
        <w:t xml:space="preserve">The DEA will each quarter of each year adjust the Subsidy Rate if the market value of EUA exceeds the EUA </w:t>
      </w:r>
      <w:r>
        <w:rPr>
          <w:rFonts w:cs="Arial"/>
          <w:lang w:val="en-US"/>
        </w:rPr>
        <w:t>B</w:t>
      </w:r>
      <w:r w:rsidRPr="001B72D6">
        <w:rPr>
          <w:rFonts w:cs="Arial"/>
          <w:lang w:val="en-US"/>
        </w:rPr>
        <w:t xml:space="preserve">aseline </w:t>
      </w:r>
      <w:r>
        <w:rPr>
          <w:rFonts w:cs="Arial"/>
          <w:lang w:val="en-US"/>
        </w:rPr>
        <w:t>P</w:t>
      </w:r>
      <w:r w:rsidRPr="001B72D6">
        <w:rPr>
          <w:rFonts w:cs="Arial"/>
          <w:lang w:val="en-US"/>
        </w:rPr>
        <w:t xml:space="preserve">rice provided in the tender documents (adjusted for inflation in accordance with paragraph </w:t>
      </w:r>
      <w:r w:rsidRPr="001B72D6">
        <w:rPr>
          <w:rFonts w:cs="Arial"/>
          <w:highlight w:val="yellow"/>
          <w:lang w:val="en-US"/>
        </w:rPr>
        <w:fldChar w:fldCharType="begin"/>
      </w:r>
      <w:r w:rsidRPr="001B72D6">
        <w:rPr>
          <w:rFonts w:cs="Arial"/>
          <w:lang w:val="en-US"/>
        </w:rPr>
        <w:instrText xml:space="preserve"> REF _Ref168918852 \r \h </w:instrText>
      </w:r>
      <w:r>
        <w:rPr>
          <w:rFonts w:cs="Arial"/>
          <w:highlight w:val="yellow"/>
          <w:lang w:val="en-US"/>
        </w:rPr>
        <w:instrText xml:space="preserve"> \* MERGEFORMAT </w:instrText>
      </w:r>
      <w:r w:rsidRPr="001B72D6">
        <w:rPr>
          <w:rFonts w:cs="Arial"/>
          <w:highlight w:val="yellow"/>
          <w:lang w:val="en-US"/>
        </w:rPr>
      </w:r>
      <w:r w:rsidRPr="001B72D6">
        <w:rPr>
          <w:rFonts w:cs="Arial"/>
          <w:highlight w:val="yellow"/>
          <w:lang w:val="en-US"/>
        </w:rPr>
        <w:fldChar w:fldCharType="separate"/>
      </w:r>
      <w:r w:rsidR="001906DB">
        <w:rPr>
          <w:rFonts w:cs="Arial"/>
          <w:lang w:val="en-US"/>
        </w:rPr>
        <w:t>1.2</w:t>
      </w:r>
      <w:r w:rsidRPr="001B72D6">
        <w:rPr>
          <w:rFonts w:cs="Arial"/>
          <w:highlight w:val="yellow"/>
          <w:lang w:val="en-US"/>
        </w:rPr>
        <w:fldChar w:fldCharType="end"/>
      </w:r>
      <w:r w:rsidRPr="001B72D6">
        <w:rPr>
          <w:rFonts w:cs="Arial"/>
          <w:lang w:val="en-US"/>
        </w:rPr>
        <w:t xml:space="preserve">).  </w:t>
      </w:r>
    </w:p>
    <w:p w14:paraId="6A34B74D" w14:textId="77777777" w:rsidR="00E71FF2" w:rsidRPr="001B72D6" w:rsidRDefault="00E71FF2" w:rsidP="00E71FF2">
      <w:pPr>
        <w:rPr>
          <w:rFonts w:cs="Arial"/>
          <w:lang w:val="en-US"/>
        </w:rPr>
      </w:pPr>
    </w:p>
    <w:p w14:paraId="6C3820B4" w14:textId="3044F322" w:rsidR="00E71FF2" w:rsidRDefault="00E71FF2" w:rsidP="00E71FF2">
      <w:pPr>
        <w:rPr>
          <w:rFonts w:cs="Arial"/>
          <w:lang w:val="en-US"/>
        </w:rPr>
      </w:pPr>
      <w:r w:rsidRPr="001B72D6">
        <w:rPr>
          <w:rFonts w:cs="Arial"/>
          <w:lang w:val="en-US"/>
        </w:rPr>
        <w:t>The market value of EUA is based on prices on CBAM certificates calculated by the European Commission according to Regulation (EU) 2023/956 of the European Parliament and of the Council of 10 May 2023 establishing a carbon border adjustment mechanism of 10 May 2023. The market value of EUA will be calculated as the average price of the CBAM prices published by the European Commission in the quarter subject to invoicing</w:t>
      </w:r>
      <w:r w:rsidR="00962A4B">
        <w:rPr>
          <w:rFonts w:cs="Arial"/>
          <w:lang w:val="en-US"/>
        </w:rPr>
        <w:t>.</w:t>
      </w:r>
      <w:r>
        <w:rPr>
          <w:rStyle w:val="FootnoteReference"/>
          <w:rFonts w:cs="Arial"/>
        </w:rPr>
        <w:footnoteReference w:id="4"/>
      </w:r>
      <w:r>
        <w:rPr>
          <w:rFonts w:cs="Arial"/>
          <w:lang w:val="en-US"/>
        </w:rPr>
        <w:t xml:space="preserve"> </w:t>
      </w:r>
    </w:p>
    <w:p w14:paraId="2B53BBCE" w14:textId="77777777" w:rsidR="00E71FF2" w:rsidRPr="001B72D6" w:rsidRDefault="00E71FF2" w:rsidP="00E71FF2">
      <w:pPr>
        <w:rPr>
          <w:rFonts w:cs="Arial"/>
          <w:lang w:val="en-US"/>
        </w:rPr>
      </w:pPr>
    </w:p>
    <w:p w14:paraId="46588608" w14:textId="77777777" w:rsidR="00E71FF2" w:rsidRDefault="00E71FF2" w:rsidP="00E71FF2">
      <w:pPr>
        <w:rPr>
          <w:rFonts w:cs="Arial"/>
          <w:lang w:val="en-US"/>
        </w:rPr>
      </w:pPr>
      <w:r w:rsidRPr="001B72D6">
        <w:rPr>
          <w:rFonts w:cs="Arial"/>
          <w:lang w:val="en-US"/>
        </w:rPr>
        <w:t>The subsidy will also be reduced if the proportion of the fossil fraction of the Stored CO</w:t>
      </w:r>
      <w:r w:rsidRPr="00FA2009">
        <w:rPr>
          <w:rFonts w:cs="Arial"/>
          <w:vertAlign w:val="subscript"/>
          <w:lang w:val="en-US"/>
        </w:rPr>
        <w:t>2</w:t>
      </w:r>
      <w:r w:rsidRPr="001B72D6">
        <w:rPr>
          <w:rFonts w:cs="Arial"/>
          <w:lang w:val="en-US"/>
        </w:rPr>
        <w:t xml:space="preserve"> in a specific year is higher than the fossil fraction specified for that year by the Operator in the offer.</w:t>
      </w:r>
    </w:p>
    <w:p w14:paraId="4D1AC396" w14:textId="77777777" w:rsidR="00E71FF2" w:rsidRDefault="00E71FF2" w:rsidP="00E71FF2">
      <w:pPr>
        <w:rPr>
          <w:rFonts w:cs="Arial"/>
          <w:lang w:val="en-US"/>
        </w:rPr>
      </w:pPr>
    </w:p>
    <w:p w14:paraId="16CE33CD" w14:textId="77777777" w:rsidR="00E71FF2" w:rsidRDefault="00E71FF2" w:rsidP="00E71FF2">
      <w:pPr>
        <w:rPr>
          <w:rFonts w:cs="Arial"/>
          <w:lang w:val="en-US"/>
        </w:rPr>
      </w:pPr>
      <w:r w:rsidRPr="001B72D6">
        <w:rPr>
          <w:rFonts w:cs="Arial"/>
          <w:lang w:val="en-US"/>
        </w:rPr>
        <w:t>Th</w:t>
      </w:r>
      <w:r>
        <w:rPr>
          <w:rFonts w:cs="Arial"/>
          <w:lang w:val="en-US"/>
        </w:rPr>
        <w:t>e</w:t>
      </w:r>
      <w:r w:rsidRPr="001B72D6">
        <w:rPr>
          <w:rFonts w:cs="Arial"/>
          <w:lang w:val="en-US"/>
        </w:rPr>
        <w:t xml:space="preserve"> adjustment</w:t>
      </w:r>
      <w:r>
        <w:rPr>
          <w:rFonts w:cs="Arial"/>
          <w:lang w:val="en-US"/>
        </w:rPr>
        <w:t>s</w:t>
      </w:r>
      <w:r w:rsidRPr="001B72D6">
        <w:rPr>
          <w:rFonts w:cs="Arial"/>
          <w:lang w:val="en-US"/>
        </w:rPr>
        <w:t xml:space="preserve"> will be made by the DEA in connection with </w:t>
      </w:r>
      <w:bookmarkStart w:id="9" w:name="_Hlk169599594"/>
      <w:r w:rsidRPr="001B72D6">
        <w:rPr>
          <w:rFonts w:cs="Arial"/>
          <w:lang w:val="en-US"/>
        </w:rPr>
        <w:t>the quarterly invoicing and a final settlement</w:t>
      </w:r>
      <w:r>
        <w:rPr>
          <w:rFonts w:cs="Arial"/>
          <w:lang w:val="en-US"/>
        </w:rPr>
        <w:t>.</w:t>
      </w:r>
      <w:r w:rsidRPr="001B72D6">
        <w:rPr>
          <w:rFonts w:cs="Arial"/>
          <w:lang w:val="en-US"/>
        </w:rPr>
        <w:t xml:space="preserve"> </w:t>
      </w:r>
      <w:r w:rsidRPr="00C735DB">
        <w:rPr>
          <w:rFonts w:cs="Arial"/>
          <w:lang w:val="en-US"/>
        </w:rPr>
        <w:t xml:space="preserve">The reduction will take place in two steps: </w:t>
      </w:r>
    </w:p>
    <w:p w14:paraId="7FA5FEEF" w14:textId="77777777" w:rsidR="00E71FF2" w:rsidRDefault="00E71FF2" w:rsidP="00E71FF2">
      <w:pPr>
        <w:rPr>
          <w:rFonts w:cs="Arial"/>
          <w:lang w:val="en-US"/>
        </w:rPr>
      </w:pPr>
    </w:p>
    <w:p w14:paraId="1E321142" w14:textId="77777777" w:rsidR="00E71FF2" w:rsidRDefault="00E71FF2" w:rsidP="00BD2A74">
      <w:pPr>
        <w:pStyle w:val="ListParagraph"/>
        <w:numPr>
          <w:ilvl w:val="0"/>
          <w:numId w:val="27"/>
        </w:numPr>
        <w:spacing w:line="312" w:lineRule="auto"/>
        <w:jc w:val="both"/>
        <w:rPr>
          <w:rFonts w:cs="Arial"/>
          <w:lang w:val="en-US"/>
        </w:rPr>
      </w:pPr>
      <w:r w:rsidRPr="00352DB6">
        <w:rPr>
          <w:rFonts w:cs="Arial"/>
          <w:lang w:val="en-US"/>
        </w:rPr>
        <w:t xml:space="preserve">A reduction will be made in connection with the quarterly invoicing if the </w:t>
      </w:r>
      <w:r>
        <w:rPr>
          <w:rFonts w:cs="Arial"/>
          <w:lang w:val="en-US"/>
        </w:rPr>
        <w:t xml:space="preserve">market value of </w:t>
      </w:r>
      <w:r w:rsidRPr="00352DB6">
        <w:rPr>
          <w:rFonts w:cs="Arial"/>
          <w:lang w:val="en-US"/>
        </w:rPr>
        <w:t xml:space="preserve">EUA savings per </w:t>
      </w:r>
      <w:proofErr w:type="spellStart"/>
      <w:r w:rsidRPr="00352DB6">
        <w:rPr>
          <w:rFonts w:cs="Arial"/>
          <w:lang w:val="en-US"/>
        </w:rPr>
        <w:t>tonne</w:t>
      </w:r>
      <w:proofErr w:type="spellEnd"/>
      <w:r w:rsidRPr="00352DB6">
        <w:rPr>
          <w:rFonts w:cs="Arial"/>
          <w:lang w:val="en-US"/>
        </w:rPr>
        <w:t xml:space="preserve"> of CO</w:t>
      </w:r>
      <w:r w:rsidRPr="00962A4B">
        <w:rPr>
          <w:rFonts w:cs="Arial"/>
          <w:vertAlign w:val="subscript"/>
          <w:lang w:val="en-US"/>
        </w:rPr>
        <w:t>2</w:t>
      </w:r>
      <w:r w:rsidRPr="00352DB6">
        <w:rPr>
          <w:rFonts w:cs="Arial"/>
          <w:lang w:val="en-US"/>
        </w:rPr>
        <w:t xml:space="preserve"> </w:t>
      </w:r>
      <w:r>
        <w:rPr>
          <w:rFonts w:cs="Arial"/>
          <w:lang w:val="en-US"/>
        </w:rPr>
        <w:t>(calculated on the basis of</w:t>
      </w:r>
      <w:r w:rsidRPr="00352DB6">
        <w:rPr>
          <w:rFonts w:cs="Arial"/>
          <w:lang w:val="en-US"/>
        </w:rPr>
        <w:t xml:space="preserve"> the market value of EUA and a Forecast Fossil EUA Fraction</w:t>
      </w:r>
      <w:r>
        <w:rPr>
          <w:rFonts w:cs="Arial"/>
          <w:lang w:val="en-US"/>
        </w:rPr>
        <w:t>)</w:t>
      </w:r>
      <w:r w:rsidRPr="00352DB6">
        <w:rPr>
          <w:rFonts w:cs="Arial"/>
          <w:lang w:val="en-US"/>
        </w:rPr>
        <w:t xml:space="preserve"> is higher than the Baseline EUA Savings per </w:t>
      </w:r>
      <w:proofErr w:type="spellStart"/>
      <w:r w:rsidRPr="00352DB6">
        <w:rPr>
          <w:rFonts w:cs="Arial"/>
          <w:lang w:val="en-US"/>
        </w:rPr>
        <w:t>tonne</w:t>
      </w:r>
      <w:proofErr w:type="spellEnd"/>
      <w:r w:rsidRPr="00352DB6">
        <w:rPr>
          <w:rFonts w:cs="Arial"/>
          <w:lang w:val="en-US"/>
        </w:rPr>
        <w:t xml:space="preserve"> of CO</w:t>
      </w:r>
      <w:r w:rsidRPr="00962A4B">
        <w:rPr>
          <w:rFonts w:cs="Arial"/>
          <w:vertAlign w:val="subscript"/>
          <w:lang w:val="en-US"/>
        </w:rPr>
        <w:t>2</w:t>
      </w:r>
      <w:r w:rsidRPr="00352DB6">
        <w:rPr>
          <w:rFonts w:cs="Arial"/>
          <w:lang w:val="en-US"/>
        </w:rPr>
        <w:t xml:space="preserve"> (calculated on the basis of the Baseline EUA Price and the Baseline Fossil EUA Fraction). </w:t>
      </w:r>
    </w:p>
    <w:p w14:paraId="01CCE354" w14:textId="77777777" w:rsidR="00E71FF2" w:rsidRDefault="00E71FF2" w:rsidP="00BD2A74">
      <w:pPr>
        <w:pStyle w:val="ListParagraph"/>
        <w:numPr>
          <w:ilvl w:val="0"/>
          <w:numId w:val="27"/>
        </w:numPr>
        <w:spacing w:line="312" w:lineRule="auto"/>
        <w:jc w:val="both"/>
        <w:rPr>
          <w:rFonts w:cs="Arial"/>
          <w:lang w:val="en-US"/>
        </w:rPr>
      </w:pPr>
      <w:r w:rsidRPr="00352DB6">
        <w:rPr>
          <w:rFonts w:cs="Arial"/>
          <w:lang w:val="en-US"/>
        </w:rPr>
        <w:t>A final reduction will be made in connection with the final settlement if the</w:t>
      </w:r>
      <w:r>
        <w:rPr>
          <w:rFonts w:cs="Arial"/>
          <w:lang w:val="en-US"/>
        </w:rPr>
        <w:t xml:space="preserve"> market value of</w:t>
      </w:r>
      <w:r w:rsidRPr="00352DB6">
        <w:rPr>
          <w:rFonts w:cs="Arial"/>
          <w:lang w:val="en-US"/>
        </w:rPr>
        <w:t xml:space="preserve"> EUA savings per </w:t>
      </w:r>
      <w:proofErr w:type="spellStart"/>
      <w:r w:rsidRPr="00352DB6">
        <w:rPr>
          <w:rFonts w:cs="Arial"/>
          <w:lang w:val="en-US"/>
        </w:rPr>
        <w:t>tonne</w:t>
      </w:r>
      <w:proofErr w:type="spellEnd"/>
      <w:r w:rsidRPr="00352DB6">
        <w:rPr>
          <w:rFonts w:cs="Arial"/>
          <w:lang w:val="en-US"/>
        </w:rPr>
        <w:t xml:space="preserve"> of CO</w:t>
      </w:r>
      <w:r w:rsidRPr="00962A4B">
        <w:rPr>
          <w:rFonts w:cs="Arial"/>
          <w:vertAlign w:val="subscript"/>
          <w:lang w:val="en-US"/>
        </w:rPr>
        <w:t>2</w:t>
      </w:r>
      <w:r>
        <w:rPr>
          <w:rFonts w:cs="Arial"/>
          <w:lang w:val="en-US"/>
        </w:rPr>
        <w:t xml:space="preserve"> (calculated on the basis of</w:t>
      </w:r>
      <w:r w:rsidRPr="00352DB6">
        <w:rPr>
          <w:rFonts w:cs="Arial"/>
          <w:lang w:val="en-US"/>
        </w:rPr>
        <w:t xml:space="preserve"> the market value of EUA and the Actual Fossil EUA Fraction</w:t>
      </w:r>
      <w:r>
        <w:rPr>
          <w:rFonts w:cs="Arial"/>
          <w:lang w:val="en-US"/>
        </w:rPr>
        <w:t>)</w:t>
      </w:r>
      <w:r w:rsidRPr="00352DB6">
        <w:rPr>
          <w:rFonts w:cs="Arial"/>
          <w:lang w:val="en-US"/>
        </w:rPr>
        <w:t xml:space="preserve"> is higher than the EUA savings per </w:t>
      </w:r>
      <w:proofErr w:type="spellStart"/>
      <w:r w:rsidRPr="00352DB6">
        <w:rPr>
          <w:rFonts w:cs="Arial"/>
          <w:lang w:val="en-US"/>
        </w:rPr>
        <w:t>tonne</w:t>
      </w:r>
      <w:proofErr w:type="spellEnd"/>
      <w:r w:rsidRPr="00352DB6">
        <w:rPr>
          <w:rFonts w:cs="Arial"/>
          <w:lang w:val="en-US"/>
        </w:rPr>
        <w:t xml:space="preserve"> of CO</w:t>
      </w:r>
      <w:r w:rsidRPr="00962A4B">
        <w:rPr>
          <w:rFonts w:cs="Arial"/>
          <w:vertAlign w:val="subscript"/>
          <w:lang w:val="en-US"/>
        </w:rPr>
        <w:t>2</w:t>
      </w:r>
      <w:r w:rsidRPr="00352DB6">
        <w:rPr>
          <w:rFonts w:cs="Arial"/>
          <w:lang w:val="en-US"/>
        </w:rPr>
        <w:t xml:space="preserve"> calculated in connection with the quarterly invoicing, i.e. the market value of EUA and a Forecast Fossil EUA Fraction. </w:t>
      </w:r>
    </w:p>
    <w:p w14:paraId="2C39B288" w14:textId="77777777" w:rsidR="00E71FF2" w:rsidRDefault="00E71FF2" w:rsidP="00E71FF2">
      <w:pPr>
        <w:rPr>
          <w:rFonts w:cs="Arial"/>
          <w:lang w:val="en-US"/>
        </w:rPr>
      </w:pPr>
    </w:p>
    <w:p w14:paraId="3C82DAE8" w14:textId="27254582" w:rsidR="00E71FF2" w:rsidRPr="00352DB6" w:rsidRDefault="00E71FF2" w:rsidP="00E71FF2">
      <w:pPr>
        <w:rPr>
          <w:rFonts w:cs="Arial"/>
          <w:lang w:val="en-US"/>
        </w:rPr>
      </w:pPr>
      <w:r w:rsidRPr="00352DB6">
        <w:rPr>
          <w:rFonts w:cs="Arial"/>
          <w:lang w:val="en-US"/>
        </w:rPr>
        <w:lastRenderedPageBreak/>
        <w:t xml:space="preserve">The same market value of EUA per </w:t>
      </w:r>
      <w:proofErr w:type="spellStart"/>
      <w:r w:rsidRPr="00352DB6">
        <w:rPr>
          <w:rFonts w:cs="Arial"/>
          <w:lang w:val="en-US"/>
        </w:rPr>
        <w:t>tonne</w:t>
      </w:r>
      <w:proofErr w:type="spellEnd"/>
      <w:r w:rsidRPr="00352DB6">
        <w:rPr>
          <w:rFonts w:cs="Arial"/>
          <w:lang w:val="en-US"/>
        </w:rPr>
        <w:t xml:space="preserve"> of CO</w:t>
      </w:r>
      <w:r w:rsidRPr="00962A4B">
        <w:rPr>
          <w:rFonts w:cs="Arial"/>
          <w:vertAlign w:val="subscript"/>
          <w:lang w:val="en-US"/>
        </w:rPr>
        <w:t>2</w:t>
      </w:r>
      <w:r w:rsidRPr="00352DB6">
        <w:rPr>
          <w:rFonts w:cs="Arial"/>
          <w:lang w:val="en-US"/>
        </w:rPr>
        <w:t xml:space="preserve"> will be used in the quarterly invoicing and the final settlement. The adjustment mechanisms </w:t>
      </w:r>
      <w:r>
        <w:rPr>
          <w:rFonts w:cs="Arial"/>
          <w:lang w:val="en-US"/>
        </w:rPr>
        <w:t>are</w:t>
      </w:r>
      <w:r w:rsidRPr="00352DB6">
        <w:rPr>
          <w:rFonts w:cs="Arial"/>
          <w:lang w:val="en-US"/>
        </w:rPr>
        <w:t xml:space="preserve"> further described in paragraph </w:t>
      </w:r>
      <w:r w:rsidRPr="00352DB6">
        <w:rPr>
          <w:rFonts w:cs="Arial"/>
          <w:lang w:val="en-US"/>
        </w:rPr>
        <w:fldChar w:fldCharType="begin"/>
      </w:r>
      <w:r w:rsidRPr="00352DB6">
        <w:rPr>
          <w:rFonts w:cs="Arial"/>
          <w:lang w:val="en-US"/>
        </w:rPr>
        <w:instrText xml:space="preserve"> REF _Ref168918920 \r \h  \* MERGEFORMAT </w:instrText>
      </w:r>
      <w:r w:rsidRPr="00352DB6">
        <w:rPr>
          <w:rFonts w:cs="Arial"/>
          <w:lang w:val="en-US"/>
        </w:rPr>
      </w:r>
      <w:r w:rsidRPr="00352DB6">
        <w:rPr>
          <w:rFonts w:cs="Arial"/>
          <w:lang w:val="en-US"/>
        </w:rPr>
        <w:fldChar w:fldCharType="separate"/>
      </w:r>
      <w:r w:rsidR="001906DB">
        <w:rPr>
          <w:rFonts w:cs="Arial"/>
          <w:lang w:val="en-US"/>
        </w:rPr>
        <w:t>1.8</w:t>
      </w:r>
      <w:r w:rsidRPr="00352DB6">
        <w:rPr>
          <w:rFonts w:cs="Arial"/>
          <w:lang w:val="en-US"/>
        </w:rPr>
        <w:fldChar w:fldCharType="end"/>
      </w:r>
      <w:r w:rsidRPr="00352DB6">
        <w:rPr>
          <w:rFonts w:cs="Arial"/>
          <w:lang w:val="en-US"/>
        </w:rPr>
        <w:t xml:space="preserve"> and </w:t>
      </w:r>
      <w:r w:rsidRPr="00352DB6">
        <w:rPr>
          <w:rFonts w:cs="Arial"/>
          <w:lang w:val="en-US"/>
        </w:rPr>
        <w:fldChar w:fldCharType="begin"/>
      </w:r>
      <w:r w:rsidRPr="00352DB6">
        <w:rPr>
          <w:rFonts w:cs="Arial"/>
          <w:lang w:val="en-US"/>
        </w:rPr>
        <w:instrText xml:space="preserve"> REF _Ref168918926 \r \h  \* MERGEFORMAT </w:instrText>
      </w:r>
      <w:r w:rsidRPr="00352DB6">
        <w:rPr>
          <w:rFonts w:cs="Arial"/>
          <w:lang w:val="en-US"/>
        </w:rPr>
      </w:r>
      <w:r w:rsidRPr="00352DB6">
        <w:rPr>
          <w:rFonts w:cs="Arial"/>
          <w:lang w:val="en-US"/>
        </w:rPr>
        <w:fldChar w:fldCharType="separate"/>
      </w:r>
      <w:r w:rsidR="001906DB">
        <w:rPr>
          <w:rFonts w:cs="Arial"/>
          <w:lang w:val="en-US"/>
        </w:rPr>
        <w:t>1.9</w:t>
      </w:r>
      <w:r w:rsidRPr="00352DB6">
        <w:rPr>
          <w:rFonts w:cs="Arial"/>
          <w:lang w:val="en-US"/>
        </w:rPr>
        <w:fldChar w:fldCharType="end"/>
      </w:r>
      <w:r w:rsidRPr="00352DB6">
        <w:rPr>
          <w:rFonts w:cs="Arial"/>
          <w:lang w:val="en-US"/>
        </w:rPr>
        <w:t>.</w:t>
      </w:r>
    </w:p>
    <w:bookmarkEnd w:id="9"/>
    <w:p w14:paraId="0314DC6A" w14:textId="77777777" w:rsidR="00E71FF2" w:rsidRPr="001B72D6" w:rsidRDefault="00E71FF2" w:rsidP="00E71FF2">
      <w:pPr>
        <w:rPr>
          <w:rFonts w:cs="Arial"/>
          <w:lang w:val="en-US"/>
        </w:rPr>
      </w:pPr>
    </w:p>
    <w:p w14:paraId="080369D8" w14:textId="77777777" w:rsidR="00D1317C" w:rsidRPr="001B72D6" w:rsidRDefault="00D1317C" w:rsidP="00D1317C">
      <w:pPr>
        <w:rPr>
          <w:rFonts w:cs="Arial"/>
          <w:lang w:val="en-US"/>
        </w:rPr>
      </w:pPr>
      <w:r w:rsidRPr="001B72D6">
        <w:rPr>
          <w:rFonts w:cs="Arial"/>
          <w:lang w:val="en-US"/>
        </w:rPr>
        <w:t xml:space="preserve">The subsidy will not be increased in case the market value of EUA is less than the EUA </w:t>
      </w:r>
      <w:r>
        <w:rPr>
          <w:rFonts w:cs="Arial"/>
          <w:lang w:val="en-US"/>
        </w:rPr>
        <w:t>B</w:t>
      </w:r>
      <w:r w:rsidRPr="001B72D6">
        <w:rPr>
          <w:rFonts w:cs="Arial"/>
          <w:lang w:val="en-US"/>
        </w:rPr>
        <w:t xml:space="preserve">aseline </w:t>
      </w:r>
      <w:r>
        <w:rPr>
          <w:rFonts w:cs="Arial"/>
          <w:lang w:val="en-US"/>
        </w:rPr>
        <w:t>P</w:t>
      </w:r>
      <w:r w:rsidRPr="001B72D6">
        <w:rPr>
          <w:rFonts w:cs="Arial"/>
          <w:lang w:val="en-US"/>
        </w:rPr>
        <w:t>rice.</w:t>
      </w:r>
    </w:p>
    <w:p w14:paraId="525871B9" w14:textId="77777777" w:rsidR="00E71FF2" w:rsidRPr="001B72D6" w:rsidRDefault="00E71FF2" w:rsidP="00E71FF2">
      <w:pPr>
        <w:rPr>
          <w:rFonts w:cs="Arial"/>
          <w:lang w:val="en-US"/>
        </w:rPr>
      </w:pPr>
    </w:p>
    <w:p w14:paraId="260FAE49" w14:textId="42506C74" w:rsidR="00E71FF2" w:rsidRPr="001B72D6" w:rsidRDefault="00E71FF2" w:rsidP="00BD2A74">
      <w:pPr>
        <w:pStyle w:val="Heading3"/>
        <w:keepLines w:val="0"/>
        <w:numPr>
          <w:ilvl w:val="2"/>
          <w:numId w:val="15"/>
        </w:numPr>
        <w:overflowPunct w:val="0"/>
        <w:autoSpaceDE w:val="0"/>
        <w:autoSpaceDN w:val="0"/>
        <w:adjustRightInd w:val="0"/>
        <w:spacing w:before="0" w:after="300" w:line="312" w:lineRule="auto"/>
        <w:jc w:val="both"/>
        <w:textAlignment w:val="baseline"/>
        <w:rPr>
          <w:rFonts w:ascii="Arial" w:hAnsi="Arial" w:cs="Arial"/>
          <w:lang w:val="en-US"/>
        </w:rPr>
      </w:pPr>
      <w:r w:rsidRPr="001B72D6">
        <w:rPr>
          <w:rFonts w:ascii="Arial" w:hAnsi="Arial" w:cs="Arial"/>
          <w:lang w:val="en-US"/>
        </w:rPr>
        <w:t>Biogenic</w:t>
      </w:r>
      <w:r>
        <w:rPr>
          <w:rFonts w:ascii="Arial" w:hAnsi="Arial" w:cs="Arial"/>
          <w:lang w:val="en-US"/>
        </w:rPr>
        <w:t xml:space="preserve"> </w:t>
      </w:r>
      <w:r w:rsidRPr="001B72D6">
        <w:rPr>
          <w:rFonts w:ascii="Arial" w:hAnsi="Arial" w:cs="Arial"/>
          <w:lang w:val="en-US"/>
        </w:rPr>
        <w:t>CO</w:t>
      </w:r>
      <w:r w:rsidRPr="00346834">
        <w:rPr>
          <w:rFonts w:ascii="Arial" w:hAnsi="Arial" w:cs="Arial"/>
          <w:vertAlign w:val="subscript"/>
          <w:lang w:val="en-US"/>
        </w:rPr>
        <w:t>2</w:t>
      </w:r>
    </w:p>
    <w:p w14:paraId="429DFC76" w14:textId="143837AC" w:rsidR="00E71FF2" w:rsidRPr="001B72D6" w:rsidRDefault="00E71FF2" w:rsidP="00E71FF2">
      <w:pPr>
        <w:rPr>
          <w:rFonts w:cs="Arial"/>
          <w:lang w:val="en-US"/>
        </w:rPr>
      </w:pPr>
      <w:r w:rsidRPr="001B72D6">
        <w:rPr>
          <w:rFonts w:cs="Arial"/>
          <w:lang w:val="en-US"/>
        </w:rPr>
        <w:t>If future legislation entails that participation in the EU Emissions Trad</w:t>
      </w:r>
      <w:r w:rsidR="00962A4B">
        <w:rPr>
          <w:rFonts w:cs="Arial"/>
          <w:lang w:val="en-US"/>
        </w:rPr>
        <w:t>ing</w:t>
      </w:r>
      <w:r w:rsidRPr="001B72D6">
        <w:rPr>
          <w:rFonts w:cs="Arial"/>
          <w:lang w:val="en-US"/>
        </w:rPr>
        <w:t xml:space="preserve"> Scheme (ETS), or a similar EU-mand</w:t>
      </w:r>
      <w:r w:rsidR="00962A4B">
        <w:rPr>
          <w:rFonts w:cs="Arial"/>
          <w:lang w:val="en-US"/>
        </w:rPr>
        <w:t>ated trading</w:t>
      </w:r>
      <w:r w:rsidRPr="001B72D6">
        <w:rPr>
          <w:rFonts w:cs="Arial"/>
          <w:lang w:val="en-US"/>
        </w:rPr>
        <w:t xml:space="preserve"> scheme, become mandatory for emitters of biogenic</w:t>
      </w:r>
      <w:r>
        <w:rPr>
          <w:rFonts w:cs="Arial"/>
          <w:lang w:val="en-US"/>
        </w:rPr>
        <w:t xml:space="preserve"> CO</w:t>
      </w:r>
      <w:r w:rsidRPr="00962A4B">
        <w:rPr>
          <w:rFonts w:cs="Arial"/>
          <w:vertAlign w:val="subscript"/>
          <w:lang w:val="en-US"/>
        </w:rPr>
        <w:t>2</w:t>
      </w:r>
      <w:r w:rsidRPr="001B72D6">
        <w:rPr>
          <w:rFonts w:cs="Arial"/>
          <w:lang w:val="en-US"/>
        </w:rPr>
        <w:t xml:space="preserve"> an adjustment as </w:t>
      </w:r>
      <w:r>
        <w:rPr>
          <w:rFonts w:cs="Arial"/>
          <w:lang w:val="en-US"/>
        </w:rPr>
        <w:t xml:space="preserve">further </w:t>
      </w:r>
      <w:r w:rsidRPr="001B72D6">
        <w:rPr>
          <w:rFonts w:cs="Arial"/>
          <w:lang w:val="en-US"/>
        </w:rPr>
        <w:t xml:space="preserve">described in paragraph </w:t>
      </w:r>
      <w:r w:rsidRPr="001B72D6">
        <w:rPr>
          <w:rFonts w:cs="Arial"/>
          <w:lang w:val="en-US"/>
        </w:rPr>
        <w:fldChar w:fldCharType="begin"/>
      </w:r>
      <w:r w:rsidRPr="001B72D6">
        <w:rPr>
          <w:rFonts w:cs="Arial"/>
          <w:lang w:val="en-US"/>
        </w:rPr>
        <w:instrText xml:space="preserve"> REF _Ref168918858 \r \h </w:instrText>
      </w:r>
      <w:r>
        <w:rPr>
          <w:rFonts w:cs="Arial"/>
          <w:lang w:val="en-US"/>
        </w:rPr>
        <w:instrText xml:space="preserve"> \* MERGEFORMAT </w:instrText>
      </w:r>
      <w:r w:rsidRPr="001B72D6">
        <w:rPr>
          <w:rFonts w:cs="Arial"/>
          <w:lang w:val="en-US"/>
        </w:rPr>
      </w:r>
      <w:r w:rsidRPr="001B72D6">
        <w:rPr>
          <w:rFonts w:cs="Arial"/>
          <w:lang w:val="en-US"/>
        </w:rPr>
        <w:fldChar w:fldCharType="separate"/>
      </w:r>
      <w:r w:rsidR="001906DB">
        <w:rPr>
          <w:rFonts w:cs="Arial"/>
          <w:lang w:val="en-US"/>
        </w:rPr>
        <w:t>1.6</w:t>
      </w:r>
      <w:r w:rsidRPr="001B72D6">
        <w:rPr>
          <w:rFonts w:cs="Arial"/>
          <w:lang w:val="en-US"/>
        </w:rPr>
        <w:fldChar w:fldCharType="end"/>
      </w:r>
      <w:r w:rsidRPr="001B72D6">
        <w:rPr>
          <w:rFonts w:cs="Arial"/>
          <w:lang w:val="en-US"/>
        </w:rPr>
        <w:t xml:space="preserve"> shall apply. </w:t>
      </w:r>
    </w:p>
    <w:p w14:paraId="41EB21D2" w14:textId="77777777" w:rsidR="00E71FF2" w:rsidRPr="001B72D6" w:rsidRDefault="00E71FF2" w:rsidP="00E71FF2">
      <w:pPr>
        <w:rPr>
          <w:rFonts w:cs="Arial"/>
          <w:u w:val="single"/>
          <w:lang w:val="en-US"/>
        </w:rPr>
      </w:pPr>
    </w:p>
    <w:p w14:paraId="747D3ECA" w14:textId="77777777" w:rsidR="00E71FF2" w:rsidRPr="00155875" w:rsidRDefault="00E71FF2" w:rsidP="00BD2A74">
      <w:pPr>
        <w:pStyle w:val="Heading2"/>
        <w:keepLines w:val="0"/>
        <w:numPr>
          <w:ilvl w:val="1"/>
          <w:numId w:val="15"/>
        </w:numPr>
        <w:overflowPunct w:val="0"/>
        <w:autoSpaceDE w:val="0"/>
        <w:autoSpaceDN w:val="0"/>
        <w:adjustRightInd w:val="0"/>
        <w:spacing w:before="0" w:after="300" w:line="312" w:lineRule="auto"/>
        <w:jc w:val="both"/>
        <w:textAlignment w:val="baseline"/>
        <w:rPr>
          <w:rFonts w:ascii="Arial" w:hAnsi="Arial" w:cs="Arial"/>
          <w:lang w:val="en-US"/>
        </w:rPr>
      </w:pPr>
      <w:r w:rsidRPr="00155875">
        <w:rPr>
          <w:rFonts w:ascii="Arial" w:hAnsi="Arial" w:cs="Arial"/>
          <w:lang w:val="en-US"/>
        </w:rPr>
        <w:t>Adjustments regarding CO</w:t>
      </w:r>
      <w:r w:rsidRPr="00346834">
        <w:rPr>
          <w:rFonts w:ascii="Arial" w:hAnsi="Arial" w:cs="Arial"/>
          <w:vertAlign w:val="subscript"/>
          <w:lang w:val="en-US"/>
        </w:rPr>
        <w:t>2</w:t>
      </w:r>
      <w:r w:rsidRPr="00155875">
        <w:rPr>
          <w:rFonts w:ascii="Arial" w:hAnsi="Arial" w:cs="Arial"/>
          <w:lang w:val="en-US"/>
        </w:rPr>
        <w:t xml:space="preserve"> related taxes</w:t>
      </w:r>
    </w:p>
    <w:p w14:paraId="03DED2DB" w14:textId="44F3799C" w:rsidR="00E71FF2" w:rsidRPr="001B72D6" w:rsidRDefault="00E71FF2" w:rsidP="00E71FF2">
      <w:pPr>
        <w:rPr>
          <w:rFonts w:cs="Arial"/>
          <w:lang w:val="en-US"/>
        </w:rPr>
      </w:pPr>
      <w:r w:rsidRPr="001B72D6">
        <w:rPr>
          <w:rFonts w:cs="Arial"/>
          <w:lang w:val="en-US"/>
        </w:rPr>
        <w:t xml:space="preserve">The tenderer is – if relevant – </w:t>
      </w:r>
      <w:r>
        <w:rPr>
          <w:rFonts w:cs="Arial"/>
          <w:lang w:val="en-US"/>
        </w:rPr>
        <w:t xml:space="preserve">assumed </w:t>
      </w:r>
      <w:r w:rsidRPr="001B72D6">
        <w:rPr>
          <w:rFonts w:cs="Arial"/>
          <w:lang w:val="en-US"/>
        </w:rPr>
        <w:t>to take savings of CO</w:t>
      </w:r>
      <w:r w:rsidRPr="00962A4B">
        <w:rPr>
          <w:rFonts w:cs="Arial"/>
          <w:vertAlign w:val="subscript"/>
          <w:lang w:val="en-US"/>
        </w:rPr>
        <w:t>2</w:t>
      </w:r>
      <w:r w:rsidRPr="001B72D6">
        <w:rPr>
          <w:rFonts w:cs="Arial"/>
          <w:lang w:val="en-US"/>
        </w:rPr>
        <w:t xml:space="preserve"> related taxes, which results from Storing the CO</w:t>
      </w:r>
      <w:r w:rsidRPr="001B72D6">
        <w:rPr>
          <w:rFonts w:cs="Arial"/>
          <w:vertAlign w:val="subscript"/>
          <w:lang w:val="en-US"/>
        </w:rPr>
        <w:t>2</w:t>
      </w:r>
      <w:r w:rsidRPr="001B72D6">
        <w:rPr>
          <w:rFonts w:cs="Arial"/>
          <w:lang w:val="en-US"/>
        </w:rPr>
        <w:t>, into account when calculating the Offered Rate based on current legislation at the time of the offer</w:t>
      </w:r>
      <w:r w:rsidR="001748CE">
        <w:rPr>
          <w:rFonts w:cs="Arial"/>
          <w:lang w:val="en-US"/>
        </w:rPr>
        <w:t>. The CO</w:t>
      </w:r>
      <w:r w:rsidR="001748CE" w:rsidRPr="001748CE">
        <w:rPr>
          <w:rFonts w:cs="Arial"/>
          <w:vertAlign w:val="subscript"/>
          <w:lang w:val="en-US"/>
        </w:rPr>
        <w:t>2</w:t>
      </w:r>
      <w:r w:rsidR="001748CE">
        <w:rPr>
          <w:rFonts w:cs="Arial"/>
          <w:lang w:val="en-US"/>
        </w:rPr>
        <w:t xml:space="preserve"> related taxes are</w:t>
      </w:r>
      <w:r w:rsidRPr="001B72D6">
        <w:rPr>
          <w:rFonts w:cs="Arial"/>
          <w:lang w:val="en-US"/>
        </w:rPr>
        <w:t>:</w:t>
      </w:r>
    </w:p>
    <w:p w14:paraId="164BDE9F" w14:textId="77777777" w:rsidR="00E71FF2" w:rsidRPr="001B72D6" w:rsidRDefault="00E71FF2" w:rsidP="00BD2A74">
      <w:pPr>
        <w:pStyle w:val="ListParagraph"/>
        <w:numPr>
          <w:ilvl w:val="0"/>
          <w:numId w:val="17"/>
        </w:numPr>
        <w:spacing w:line="312" w:lineRule="auto"/>
        <w:jc w:val="both"/>
        <w:rPr>
          <w:rFonts w:cs="Arial"/>
          <w:lang w:val="en-US"/>
        </w:rPr>
      </w:pPr>
      <w:r w:rsidRPr="001B72D6">
        <w:rPr>
          <w:rFonts w:cs="Arial"/>
          <w:lang w:val="en-US"/>
        </w:rPr>
        <w:t xml:space="preserve">Emission tax (in Danish: </w:t>
      </w:r>
      <w:proofErr w:type="spellStart"/>
      <w:r w:rsidRPr="001B72D6">
        <w:rPr>
          <w:rFonts w:cs="Arial"/>
          <w:i/>
          <w:iCs/>
          <w:lang w:val="en-US"/>
        </w:rPr>
        <w:t>emissionsafgift</w:t>
      </w:r>
      <w:proofErr w:type="spellEnd"/>
      <w:r w:rsidRPr="001B72D6">
        <w:rPr>
          <w:rFonts w:cs="Arial"/>
          <w:lang w:val="en-US"/>
        </w:rPr>
        <w:t>) as governed by Act on taxation of CO</w:t>
      </w:r>
      <w:r w:rsidRPr="001748CE">
        <w:rPr>
          <w:rFonts w:cs="Arial"/>
          <w:vertAlign w:val="subscript"/>
          <w:lang w:val="en-US"/>
        </w:rPr>
        <w:t>2</w:t>
      </w:r>
      <w:r w:rsidRPr="00974FD7">
        <w:rPr>
          <w:rFonts w:cs="Arial"/>
          <w:vertAlign w:val="subscript"/>
          <w:lang w:val="en-US"/>
        </w:rPr>
        <w:t>e</w:t>
      </w:r>
      <w:r w:rsidRPr="001B72D6">
        <w:rPr>
          <w:rFonts w:cs="Arial"/>
          <w:lang w:val="en-US"/>
        </w:rPr>
        <w:t>-emissions from quota covered sectors (Act on emission tax)</w:t>
      </w:r>
      <w:r w:rsidRPr="001B72D6">
        <w:rPr>
          <w:rStyle w:val="FootnoteReference"/>
          <w:rFonts w:cs="Arial"/>
        </w:rPr>
        <w:footnoteReference w:id="5"/>
      </w:r>
      <w:r w:rsidRPr="001B72D6">
        <w:rPr>
          <w:rFonts w:cs="Arial"/>
          <w:lang w:val="en-US"/>
        </w:rPr>
        <w:t xml:space="preserve"> no. 182 of 4 June 2024; and/or</w:t>
      </w:r>
    </w:p>
    <w:p w14:paraId="0D20C934" w14:textId="77777777" w:rsidR="00E71FF2" w:rsidRPr="001B72D6" w:rsidRDefault="00E71FF2" w:rsidP="00BD2A74">
      <w:pPr>
        <w:pStyle w:val="ListParagraph"/>
        <w:numPr>
          <w:ilvl w:val="0"/>
          <w:numId w:val="17"/>
        </w:numPr>
        <w:spacing w:line="312" w:lineRule="auto"/>
        <w:jc w:val="both"/>
        <w:rPr>
          <w:rFonts w:cs="Arial"/>
          <w:lang w:val="en-US"/>
        </w:rPr>
      </w:pPr>
      <w:r w:rsidRPr="001B72D6">
        <w:rPr>
          <w:rFonts w:cs="Arial"/>
          <w:lang w:val="en-US"/>
        </w:rPr>
        <w:t>CO</w:t>
      </w:r>
      <w:r w:rsidRPr="001748CE">
        <w:rPr>
          <w:rFonts w:cs="Arial"/>
          <w:vertAlign w:val="subscript"/>
          <w:lang w:val="en-US"/>
        </w:rPr>
        <w:t>2</w:t>
      </w:r>
      <w:r w:rsidRPr="001B72D6">
        <w:rPr>
          <w:rFonts w:cs="Arial"/>
          <w:lang w:val="en-US"/>
        </w:rPr>
        <w:t xml:space="preserve"> tax (in Danish: </w:t>
      </w:r>
      <w:r w:rsidRPr="001B72D6">
        <w:rPr>
          <w:rFonts w:cs="Arial"/>
          <w:i/>
          <w:iCs/>
          <w:lang w:val="en-US"/>
        </w:rPr>
        <w:t>CO</w:t>
      </w:r>
      <w:r w:rsidRPr="001748CE">
        <w:rPr>
          <w:rFonts w:cs="Arial"/>
          <w:i/>
          <w:iCs/>
          <w:vertAlign w:val="subscript"/>
          <w:lang w:val="en-US"/>
        </w:rPr>
        <w:t>2</w:t>
      </w:r>
      <w:r w:rsidRPr="001B72D6">
        <w:rPr>
          <w:rFonts w:cs="Arial"/>
          <w:i/>
          <w:iCs/>
          <w:lang w:val="en-US"/>
        </w:rPr>
        <w:t>-afgift</w:t>
      </w:r>
      <w:r w:rsidRPr="001B72D6">
        <w:rPr>
          <w:rFonts w:cs="Arial"/>
          <w:lang w:val="en-US"/>
        </w:rPr>
        <w:t xml:space="preserve">) as governed by </w:t>
      </w:r>
      <w:r>
        <w:rPr>
          <w:rFonts w:cs="Arial"/>
          <w:lang w:val="en-US"/>
        </w:rPr>
        <w:t xml:space="preserve">Act on carbon dioxide tax on certain energy products, cf. consolidation </w:t>
      </w:r>
      <w:r w:rsidRPr="00721320">
        <w:rPr>
          <w:rFonts w:cs="Arial"/>
          <w:lang w:val="en-US"/>
        </w:rPr>
        <w:t>Act</w:t>
      </w:r>
      <w:r>
        <w:rPr>
          <w:rFonts w:cs="Arial"/>
          <w:lang w:val="en-US"/>
        </w:rPr>
        <w:t xml:space="preserve"> no. 1353 of 2 September 2020</w:t>
      </w:r>
      <w:r>
        <w:rPr>
          <w:rStyle w:val="FootnoteReference"/>
          <w:rFonts w:cs="Arial"/>
        </w:rPr>
        <w:footnoteReference w:id="6"/>
      </w:r>
      <w:r>
        <w:rPr>
          <w:rFonts w:cs="Arial"/>
          <w:lang w:val="en-US"/>
        </w:rPr>
        <w:t xml:space="preserve"> with </w:t>
      </w:r>
      <w:r w:rsidRPr="00B11C96">
        <w:rPr>
          <w:rFonts w:cs="Arial"/>
          <w:lang w:val="en-US"/>
        </w:rPr>
        <w:t>later amendments thereof</w:t>
      </w:r>
      <w:r>
        <w:rPr>
          <w:rFonts w:cs="Arial"/>
          <w:lang w:val="en-US"/>
        </w:rPr>
        <w:t xml:space="preserve">, including e.g. by </w:t>
      </w:r>
      <w:r w:rsidRPr="001B72D6">
        <w:rPr>
          <w:rFonts w:cs="Arial"/>
          <w:lang w:val="en-US"/>
        </w:rPr>
        <w:t>Act amending the Act on carbon dioxide tax on certain energy products, Act on energy tax on mineral oil products, etc., Act on tax on natural gas and city gas, etc., Act on tax on hard coal, lignite and coke, etc. and various other laws</w:t>
      </w:r>
      <w:r w:rsidRPr="001B72D6">
        <w:rPr>
          <w:rStyle w:val="FootnoteReference"/>
          <w:rFonts w:cs="Arial"/>
        </w:rPr>
        <w:footnoteReference w:id="7"/>
      </w:r>
      <w:r w:rsidRPr="001B72D6">
        <w:rPr>
          <w:rFonts w:cs="Arial"/>
          <w:lang w:val="en-US"/>
        </w:rPr>
        <w:t xml:space="preserve"> no. 183 of 4 June 2024.</w:t>
      </w:r>
    </w:p>
    <w:p w14:paraId="3DD37907" w14:textId="77777777" w:rsidR="00E71FF2" w:rsidRPr="001B72D6" w:rsidRDefault="00E71FF2" w:rsidP="00E71FF2">
      <w:pPr>
        <w:pStyle w:val="ListParagraph"/>
        <w:rPr>
          <w:rFonts w:cs="Arial"/>
          <w:lang w:val="en-US"/>
        </w:rPr>
      </w:pPr>
    </w:p>
    <w:p w14:paraId="74D6D0AA" w14:textId="4BBCCEA8" w:rsidR="00E71FF2" w:rsidRPr="001B72D6" w:rsidRDefault="00E71FF2" w:rsidP="00E71FF2">
      <w:pPr>
        <w:rPr>
          <w:rFonts w:cs="Arial"/>
          <w:lang w:val="en-US"/>
        </w:rPr>
      </w:pPr>
      <w:r w:rsidRPr="001B72D6">
        <w:rPr>
          <w:rFonts w:cs="Arial"/>
          <w:lang w:val="en-US"/>
        </w:rPr>
        <w:t>The term “savings of CO</w:t>
      </w:r>
      <w:r w:rsidRPr="001748CE">
        <w:rPr>
          <w:rFonts w:cs="Arial"/>
          <w:vertAlign w:val="subscript"/>
          <w:lang w:val="en-US"/>
        </w:rPr>
        <w:t>2</w:t>
      </w:r>
      <w:r w:rsidRPr="001B72D6">
        <w:rPr>
          <w:rFonts w:cs="Arial"/>
          <w:lang w:val="en-US"/>
        </w:rPr>
        <w:t xml:space="preserve"> related taxes” means the value of taxes that would have had to be paid if a given quantity of CO</w:t>
      </w:r>
      <w:r w:rsidRPr="001748CE">
        <w:rPr>
          <w:rFonts w:cs="Arial"/>
          <w:vertAlign w:val="subscript"/>
          <w:lang w:val="en-US"/>
        </w:rPr>
        <w:t>2</w:t>
      </w:r>
      <w:r w:rsidRPr="001B72D6">
        <w:rPr>
          <w:rFonts w:cs="Arial"/>
          <w:lang w:val="en-US"/>
        </w:rPr>
        <w:t xml:space="preserve"> had not been Stored</w:t>
      </w:r>
      <w:r w:rsidR="001748CE">
        <w:rPr>
          <w:rFonts w:cs="Arial"/>
          <w:lang w:val="en-US"/>
        </w:rPr>
        <w:t>, i.e. emitted</w:t>
      </w:r>
      <w:r w:rsidRPr="001B72D6">
        <w:rPr>
          <w:rFonts w:cs="Arial"/>
          <w:lang w:val="en-US"/>
        </w:rPr>
        <w:t xml:space="preserve">. The adjustment will apply with the value of the taxes regardless of whether the Operator is an entity subject to the tax (and thus should have paid the taxes) or the Operator bases the performance of the contract on another entity subject to the taxes. This means that the avoided taxes (i.e. a reduced cost) of such another entity, will be considered as “savings of taxes” for the Operator – and of equal value for the </w:t>
      </w:r>
      <w:r w:rsidRPr="001B72D6">
        <w:rPr>
          <w:rFonts w:cs="Arial"/>
          <w:lang w:val="en-US"/>
        </w:rPr>
        <w:lastRenderedPageBreak/>
        <w:t>Operator, regardless of the agreement between the two entities and regardless of whether the Operator in fact has obtained an income of such equal value.</w:t>
      </w:r>
    </w:p>
    <w:p w14:paraId="701002C4" w14:textId="77777777" w:rsidR="00E71FF2" w:rsidRPr="001B72D6" w:rsidRDefault="00E71FF2" w:rsidP="00E71FF2">
      <w:pPr>
        <w:rPr>
          <w:rFonts w:cs="Arial"/>
          <w:lang w:val="en-US"/>
        </w:rPr>
      </w:pPr>
    </w:p>
    <w:p w14:paraId="31470088" w14:textId="77777777" w:rsidR="00E71FF2" w:rsidRPr="001B72D6" w:rsidRDefault="00E71FF2" w:rsidP="00E71FF2">
      <w:pPr>
        <w:rPr>
          <w:rFonts w:cs="Arial"/>
          <w:lang w:val="en-US"/>
        </w:rPr>
      </w:pPr>
      <w:r w:rsidRPr="001B72D6">
        <w:rPr>
          <w:rFonts w:cs="Arial"/>
          <w:lang w:val="en-US"/>
        </w:rPr>
        <w:t>The subsidy will be reduced if the legislation at the time of the offer is amended in a way that increases the Operators savings of taxes due to the Storage of CO</w:t>
      </w:r>
      <w:r w:rsidRPr="001748CE">
        <w:rPr>
          <w:rFonts w:cs="Arial"/>
          <w:vertAlign w:val="subscript"/>
          <w:lang w:val="en-US"/>
        </w:rPr>
        <w:t>2</w:t>
      </w:r>
      <w:r w:rsidRPr="001B72D6">
        <w:rPr>
          <w:rFonts w:cs="Arial"/>
          <w:lang w:val="en-US"/>
        </w:rPr>
        <w:t xml:space="preserve"> under the contract. </w:t>
      </w:r>
    </w:p>
    <w:p w14:paraId="0BEC2778" w14:textId="77777777" w:rsidR="00E71FF2" w:rsidRPr="001B72D6" w:rsidRDefault="00E71FF2" w:rsidP="00E71FF2">
      <w:pPr>
        <w:rPr>
          <w:rFonts w:cs="Arial"/>
          <w:lang w:val="en-US"/>
        </w:rPr>
      </w:pPr>
    </w:p>
    <w:p w14:paraId="7DB2D3B2" w14:textId="77777777" w:rsidR="00E71FF2" w:rsidRPr="001B72D6" w:rsidRDefault="00E71FF2" w:rsidP="00E71FF2">
      <w:pPr>
        <w:rPr>
          <w:rFonts w:cs="Arial"/>
          <w:lang w:val="en-US"/>
        </w:rPr>
      </w:pPr>
      <w:r w:rsidRPr="001B72D6">
        <w:rPr>
          <w:rFonts w:cs="Arial"/>
          <w:lang w:val="en-US"/>
        </w:rPr>
        <w:t>The subsidy will also be reduced if the proportion of the fossil fraction of the Stored CO</w:t>
      </w:r>
      <w:r w:rsidRPr="001748CE">
        <w:rPr>
          <w:rFonts w:cs="Arial"/>
          <w:vertAlign w:val="subscript"/>
          <w:lang w:val="en-US"/>
        </w:rPr>
        <w:t>2</w:t>
      </w:r>
      <w:r w:rsidRPr="001B72D6">
        <w:rPr>
          <w:rFonts w:cs="Arial"/>
          <w:lang w:val="en-US"/>
        </w:rPr>
        <w:t xml:space="preserve"> in a specific year is higher than the fossil fraction specified for that year by the Operator in the offer. </w:t>
      </w:r>
    </w:p>
    <w:p w14:paraId="50706134" w14:textId="77777777" w:rsidR="00E71FF2" w:rsidRPr="001B72D6" w:rsidRDefault="00E71FF2" w:rsidP="00E71FF2">
      <w:pPr>
        <w:rPr>
          <w:rFonts w:cs="Arial"/>
          <w:lang w:val="en-US"/>
        </w:rPr>
      </w:pPr>
    </w:p>
    <w:p w14:paraId="024DE661" w14:textId="77777777" w:rsidR="00E71FF2" w:rsidRDefault="00E71FF2" w:rsidP="00E71FF2">
      <w:pPr>
        <w:rPr>
          <w:rFonts w:cs="Arial"/>
          <w:lang w:val="en-US"/>
        </w:rPr>
      </w:pPr>
      <w:r w:rsidRPr="001B72D6">
        <w:rPr>
          <w:rFonts w:cs="Arial"/>
          <w:lang w:val="en-US"/>
        </w:rPr>
        <w:t xml:space="preserve">The adjustments will be made by the DEA in connection </w:t>
      </w:r>
      <w:r w:rsidRPr="005B0D29">
        <w:rPr>
          <w:rFonts w:cs="Arial"/>
          <w:lang w:val="en-US"/>
        </w:rPr>
        <w:t>the quarterly invoicing and a final settlement</w:t>
      </w:r>
      <w:r>
        <w:rPr>
          <w:rFonts w:cs="Arial"/>
          <w:lang w:val="en-US"/>
        </w:rPr>
        <w:t>.</w:t>
      </w:r>
      <w:r w:rsidRPr="00E56C4A">
        <w:rPr>
          <w:rFonts w:cs="Arial"/>
          <w:lang w:val="en-US"/>
        </w:rPr>
        <w:t xml:space="preserve"> </w:t>
      </w:r>
      <w:r w:rsidRPr="00C735DB">
        <w:rPr>
          <w:rFonts w:cs="Arial"/>
          <w:lang w:val="en-US"/>
        </w:rPr>
        <w:t xml:space="preserve">The reduction will take place in two steps: </w:t>
      </w:r>
    </w:p>
    <w:p w14:paraId="018BCC97" w14:textId="77777777" w:rsidR="00E71FF2" w:rsidRDefault="00E71FF2" w:rsidP="00E71FF2">
      <w:pPr>
        <w:rPr>
          <w:rFonts w:cs="Arial"/>
          <w:lang w:val="en-US"/>
        </w:rPr>
      </w:pPr>
    </w:p>
    <w:p w14:paraId="6B347CEB" w14:textId="77777777" w:rsidR="00E71FF2" w:rsidRDefault="00E71FF2" w:rsidP="00BD2A74">
      <w:pPr>
        <w:pStyle w:val="ListParagraph"/>
        <w:numPr>
          <w:ilvl w:val="0"/>
          <w:numId w:val="28"/>
        </w:numPr>
        <w:spacing w:line="312" w:lineRule="auto"/>
        <w:jc w:val="both"/>
        <w:rPr>
          <w:rFonts w:cs="Arial"/>
          <w:lang w:val="en-US"/>
        </w:rPr>
      </w:pPr>
      <w:r w:rsidRPr="00F34B81">
        <w:rPr>
          <w:rFonts w:cs="Arial"/>
          <w:lang w:val="en-US"/>
        </w:rPr>
        <w:t xml:space="preserve">A reduction will be made in connection with the quarterly invoicing if </w:t>
      </w:r>
      <w:r>
        <w:rPr>
          <w:rFonts w:cs="Arial"/>
          <w:lang w:val="en-US"/>
        </w:rPr>
        <w:t>the CO</w:t>
      </w:r>
      <w:r w:rsidRPr="001748CE">
        <w:rPr>
          <w:rFonts w:cs="Arial"/>
          <w:vertAlign w:val="subscript"/>
          <w:lang w:val="en-US"/>
        </w:rPr>
        <w:t>2</w:t>
      </w:r>
      <w:r>
        <w:rPr>
          <w:rFonts w:cs="Arial"/>
          <w:lang w:val="en-US"/>
        </w:rPr>
        <w:t xml:space="preserve"> related tax</w:t>
      </w:r>
      <w:r w:rsidRPr="00F34B81">
        <w:rPr>
          <w:rFonts w:cs="Arial"/>
          <w:lang w:val="en-US"/>
        </w:rPr>
        <w:t xml:space="preserve"> savings per </w:t>
      </w:r>
      <w:proofErr w:type="spellStart"/>
      <w:r w:rsidRPr="00F34B81">
        <w:rPr>
          <w:rFonts w:cs="Arial"/>
          <w:lang w:val="en-US"/>
        </w:rPr>
        <w:t>tonne</w:t>
      </w:r>
      <w:proofErr w:type="spellEnd"/>
      <w:r w:rsidRPr="00F34B81">
        <w:rPr>
          <w:rFonts w:cs="Arial"/>
          <w:lang w:val="en-US"/>
        </w:rPr>
        <w:t xml:space="preserve"> of CO</w:t>
      </w:r>
      <w:r w:rsidRPr="001748CE">
        <w:rPr>
          <w:rFonts w:cs="Arial"/>
          <w:vertAlign w:val="subscript"/>
          <w:lang w:val="en-US"/>
        </w:rPr>
        <w:t>2</w:t>
      </w:r>
      <w:r w:rsidRPr="00F34B81">
        <w:rPr>
          <w:rFonts w:cs="Arial"/>
          <w:lang w:val="en-US"/>
        </w:rPr>
        <w:t xml:space="preserve"> </w:t>
      </w:r>
      <w:r>
        <w:rPr>
          <w:rFonts w:cs="Arial"/>
          <w:lang w:val="en-US"/>
        </w:rPr>
        <w:t>(calculated on the basis of</w:t>
      </w:r>
      <w:r w:rsidRPr="00F34B81">
        <w:rPr>
          <w:rFonts w:cs="Arial"/>
          <w:lang w:val="en-US"/>
        </w:rPr>
        <w:t xml:space="preserve"> the </w:t>
      </w:r>
      <w:r>
        <w:rPr>
          <w:rFonts w:cs="Arial"/>
          <w:lang w:val="en-US"/>
        </w:rPr>
        <w:t xml:space="preserve">applicable tax rate at the time of invoicing </w:t>
      </w:r>
      <w:r w:rsidRPr="00F34B81">
        <w:rPr>
          <w:rFonts w:cs="Arial"/>
          <w:lang w:val="en-US"/>
        </w:rPr>
        <w:t xml:space="preserve">and a Forecast Fossil </w:t>
      </w:r>
      <w:r>
        <w:rPr>
          <w:rFonts w:cs="Arial"/>
          <w:lang w:val="en-US"/>
        </w:rPr>
        <w:t>Tax</w:t>
      </w:r>
      <w:r w:rsidRPr="00F34B81">
        <w:rPr>
          <w:rFonts w:cs="Arial"/>
          <w:lang w:val="en-US"/>
        </w:rPr>
        <w:t xml:space="preserve"> Fraction</w:t>
      </w:r>
      <w:r>
        <w:rPr>
          <w:rFonts w:cs="Arial"/>
          <w:lang w:val="en-US"/>
        </w:rPr>
        <w:t>)</w:t>
      </w:r>
      <w:r w:rsidRPr="00F34B81">
        <w:rPr>
          <w:rFonts w:cs="Arial"/>
          <w:lang w:val="en-US"/>
        </w:rPr>
        <w:t xml:space="preserve"> is higher than the Baseline </w:t>
      </w:r>
      <w:r>
        <w:rPr>
          <w:rFonts w:cs="Arial"/>
          <w:lang w:val="en-US"/>
        </w:rPr>
        <w:t>Tax</w:t>
      </w:r>
      <w:r w:rsidRPr="00F34B81">
        <w:rPr>
          <w:rFonts w:cs="Arial"/>
          <w:lang w:val="en-US"/>
        </w:rPr>
        <w:t xml:space="preserve"> Savings per </w:t>
      </w:r>
      <w:proofErr w:type="spellStart"/>
      <w:r w:rsidRPr="00F34B81">
        <w:rPr>
          <w:rFonts w:cs="Arial"/>
          <w:lang w:val="en-US"/>
        </w:rPr>
        <w:t>tonne</w:t>
      </w:r>
      <w:proofErr w:type="spellEnd"/>
      <w:r w:rsidRPr="00F34B81">
        <w:rPr>
          <w:rFonts w:cs="Arial"/>
          <w:lang w:val="en-US"/>
        </w:rPr>
        <w:t xml:space="preserve"> of CO</w:t>
      </w:r>
      <w:r w:rsidRPr="001748CE">
        <w:rPr>
          <w:rFonts w:cs="Arial"/>
          <w:vertAlign w:val="subscript"/>
          <w:lang w:val="en-US"/>
        </w:rPr>
        <w:t>2</w:t>
      </w:r>
      <w:r w:rsidRPr="00F34B81">
        <w:rPr>
          <w:rFonts w:cs="Arial"/>
          <w:lang w:val="en-US"/>
        </w:rPr>
        <w:t xml:space="preserve"> (calculated on the basis of the </w:t>
      </w:r>
      <w:r>
        <w:rPr>
          <w:rFonts w:cs="Arial"/>
          <w:lang w:val="en-US"/>
        </w:rPr>
        <w:t xml:space="preserve">applicable tax rate at the time of the offer </w:t>
      </w:r>
      <w:r w:rsidRPr="00F34B81">
        <w:rPr>
          <w:rFonts w:cs="Arial"/>
          <w:lang w:val="en-US"/>
        </w:rPr>
        <w:t xml:space="preserve">and the Baseline Fossil </w:t>
      </w:r>
      <w:r>
        <w:rPr>
          <w:rFonts w:cs="Arial"/>
          <w:lang w:val="en-US"/>
        </w:rPr>
        <w:t>Tax</w:t>
      </w:r>
      <w:r w:rsidRPr="00F34B81">
        <w:rPr>
          <w:rFonts w:cs="Arial"/>
          <w:lang w:val="en-US"/>
        </w:rPr>
        <w:t xml:space="preserve"> Fraction). </w:t>
      </w:r>
    </w:p>
    <w:p w14:paraId="57A93FD2" w14:textId="77777777" w:rsidR="00E71FF2" w:rsidRDefault="00E71FF2" w:rsidP="00BD2A74">
      <w:pPr>
        <w:pStyle w:val="ListParagraph"/>
        <w:numPr>
          <w:ilvl w:val="0"/>
          <w:numId w:val="28"/>
        </w:numPr>
        <w:spacing w:line="312" w:lineRule="auto"/>
        <w:jc w:val="both"/>
        <w:rPr>
          <w:rFonts w:cs="Arial"/>
          <w:lang w:val="en-US"/>
        </w:rPr>
      </w:pPr>
      <w:r w:rsidRPr="00F34B81">
        <w:rPr>
          <w:rFonts w:cs="Arial"/>
          <w:lang w:val="en-US"/>
        </w:rPr>
        <w:t>A final reduction will be made in connection with the final settlement if the</w:t>
      </w:r>
      <w:r>
        <w:rPr>
          <w:rFonts w:cs="Arial"/>
          <w:lang w:val="en-US"/>
        </w:rPr>
        <w:t xml:space="preserve"> CO</w:t>
      </w:r>
      <w:r w:rsidRPr="001748CE">
        <w:rPr>
          <w:rFonts w:cs="Arial"/>
          <w:vertAlign w:val="subscript"/>
          <w:lang w:val="en-US"/>
        </w:rPr>
        <w:t>2</w:t>
      </w:r>
      <w:r>
        <w:rPr>
          <w:rFonts w:cs="Arial"/>
          <w:lang w:val="en-US"/>
        </w:rPr>
        <w:t xml:space="preserve"> related tax</w:t>
      </w:r>
      <w:r w:rsidRPr="00F34B81">
        <w:rPr>
          <w:rFonts w:cs="Arial"/>
          <w:lang w:val="en-US"/>
        </w:rPr>
        <w:t xml:space="preserve"> savings per </w:t>
      </w:r>
      <w:proofErr w:type="spellStart"/>
      <w:r w:rsidRPr="00F34B81">
        <w:rPr>
          <w:rFonts w:cs="Arial"/>
          <w:lang w:val="en-US"/>
        </w:rPr>
        <w:t>tonne</w:t>
      </w:r>
      <w:proofErr w:type="spellEnd"/>
      <w:r w:rsidRPr="00F34B81">
        <w:rPr>
          <w:rFonts w:cs="Arial"/>
          <w:lang w:val="en-US"/>
        </w:rPr>
        <w:t xml:space="preserve"> of CO</w:t>
      </w:r>
      <w:r w:rsidRPr="001748CE">
        <w:rPr>
          <w:rFonts w:cs="Arial"/>
          <w:vertAlign w:val="subscript"/>
          <w:lang w:val="en-US"/>
        </w:rPr>
        <w:t>2</w:t>
      </w:r>
      <w:r>
        <w:rPr>
          <w:rFonts w:cs="Arial"/>
          <w:lang w:val="en-US"/>
        </w:rPr>
        <w:t xml:space="preserve"> (calculated on the basis of</w:t>
      </w:r>
      <w:r w:rsidRPr="00F34B81">
        <w:rPr>
          <w:rFonts w:cs="Arial"/>
          <w:lang w:val="en-US"/>
        </w:rPr>
        <w:t xml:space="preserve"> the </w:t>
      </w:r>
      <w:r>
        <w:rPr>
          <w:rFonts w:cs="Arial"/>
          <w:lang w:val="en-US"/>
        </w:rPr>
        <w:t>applicable tax rate</w:t>
      </w:r>
      <w:r w:rsidRPr="00F34B81">
        <w:rPr>
          <w:rFonts w:cs="Arial"/>
          <w:lang w:val="en-US"/>
        </w:rPr>
        <w:t xml:space="preserve"> </w:t>
      </w:r>
      <w:r>
        <w:rPr>
          <w:rFonts w:cs="Arial"/>
          <w:lang w:val="en-US"/>
        </w:rPr>
        <w:t xml:space="preserve">at the time of invoicing </w:t>
      </w:r>
      <w:r w:rsidRPr="00F34B81">
        <w:rPr>
          <w:rFonts w:cs="Arial"/>
          <w:lang w:val="en-US"/>
        </w:rPr>
        <w:t xml:space="preserve">and the Actual Fossil </w:t>
      </w:r>
      <w:r>
        <w:rPr>
          <w:rFonts w:cs="Arial"/>
          <w:lang w:val="en-US"/>
        </w:rPr>
        <w:t>Tax</w:t>
      </w:r>
      <w:r w:rsidRPr="00F34B81">
        <w:rPr>
          <w:rFonts w:cs="Arial"/>
          <w:lang w:val="en-US"/>
        </w:rPr>
        <w:t xml:space="preserve"> Fraction</w:t>
      </w:r>
      <w:r>
        <w:rPr>
          <w:rFonts w:cs="Arial"/>
          <w:lang w:val="en-US"/>
        </w:rPr>
        <w:t>)</w:t>
      </w:r>
      <w:r w:rsidRPr="00F34B81">
        <w:rPr>
          <w:rFonts w:cs="Arial"/>
          <w:lang w:val="en-US"/>
        </w:rPr>
        <w:t xml:space="preserve"> is higher than the </w:t>
      </w:r>
      <w:r>
        <w:rPr>
          <w:rFonts w:cs="Arial"/>
          <w:lang w:val="en-US"/>
        </w:rPr>
        <w:t>CO</w:t>
      </w:r>
      <w:r w:rsidRPr="001748CE">
        <w:rPr>
          <w:rFonts w:cs="Arial"/>
          <w:vertAlign w:val="subscript"/>
          <w:lang w:val="en-US"/>
        </w:rPr>
        <w:t>2</w:t>
      </w:r>
      <w:r>
        <w:rPr>
          <w:rFonts w:cs="Arial"/>
          <w:lang w:val="en-US"/>
        </w:rPr>
        <w:t xml:space="preserve"> related tax</w:t>
      </w:r>
      <w:r w:rsidRPr="00F34B81">
        <w:rPr>
          <w:rFonts w:cs="Arial"/>
          <w:lang w:val="en-US"/>
        </w:rPr>
        <w:t xml:space="preserve"> savings per </w:t>
      </w:r>
      <w:proofErr w:type="spellStart"/>
      <w:r w:rsidRPr="00F34B81">
        <w:rPr>
          <w:rFonts w:cs="Arial"/>
          <w:lang w:val="en-US"/>
        </w:rPr>
        <w:t>tonne</w:t>
      </w:r>
      <w:proofErr w:type="spellEnd"/>
      <w:r w:rsidRPr="00F34B81">
        <w:rPr>
          <w:rFonts w:cs="Arial"/>
          <w:lang w:val="en-US"/>
        </w:rPr>
        <w:t xml:space="preserve"> of CO</w:t>
      </w:r>
      <w:r w:rsidRPr="001748CE">
        <w:rPr>
          <w:rFonts w:cs="Arial"/>
          <w:vertAlign w:val="subscript"/>
          <w:lang w:val="en-US"/>
        </w:rPr>
        <w:t>2</w:t>
      </w:r>
      <w:r w:rsidRPr="00F34B81">
        <w:rPr>
          <w:rFonts w:cs="Arial"/>
          <w:lang w:val="en-US"/>
        </w:rPr>
        <w:t xml:space="preserve"> calculated in connection with the quarterly invoicing, i.e. the </w:t>
      </w:r>
      <w:r>
        <w:rPr>
          <w:rFonts w:cs="Arial"/>
          <w:lang w:val="en-US"/>
        </w:rPr>
        <w:t>applicable tax rate at the time of invoicing</w:t>
      </w:r>
      <w:r w:rsidRPr="00F34B81">
        <w:rPr>
          <w:rFonts w:cs="Arial"/>
          <w:lang w:val="en-US"/>
        </w:rPr>
        <w:t xml:space="preserve"> and a Forecast Fossil </w:t>
      </w:r>
      <w:r>
        <w:rPr>
          <w:rFonts w:cs="Arial"/>
          <w:lang w:val="en-US"/>
        </w:rPr>
        <w:t>Tax</w:t>
      </w:r>
      <w:r w:rsidRPr="00F34B81">
        <w:rPr>
          <w:rFonts w:cs="Arial"/>
          <w:lang w:val="en-US"/>
        </w:rPr>
        <w:t xml:space="preserve"> Fraction. </w:t>
      </w:r>
    </w:p>
    <w:p w14:paraId="13023D13" w14:textId="77777777" w:rsidR="00E71FF2" w:rsidRDefault="00E71FF2" w:rsidP="00E71FF2">
      <w:pPr>
        <w:rPr>
          <w:rFonts w:cs="Arial"/>
          <w:lang w:val="en-US"/>
        </w:rPr>
      </w:pPr>
    </w:p>
    <w:p w14:paraId="57EDB6F3" w14:textId="6D223143" w:rsidR="00E71FF2" w:rsidRPr="00F34B81" w:rsidRDefault="00E71FF2" w:rsidP="00E71FF2">
      <w:pPr>
        <w:rPr>
          <w:rFonts w:cs="Arial"/>
          <w:lang w:val="en-US"/>
        </w:rPr>
      </w:pPr>
      <w:r w:rsidRPr="00F34B81">
        <w:rPr>
          <w:rFonts w:cs="Arial"/>
          <w:lang w:val="en-US"/>
        </w:rPr>
        <w:t xml:space="preserve">The adjustment mechanisms </w:t>
      </w:r>
      <w:r>
        <w:rPr>
          <w:rFonts w:cs="Arial"/>
          <w:lang w:val="en-US"/>
        </w:rPr>
        <w:t>are</w:t>
      </w:r>
      <w:r w:rsidRPr="005B0D29">
        <w:rPr>
          <w:rFonts w:cs="Arial"/>
          <w:lang w:val="en-US"/>
        </w:rPr>
        <w:t xml:space="preserve"> further described in paragraph 1.</w:t>
      </w:r>
      <w:r>
        <w:rPr>
          <w:rFonts w:cs="Arial"/>
          <w:lang w:val="en-US"/>
        </w:rPr>
        <w:t>8</w:t>
      </w:r>
      <w:r w:rsidRPr="005B0D29">
        <w:rPr>
          <w:rFonts w:cs="Arial"/>
          <w:lang w:val="en-US"/>
        </w:rPr>
        <w:t xml:space="preserve"> and </w:t>
      </w:r>
      <w:r w:rsidRPr="001B72D6">
        <w:rPr>
          <w:rFonts w:cs="Arial"/>
          <w:lang w:val="en-US"/>
        </w:rPr>
        <w:fldChar w:fldCharType="begin"/>
      </w:r>
      <w:r w:rsidRPr="001B72D6">
        <w:rPr>
          <w:rFonts w:cs="Arial"/>
          <w:lang w:val="en-US"/>
        </w:rPr>
        <w:instrText xml:space="preserve"> REF _Ref168918926 \r \h </w:instrText>
      </w:r>
      <w:r>
        <w:rPr>
          <w:rFonts w:cs="Arial"/>
          <w:lang w:val="en-US"/>
        </w:rPr>
        <w:instrText xml:space="preserve"> \* MERGEFORMAT </w:instrText>
      </w:r>
      <w:r w:rsidRPr="001B72D6">
        <w:rPr>
          <w:rFonts w:cs="Arial"/>
          <w:lang w:val="en-US"/>
        </w:rPr>
      </w:r>
      <w:r w:rsidRPr="001B72D6">
        <w:rPr>
          <w:rFonts w:cs="Arial"/>
          <w:lang w:val="en-US"/>
        </w:rPr>
        <w:fldChar w:fldCharType="separate"/>
      </w:r>
      <w:r w:rsidR="001906DB">
        <w:rPr>
          <w:rFonts w:cs="Arial"/>
          <w:lang w:val="en-US"/>
        </w:rPr>
        <w:t>1.9</w:t>
      </w:r>
      <w:r w:rsidRPr="001B72D6">
        <w:rPr>
          <w:rFonts w:cs="Arial"/>
          <w:lang w:val="en-US"/>
        </w:rPr>
        <w:fldChar w:fldCharType="end"/>
      </w:r>
      <w:r w:rsidRPr="00F34B81">
        <w:rPr>
          <w:rFonts w:cs="Arial"/>
          <w:lang w:val="en-US"/>
        </w:rPr>
        <w:t>.</w:t>
      </w:r>
    </w:p>
    <w:p w14:paraId="55907931" w14:textId="77777777" w:rsidR="00E71FF2" w:rsidRPr="001B72D6" w:rsidRDefault="00E71FF2" w:rsidP="00E71FF2">
      <w:pPr>
        <w:rPr>
          <w:rFonts w:cs="Arial"/>
          <w:lang w:val="en-US"/>
        </w:rPr>
      </w:pPr>
      <w:bookmarkStart w:id="10" w:name="_Hlk168997624"/>
    </w:p>
    <w:bookmarkEnd w:id="10"/>
    <w:p w14:paraId="228642BD" w14:textId="77777777" w:rsidR="00E71FF2" w:rsidRPr="001B72D6" w:rsidRDefault="00E71FF2" w:rsidP="00E71FF2">
      <w:pPr>
        <w:rPr>
          <w:rFonts w:cs="Arial"/>
          <w:lang w:val="en-US"/>
        </w:rPr>
      </w:pPr>
    </w:p>
    <w:p w14:paraId="13BB22C1" w14:textId="77777777" w:rsidR="00E71FF2" w:rsidRPr="001B72D6" w:rsidRDefault="00E71FF2" w:rsidP="00BD2A74">
      <w:pPr>
        <w:pStyle w:val="Heading2"/>
        <w:keepLines w:val="0"/>
        <w:numPr>
          <w:ilvl w:val="1"/>
          <w:numId w:val="15"/>
        </w:numPr>
        <w:overflowPunct w:val="0"/>
        <w:autoSpaceDE w:val="0"/>
        <w:autoSpaceDN w:val="0"/>
        <w:adjustRightInd w:val="0"/>
        <w:spacing w:before="0" w:after="300" w:line="312" w:lineRule="auto"/>
        <w:jc w:val="both"/>
        <w:textAlignment w:val="baseline"/>
        <w:rPr>
          <w:rFonts w:ascii="Arial" w:hAnsi="Arial" w:cs="Arial"/>
          <w:lang w:val="en-US"/>
        </w:rPr>
      </w:pPr>
      <w:r w:rsidRPr="001B72D6">
        <w:rPr>
          <w:rFonts w:ascii="Arial" w:hAnsi="Arial" w:cs="Arial"/>
          <w:lang w:val="en-US"/>
        </w:rPr>
        <w:t>Adjustments regarding carbon credits related to the Storage of CO</w:t>
      </w:r>
      <w:r w:rsidRPr="00346834">
        <w:rPr>
          <w:rFonts w:ascii="Arial" w:hAnsi="Arial" w:cs="Arial"/>
          <w:vertAlign w:val="subscript"/>
          <w:lang w:val="en-US"/>
        </w:rPr>
        <w:t>2</w:t>
      </w:r>
      <w:r w:rsidRPr="001B72D6">
        <w:rPr>
          <w:rFonts w:ascii="Arial" w:hAnsi="Arial" w:cs="Arial"/>
          <w:lang w:val="en-US"/>
        </w:rPr>
        <w:t xml:space="preserve">   </w:t>
      </w:r>
    </w:p>
    <w:p w14:paraId="0D3114A4" w14:textId="71F9D9B5" w:rsidR="00E71FF2" w:rsidRPr="001B72D6" w:rsidRDefault="00E71FF2" w:rsidP="00E71FF2">
      <w:pPr>
        <w:rPr>
          <w:rFonts w:cs="Arial"/>
          <w:lang w:val="en-US"/>
        </w:rPr>
      </w:pPr>
      <w:r w:rsidRPr="001B72D6">
        <w:rPr>
          <w:rFonts w:cs="Arial"/>
          <w:lang w:val="en-US"/>
        </w:rPr>
        <w:t xml:space="preserve">The tenderer is </w:t>
      </w:r>
      <w:r>
        <w:rPr>
          <w:rFonts w:cs="Arial"/>
          <w:lang w:val="en-US"/>
        </w:rPr>
        <w:t>assumed</w:t>
      </w:r>
      <w:r w:rsidRPr="001B72D6">
        <w:rPr>
          <w:rFonts w:cs="Arial"/>
          <w:lang w:val="en-US"/>
        </w:rPr>
        <w:t xml:space="preserve"> to reduce the need for subsidy by</w:t>
      </w:r>
      <w:r w:rsidR="00471375">
        <w:rPr>
          <w:rFonts w:cs="Arial"/>
          <w:lang w:val="en-US"/>
        </w:rPr>
        <w:t xml:space="preserve"> </w:t>
      </w:r>
      <w:proofErr w:type="gramStart"/>
      <w:r w:rsidR="00471375">
        <w:rPr>
          <w:rFonts w:cs="Arial"/>
          <w:lang w:val="en-US"/>
        </w:rPr>
        <w:t>taking into account</w:t>
      </w:r>
      <w:proofErr w:type="gramEnd"/>
      <w:r w:rsidRPr="001B72D6">
        <w:rPr>
          <w:rFonts w:cs="Arial"/>
          <w:lang w:val="en-US"/>
        </w:rPr>
        <w:t xml:space="preserve"> income generated by carbon credits related to the Storage of </w:t>
      </w:r>
      <w:r w:rsidR="004235BC">
        <w:rPr>
          <w:rFonts w:cs="Arial"/>
          <w:lang w:val="en-US"/>
        </w:rPr>
        <w:t xml:space="preserve">biogenic </w:t>
      </w:r>
      <w:r w:rsidRPr="001B72D6">
        <w:rPr>
          <w:rFonts w:cs="Arial"/>
          <w:lang w:val="en-US"/>
        </w:rPr>
        <w:t>CO</w:t>
      </w:r>
      <w:r w:rsidRPr="001748CE">
        <w:rPr>
          <w:rFonts w:cs="Arial"/>
          <w:vertAlign w:val="subscript"/>
          <w:lang w:val="en-US"/>
        </w:rPr>
        <w:t>2</w:t>
      </w:r>
      <w:r w:rsidRPr="001B72D6">
        <w:rPr>
          <w:rFonts w:cs="Arial"/>
          <w:lang w:val="en-US"/>
        </w:rPr>
        <w:t xml:space="preserve"> </w:t>
      </w:r>
      <w:r w:rsidR="00974FD7">
        <w:rPr>
          <w:rFonts w:cs="Arial"/>
          <w:lang w:val="en-US"/>
        </w:rPr>
        <w:t>and/or for atmospheric</w:t>
      </w:r>
      <w:r w:rsidR="00974FD7" w:rsidRPr="001B72D6">
        <w:rPr>
          <w:rFonts w:cs="Arial"/>
          <w:lang w:val="en-US"/>
        </w:rPr>
        <w:t xml:space="preserve"> CO</w:t>
      </w:r>
      <w:r w:rsidR="00974FD7" w:rsidRPr="00471375">
        <w:rPr>
          <w:rFonts w:cs="Arial"/>
          <w:vertAlign w:val="subscript"/>
          <w:lang w:val="en-US"/>
        </w:rPr>
        <w:t>2</w:t>
      </w:r>
      <w:r w:rsidR="00974FD7">
        <w:rPr>
          <w:rFonts w:cs="Arial"/>
          <w:vertAlign w:val="subscript"/>
          <w:lang w:val="en-US"/>
        </w:rPr>
        <w:t xml:space="preserve"> </w:t>
      </w:r>
      <w:r w:rsidRPr="001B72D6">
        <w:rPr>
          <w:rFonts w:cs="Arial"/>
          <w:lang w:val="en-US"/>
        </w:rPr>
        <w:t>when calculating the Offered Rate.</w:t>
      </w:r>
    </w:p>
    <w:p w14:paraId="2EF198D8" w14:textId="77777777" w:rsidR="00E71FF2" w:rsidRPr="001B72D6" w:rsidRDefault="00E71FF2" w:rsidP="00E71FF2">
      <w:pPr>
        <w:rPr>
          <w:rFonts w:cs="Arial"/>
          <w:lang w:val="en-US"/>
        </w:rPr>
      </w:pPr>
    </w:p>
    <w:p w14:paraId="058151F7" w14:textId="77777777" w:rsidR="00E71FF2" w:rsidRPr="001B72D6" w:rsidRDefault="00E71FF2" w:rsidP="00E71FF2">
      <w:pPr>
        <w:rPr>
          <w:rFonts w:cs="Arial"/>
          <w:lang w:val="en-US"/>
        </w:rPr>
      </w:pPr>
      <w:r w:rsidRPr="001B72D6">
        <w:rPr>
          <w:rFonts w:cs="Arial"/>
          <w:lang w:val="en-US"/>
        </w:rPr>
        <w:t xml:space="preserve">The tenderer shall provide information in the offer on such income that the tenderer has </w:t>
      </w:r>
      <w:proofErr w:type="gramStart"/>
      <w:r w:rsidRPr="001B72D6">
        <w:rPr>
          <w:rFonts w:cs="Arial"/>
          <w:lang w:val="en-US"/>
        </w:rPr>
        <w:t>taken into account</w:t>
      </w:r>
      <w:proofErr w:type="gramEnd"/>
      <w:r w:rsidRPr="001B72D6">
        <w:rPr>
          <w:rFonts w:cs="Arial"/>
          <w:lang w:val="en-US"/>
        </w:rPr>
        <w:t xml:space="preserve"> when calculating the Offered Rate, e.g. income based on concluded agreements and/or a reservation corresponding to expectations to future agreements (</w:t>
      </w:r>
      <w:bookmarkStart w:id="11" w:name="_Hlk168998836"/>
      <w:r w:rsidRPr="001B72D6">
        <w:rPr>
          <w:rFonts w:cs="Arial"/>
          <w:lang w:val="en-US"/>
        </w:rPr>
        <w:t>Baseline Carbon Credits Income</w:t>
      </w:r>
      <w:bookmarkEnd w:id="11"/>
      <w:r w:rsidRPr="001B72D6">
        <w:rPr>
          <w:rFonts w:cs="Arial"/>
          <w:lang w:val="en-US"/>
        </w:rPr>
        <w:t xml:space="preserve">). </w:t>
      </w:r>
    </w:p>
    <w:p w14:paraId="18EB882F" w14:textId="77777777" w:rsidR="00E71FF2" w:rsidRPr="001B72D6" w:rsidRDefault="00E71FF2" w:rsidP="00E71FF2">
      <w:pPr>
        <w:rPr>
          <w:rFonts w:cs="Arial"/>
          <w:lang w:val="en-US"/>
        </w:rPr>
      </w:pPr>
    </w:p>
    <w:p w14:paraId="1ED44306" w14:textId="77777777" w:rsidR="00E71FF2" w:rsidRPr="001B72D6" w:rsidRDefault="00E71FF2" w:rsidP="00E71FF2">
      <w:pPr>
        <w:rPr>
          <w:rFonts w:cs="Arial"/>
          <w:lang w:val="en-US"/>
        </w:rPr>
      </w:pPr>
      <w:r w:rsidRPr="001B72D6">
        <w:rPr>
          <w:rFonts w:cs="Arial"/>
          <w:lang w:val="en-US"/>
        </w:rPr>
        <w:lastRenderedPageBreak/>
        <w:t xml:space="preserve">Any income in excess of the Baseline Carbon Credits Income specified in the offer will result in a reduction of the subsidy. 90 % of such excess income will be included in the reduction of the subsidy. </w:t>
      </w:r>
    </w:p>
    <w:p w14:paraId="501C0FC0" w14:textId="77777777" w:rsidR="00E71FF2" w:rsidRPr="001B72D6" w:rsidRDefault="00E71FF2" w:rsidP="00E71FF2">
      <w:pPr>
        <w:rPr>
          <w:rFonts w:cs="Arial"/>
          <w:lang w:val="en-US"/>
        </w:rPr>
      </w:pPr>
    </w:p>
    <w:p w14:paraId="5F951908" w14:textId="77777777" w:rsidR="00E71FF2" w:rsidRPr="001B72D6" w:rsidRDefault="00E71FF2" w:rsidP="00E71FF2">
      <w:pPr>
        <w:rPr>
          <w:rFonts w:cs="Arial"/>
          <w:lang w:val="en-US"/>
        </w:rPr>
      </w:pPr>
      <w:r w:rsidRPr="001B72D6">
        <w:rPr>
          <w:rFonts w:cs="Arial"/>
          <w:lang w:val="en-US"/>
        </w:rPr>
        <w:t>The adjustments will be made by the DEA in connection with the quarterly invoicing and a final settlement</w:t>
      </w:r>
      <w:r>
        <w:rPr>
          <w:rFonts w:cs="Arial"/>
          <w:lang w:val="en-US"/>
        </w:rPr>
        <w:t xml:space="preserve"> as further described in</w:t>
      </w:r>
      <w:r w:rsidRPr="001B72D6">
        <w:rPr>
          <w:rFonts w:cs="Arial"/>
          <w:lang w:val="en-US"/>
        </w:rPr>
        <w:t xml:space="preserve"> paragraphs 1.9 and 1.10.</w:t>
      </w:r>
    </w:p>
    <w:p w14:paraId="75EE3167" w14:textId="77777777" w:rsidR="00E71FF2" w:rsidRPr="001B72D6" w:rsidRDefault="00E71FF2" w:rsidP="00E71FF2">
      <w:pPr>
        <w:rPr>
          <w:rFonts w:cs="Arial"/>
          <w:lang w:val="en-US"/>
        </w:rPr>
      </w:pPr>
    </w:p>
    <w:p w14:paraId="4DEA3307" w14:textId="143BBE60" w:rsidR="00E71FF2" w:rsidRPr="001B72D6" w:rsidRDefault="00E71FF2" w:rsidP="00850DEC">
      <w:pPr>
        <w:pStyle w:val="Heading2"/>
        <w:keepLines w:val="0"/>
        <w:numPr>
          <w:ilvl w:val="1"/>
          <w:numId w:val="15"/>
        </w:numPr>
        <w:overflowPunct w:val="0"/>
        <w:autoSpaceDE w:val="0"/>
        <w:autoSpaceDN w:val="0"/>
        <w:adjustRightInd w:val="0"/>
        <w:spacing w:before="0" w:after="300" w:line="312" w:lineRule="auto"/>
        <w:textAlignment w:val="baseline"/>
        <w:rPr>
          <w:rFonts w:ascii="Arial" w:hAnsi="Arial" w:cs="Arial"/>
          <w:lang w:val="en-US"/>
        </w:rPr>
      </w:pPr>
      <w:bookmarkStart w:id="12" w:name="_Ref168918858"/>
      <w:bookmarkStart w:id="13" w:name="_Ref169005042"/>
      <w:r w:rsidRPr="001B72D6">
        <w:rPr>
          <w:rFonts w:ascii="Arial" w:hAnsi="Arial" w:cs="Arial"/>
          <w:lang w:val="en-US"/>
        </w:rPr>
        <w:t>Adjustments regarding biogenic</w:t>
      </w:r>
      <w:r>
        <w:rPr>
          <w:rFonts w:ascii="Arial" w:hAnsi="Arial" w:cs="Arial"/>
          <w:lang w:val="en-US"/>
        </w:rPr>
        <w:t xml:space="preserve"> </w:t>
      </w:r>
      <w:r w:rsidRPr="001B72D6">
        <w:rPr>
          <w:rFonts w:ascii="Arial" w:hAnsi="Arial" w:cs="Arial"/>
          <w:lang w:val="en-US"/>
        </w:rPr>
        <w:t>CO</w:t>
      </w:r>
      <w:r w:rsidRPr="00471375">
        <w:rPr>
          <w:rFonts w:ascii="Arial" w:hAnsi="Arial" w:cs="Arial"/>
          <w:vertAlign w:val="subscript"/>
          <w:lang w:val="en-US"/>
        </w:rPr>
        <w:t>2</w:t>
      </w:r>
      <w:r w:rsidRPr="001B72D6">
        <w:rPr>
          <w:rFonts w:ascii="Arial" w:hAnsi="Arial" w:cs="Arial"/>
          <w:lang w:val="en-US"/>
        </w:rPr>
        <w:t xml:space="preserve"> i</w:t>
      </w:r>
      <w:r w:rsidR="00471375">
        <w:rPr>
          <w:rFonts w:ascii="Arial" w:hAnsi="Arial" w:cs="Arial"/>
          <w:lang w:val="en-US"/>
        </w:rPr>
        <w:t>n relation to EU Emissions Trading</w:t>
      </w:r>
      <w:r w:rsidRPr="001B72D6">
        <w:rPr>
          <w:rFonts w:ascii="Arial" w:hAnsi="Arial" w:cs="Arial"/>
          <w:lang w:val="en-US"/>
        </w:rPr>
        <w:t xml:space="preserve"> Scheme or similar</w:t>
      </w:r>
      <w:bookmarkEnd w:id="12"/>
      <w:r w:rsidRPr="001B72D6">
        <w:rPr>
          <w:rFonts w:ascii="Arial" w:hAnsi="Arial" w:cs="Arial"/>
          <w:lang w:val="en-US"/>
        </w:rPr>
        <w:t xml:space="preserve"> EU-mandated trad</w:t>
      </w:r>
      <w:r w:rsidR="00471375">
        <w:rPr>
          <w:rFonts w:ascii="Arial" w:hAnsi="Arial" w:cs="Arial"/>
          <w:lang w:val="en-US"/>
        </w:rPr>
        <w:t>ing</w:t>
      </w:r>
      <w:r w:rsidRPr="001B72D6">
        <w:rPr>
          <w:rFonts w:ascii="Arial" w:hAnsi="Arial" w:cs="Arial"/>
          <w:lang w:val="en-US"/>
        </w:rPr>
        <w:t xml:space="preserve"> scheme</w:t>
      </w:r>
      <w:bookmarkEnd w:id="13"/>
    </w:p>
    <w:p w14:paraId="2CB48210" w14:textId="7F35BE1B" w:rsidR="00E71FF2" w:rsidRPr="001B72D6" w:rsidRDefault="00E71FF2" w:rsidP="00E71FF2">
      <w:pPr>
        <w:rPr>
          <w:rFonts w:cs="Arial"/>
          <w:lang w:val="en-US"/>
        </w:rPr>
      </w:pPr>
      <w:r w:rsidRPr="001B72D6">
        <w:rPr>
          <w:rFonts w:cs="Arial"/>
          <w:lang w:val="en-US"/>
        </w:rPr>
        <w:t xml:space="preserve">The </w:t>
      </w:r>
      <w:r>
        <w:rPr>
          <w:rFonts w:cs="Arial"/>
          <w:lang w:val="en-US"/>
        </w:rPr>
        <w:t>s</w:t>
      </w:r>
      <w:r w:rsidRPr="001B72D6">
        <w:rPr>
          <w:rFonts w:cs="Arial"/>
          <w:lang w:val="en-US"/>
        </w:rPr>
        <w:t>ubsidy will be subject to a reduction if future legislation entails that partici</w:t>
      </w:r>
      <w:r w:rsidR="00471375">
        <w:rPr>
          <w:rFonts w:cs="Arial"/>
          <w:lang w:val="en-US"/>
        </w:rPr>
        <w:t>pation in the EU Emissions Trading</w:t>
      </w:r>
      <w:r w:rsidRPr="001B72D6">
        <w:rPr>
          <w:rFonts w:cs="Arial"/>
          <w:lang w:val="en-US"/>
        </w:rPr>
        <w:t xml:space="preserve"> Scheme (ETS)</w:t>
      </w:r>
      <w:r w:rsidR="00471375">
        <w:rPr>
          <w:rFonts w:cs="Arial"/>
          <w:lang w:val="en-US"/>
        </w:rPr>
        <w:t>, or a similar EU-mandated trading</w:t>
      </w:r>
      <w:r w:rsidRPr="001B72D6">
        <w:rPr>
          <w:rFonts w:cs="Arial"/>
          <w:lang w:val="en-US"/>
        </w:rPr>
        <w:t xml:space="preserve"> scheme, become</w:t>
      </w:r>
      <w:r w:rsidR="00471375">
        <w:rPr>
          <w:rFonts w:cs="Arial"/>
          <w:lang w:val="en-US"/>
        </w:rPr>
        <w:t>s</w:t>
      </w:r>
      <w:r w:rsidRPr="001B72D6">
        <w:rPr>
          <w:rFonts w:cs="Arial"/>
          <w:lang w:val="en-US"/>
        </w:rPr>
        <w:t xml:space="preserve"> mandatory for emitters of biogenic</w:t>
      </w:r>
      <w:r>
        <w:rPr>
          <w:rFonts w:cs="Arial"/>
          <w:lang w:val="en-US"/>
        </w:rPr>
        <w:t xml:space="preserve"> CO</w:t>
      </w:r>
      <w:r w:rsidRPr="00471375">
        <w:rPr>
          <w:rFonts w:cs="Arial"/>
          <w:vertAlign w:val="subscript"/>
          <w:lang w:val="en-US"/>
        </w:rPr>
        <w:t>2</w:t>
      </w:r>
      <w:r w:rsidRPr="001B72D6">
        <w:rPr>
          <w:rFonts w:cs="Arial"/>
          <w:lang w:val="en-US"/>
        </w:rPr>
        <w:t>. Such reduction is applied if:</w:t>
      </w:r>
    </w:p>
    <w:p w14:paraId="23EE7695" w14:textId="77777777" w:rsidR="00E71FF2" w:rsidRPr="001B72D6" w:rsidRDefault="00E71FF2" w:rsidP="00E71FF2">
      <w:pPr>
        <w:rPr>
          <w:rFonts w:cs="Arial"/>
          <w:lang w:val="en-US"/>
        </w:rPr>
      </w:pPr>
    </w:p>
    <w:p w14:paraId="0E47F2A5" w14:textId="77777777" w:rsidR="00E71FF2" w:rsidRPr="001B72D6" w:rsidRDefault="00E71FF2" w:rsidP="00BD2A74">
      <w:pPr>
        <w:pStyle w:val="ListParagraph"/>
        <w:numPr>
          <w:ilvl w:val="0"/>
          <w:numId w:val="21"/>
        </w:numPr>
        <w:spacing w:line="312" w:lineRule="auto"/>
        <w:jc w:val="both"/>
        <w:rPr>
          <w:rFonts w:cs="Arial"/>
          <w:lang w:val="en-US"/>
        </w:rPr>
      </w:pPr>
      <w:r w:rsidRPr="001B72D6">
        <w:rPr>
          <w:rFonts w:cs="Arial"/>
          <w:lang w:val="en-US"/>
        </w:rPr>
        <w:t>The emission of biogenic CO</w:t>
      </w:r>
      <w:r w:rsidRPr="00471375">
        <w:rPr>
          <w:rFonts w:cs="Arial"/>
          <w:vertAlign w:val="subscript"/>
          <w:lang w:val="en-US"/>
        </w:rPr>
        <w:t>2</w:t>
      </w:r>
      <w:r w:rsidRPr="001B72D6">
        <w:rPr>
          <w:rFonts w:cs="Arial"/>
          <w:lang w:val="en-US"/>
        </w:rPr>
        <w:t xml:space="preserve"> from the point source that the Carbon Capture Plant encompassed by the contract is based on will require allowances that are transferable and that can either be awarded to the Operator or purchased by the Operator (or another entity that the Operator bases the performance of the contract on); and</w:t>
      </w:r>
    </w:p>
    <w:p w14:paraId="79346679" w14:textId="77777777" w:rsidR="00E71FF2" w:rsidRPr="001B72D6" w:rsidRDefault="00E71FF2" w:rsidP="00BD2A74">
      <w:pPr>
        <w:pStyle w:val="ListParagraph"/>
        <w:numPr>
          <w:ilvl w:val="0"/>
          <w:numId w:val="21"/>
        </w:numPr>
        <w:spacing w:line="312" w:lineRule="auto"/>
        <w:jc w:val="both"/>
        <w:rPr>
          <w:rFonts w:cs="Arial"/>
          <w:lang w:val="en-US"/>
        </w:rPr>
      </w:pPr>
      <w:r w:rsidRPr="001B72D6">
        <w:rPr>
          <w:rFonts w:cs="Arial"/>
          <w:lang w:val="en-US"/>
        </w:rPr>
        <w:t>The Storage of CO</w:t>
      </w:r>
      <w:r w:rsidRPr="00514DEB">
        <w:rPr>
          <w:rFonts w:cs="Arial"/>
          <w:vertAlign w:val="subscript"/>
          <w:lang w:val="en-US"/>
        </w:rPr>
        <w:t>2</w:t>
      </w:r>
      <w:r w:rsidRPr="001B72D6">
        <w:rPr>
          <w:rFonts w:cs="Arial"/>
          <w:lang w:val="en-US"/>
        </w:rPr>
        <w:t xml:space="preserve"> under the Contract consequently can result in a reduced cost, or an income generated by the Storage of Delivered Quantity.</w:t>
      </w:r>
    </w:p>
    <w:p w14:paraId="6A4C3B8C" w14:textId="77777777" w:rsidR="00E71FF2" w:rsidRPr="001B72D6" w:rsidRDefault="00E71FF2" w:rsidP="00E71FF2">
      <w:pPr>
        <w:rPr>
          <w:rFonts w:cs="Arial"/>
          <w:lang w:val="en-US"/>
        </w:rPr>
      </w:pPr>
    </w:p>
    <w:p w14:paraId="099552FD" w14:textId="571DBE17" w:rsidR="00E71FF2" w:rsidRPr="001B72D6" w:rsidRDefault="007B1B11" w:rsidP="00E71FF2">
      <w:pPr>
        <w:rPr>
          <w:rFonts w:cs="Arial"/>
          <w:lang w:val="en-US"/>
        </w:rPr>
      </w:pPr>
      <w:r>
        <w:rPr>
          <w:rFonts w:cs="Arial"/>
          <w:lang w:val="en-US"/>
        </w:rPr>
        <w:t>T</w:t>
      </w:r>
      <w:r w:rsidR="00E71FF2" w:rsidRPr="001B72D6">
        <w:rPr>
          <w:rFonts w:cs="Arial"/>
          <w:lang w:val="en-US"/>
        </w:rPr>
        <w:t xml:space="preserve">he market value of the allowances </w:t>
      </w:r>
      <w:r w:rsidR="008F69E9">
        <w:rPr>
          <w:rFonts w:cs="Arial"/>
          <w:lang w:val="en-US"/>
        </w:rPr>
        <w:t>will be</w:t>
      </w:r>
      <w:r w:rsidR="00E71FF2" w:rsidRPr="001B72D6">
        <w:rPr>
          <w:rFonts w:cs="Arial"/>
          <w:lang w:val="en-US"/>
        </w:rPr>
        <w:t xml:space="preserve"> based on prices on CBAM certificates per </w:t>
      </w:r>
      <w:proofErr w:type="spellStart"/>
      <w:r w:rsidR="00E71FF2" w:rsidRPr="001B72D6">
        <w:rPr>
          <w:rFonts w:cs="Arial"/>
          <w:lang w:val="en-US"/>
        </w:rPr>
        <w:t>tonne</w:t>
      </w:r>
      <w:proofErr w:type="spellEnd"/>
      <w:r w:rsidR="00514DEB">
        <w:rPr>
          <w:rFonts w:cs="Arial"/>
          <w:lang w:val="en-US"/>
        </w:rPr>
        <w:t xml:space="preserve"> (cf. section </w:t>
      </w:r>
      <w:r w:rsidR="00514DEB">
        <w:rPr>
          <w:rFonts w:cs="Arial"/>
          <w:lang w:val="en-US"/>
        </w:rPr>
        <w:fldChar w:fldCharType="begin"/>
      </w:r>
      <w:r w:rsidR="00514DEB">
        <w:rPr>
          <w:rFonts w:cs="Arial"/>
          <w:lang w:val="en-US"/>
        </w:rPr>
        <w:instrText xml:space="preserve"> REF _Ref169704146 \r \h </w:instrText>
      </w:r>
      <w:r w:rsidR="00514DEB">
        <w:rPr>
          <w:rFonts w:cs="Arial"/>
          <w:lang w:val="en-US"/>
        </w:rPr>
      </w:r>
      <w:r w:rsidR="00514DEB">
        <w:rPr>
          <w:rFonts w:cs="Arial"/>
          <w:lang w:val="en-US"/>
        </w:rPr>
        <w:fldChar w:fldCharType="separate"/>
      </w:r>
      <w:r w:rsidR="001906DB">
        <w:rPr>
          <w:rFonts w:cs="Arial"/>
          <w:lang w:val="en-US"/>
        </w:rPr>
        <w:t>1.3.1</w:t>
      </w:r>
      <w:r w:rsidR="00514DEB">
        <w:rPr>
          <w:rFonts w:cs="Arial"/>
          <w:lang w:val="en-US"/>
        </w:rPr>
        <w:fldChar w:fldCharType="end"/>
      </w:r>
      <w:r w:rsidR="00514DEB">
        <w:rPr>
          <w:rFonts w:cs="Arial"/>
          <w:lang w:val="en-US"/>
        </w:rPr>
        <w:t>)</w:t>
      </w:r>
      <w:r>
        <w:rPr>
          <w:rFonts w:cs="Arial"/>
          <w:lang w:val="en-US"/>
        </w:rPr>
        <w:t xml:space="preserve"> if </w:t>
      </w:r>
      <w:r w:rsidR="008F69E9" w:rsidRPr="008F69E9">
        <w:rPr>
          <w:rFonts w:cs="Arial"/>
          <w:lang w:val="en-US"/>
        </w:rPr>
        <w:t xml:space="preserve">the prices on CBAM certificates are </w:t>
      </w:r>
      <w:r>
        <w:rPr>
          <w:rFonts w:cs="Arial"/>
          <w:lang w:val="en-US"/>
        </w:rPr>
        <w:t>applicable</w:t>
      </w:r>
      <w:r w:rsidR="008F69E9" w:rsidRPr="008F69E9">
        <w:rPr>
          <w:rFonts w:cs="Arial"/>
          <w:lang w:val="en-US"/>
        </w:rPr>
        <w:t xml:space="preserve"> to biogenic CO</w:t>
      </w:r>
      <w:r w:rsidR="008F69E9" w:rsidRPr="004C2FF7">
        <w:rPr>
          <w:rFonts w:cs="Arial"/>
          <w:vertAlign w:val="subscript"/>
          <w:lang w:val="en-US"/>
        </w:rPr>
        <w:t>2</w:t>
      </w:r>
      <w:r w:rsidR="008F69E9" w:rsidRPr="008F69E9">
        <w:rPr>
          <w:rFonts w:cs="Arial"/>
          <w:lang w:val="en-US"/>
        </w:rPr>
        <w:t xml:space="preserve">, or </w:t>
      </w:r>
      <w:r w:rsidR="00E71FF2" w:rsidRPr="001B72D6">
        <w:rPr>
          <w:rFonts w:cs="Arial"/>
          <w:lang w:val="en-US"/>
        </w:rPr>
        <w:t>a similar certificate price related to biogenic CO</w:t>
      </w:r>
      <w:r w:rsidR="00E71FF2" w:rsidRPr="004C2FF7">
        <w:rPr>
          <w:rFonts w:cs="Arial"/>
          <w:vertAlign w:val="subscript"/>
          <w:lang w:val="en-US"/>
        </w:rPr>
        <w:t>2</w:t>
      </w:r>
      <w:r w:rsidR="00E71FF2" w:rsidRPr="001B72D6">
        <w:rPr>
          <w:rFonts w:cs="Arial"/>
          <w:lang w:val="en-US"/>
        </w:rPr>
        <w:t xml:space="preserve"> calculated by the European Commission. </w:t>
      </w:r>
      <w:r w:rsidR="008F69E9">
        <w:rPr>
          <w:rFonts w:cs="Arial"/>
          <w:lang w:val="en-US"/>
        </w:rPr>
        <w:t>In this case, t</w:t>
      </w:r>
      <w:r w:rsidR="00E71FF2" w:rsidRPr="001B72D6">
        <w:rPr>
          <w:rFonts w:cs="Arial"/>
          <w:lang w:val="en-US"/>
        </w:rPr>
        <w:t>he market value of the allowances will be calculated as the average price of the CBAM prices or similar certificate prices published by the European Commission in the quarter subject to invoicing</w:t>
      </w:r>
      <w:r>
        <w:rPr>
          <w:rFonts w:cs="Arial"/>
          <w:lang w:val="en-US"/>
        </w:rPr>
        <w:t>.</w:t>
      </w:r>
      <w:r w:rsidR="00E71FF2">
        <w:rPr>
          <w:rStyle w:val="FootnoteReference"/>
          <w:rFonts w:cs="Arial"/>
        </w:rPr>
        <w:footnoteReference w:id="8"/>
      </w:r>
      <w:r w:rsidR="00E71FF2" w:rsidRPr="001B72D6">
        <w:rPr>
          <w:rFonts w:cs="Arial"/>
          <w:lang w:val="en-US"/>
        </w:rPr>
        <w:t xml:space="preserve"> </w:t>
      </w:r>
    </w:p>
    <w:p w14:paraId="409D6151" w14:textId="77777777" w:rsidR="00E71FF2" w:rsidRPr="001B72D6" w:rsidRDefault="00E71FF2" w:rsidP="00E71FF2">
      <w:pPr>
        <w:rPr>
          <w:rFonts w:cs="Arial"/>
          <w:lang w:val="en-US"/>
        </w:rPr>
      </w:pPr>
    </w:p>
    <w:p w14:paraId="70AB3D1C" w14:textId="21E2ED35" w:rsidR="00E71FF2" w:rsidRPr="001B72D6" w:rsidRDefault="00E71FF2" w:rsidP="00E71FF2">
      <w:pPr>
        <w:rPr>
          <w:rFonts w:cs="Arial"/>
          <w:lang w:val="en-US"/>
        </w:rPr>
      </w:pPr>
      <w:r w:rsidRPr="001B72D6">
        <w:rPr>
          <w:rFonts w:cs="Arial"/>
          <w:lang w:val="en-US"/>
        </w:rPr>
        <w:t xml:space="preserve">If the prices on CBAM certificates per </w:t>
      </w:r>
      <w:proofErr w:type="spellStart"/>
      <w:r w:rsidRPr="001B72D6">
        <w:rPr>
          <w:rFonts w:cs="Arial"/>
          <w:lang w:val="en-US"/>
        </w:rPr>
        <w:t>tonne</w:t>
      </w:r>
      <w:proofErr w:type="spellEnd"/>
      <w:r w:rsidRPr="001B72D6">
        <w:rPr>
          <w:rFonts w:cs="Arial"/>
          <w:lang w:val="en-US"/>
        </w:rPr>
        <w:t xml:space="preserve"> are not applicable to biogenic CO</w:t>
      </w:r>
      <w:r w:rsidRPr="006F5B70">
        <w:rPr>
          <w:rFonts w:cs="Arial"/>
          <w:vertAlign w:val="subscript"/>
          <w:lang w:val="en-US"/>
        </w:rPr>
        <w:t>2</w:t>
      </w:r>
      <w:r w:rsidRPr="001B72D6">
        <w:rPr>
          <w:rFonts w:cs="Arial"/>
          <w:lang w:val="en-US"/>
        </w:rPr>
        <w:t>, or a similar certificate price related to biogenic CO</w:t>
      </w:r>
      <w:r w:rsidRPr="007B1B11">
        <w:rPr>
          <w:rFonts w:cs="Arial"/>
          <w:vertAlign w:val="subscript"/>
          <w:lang w:val="en-US"/>
        </w:rPr>
        <w:t>2</w:t>
      </w:r>
      <w:r w:rsidRPr="001B72D6">
        <w:rPr>
          <w:rFonts w:cs="Arial"/>
          <w:lang w:val="en-US"/>
        </w:rPr>
        <w:t xml:space="preserve"> is not calculated by the European Commission, </w:t>
      </w:r>
      <w:r>
        <w:rPr>
          <w:rFonts w:cs="Arial"/>
          <w:lang w:val="en-US"/>
        </w:rPr>
        <w:t>the</w:t>
      </w:r>
      <w:r w:rsidRPr="001B72D6">
        <w:rPr>
          <w:rFonts w:cs="Arial"/>
          <w:lang w:val="en-US"/>
        </w:rPr>
        <w:t xml:space="preserve"> market value will then be calculated on the basis of an average closing price for futures contracts between 20. September to 20. December in the year prior to the year subject to adjustment</w:t>
      </w:r>
      <w:r w:rsidR="007B1B11">
        <w:rPr>
          <w:rFonts w:cs="Arial"/>
          <w:lang w:val="en-US"/>
        </w:rPr>
        <w:t>.</w:t>
      </w:r>
      <w:r w:rsidRPr="001B72D6">
        <w:rPr>
          <w:rStyle w:val="FootnoteReference"/>
          <w:rFonts w:cs="Arial"/>
        </w:rPr>
        <w:footnoteReference w:id="9"/>
      </w:r>
      <w:r w:rsidRPr="001B72D6">
        <w:rPr>
          <w:rFonts w:cs="Arial"/>
          <w:lang w:val="en-US"/>
        </w:rPr>
        <w:t xml:space="preserve"> The price for futures contracts is obtained from the exchange/trading platform that on average had the largest volume of futures contracts in the specified timeframe.</w:t>
      </w:r>
    </w:p>
    <w:p w14:paraId="74544F75" w14:textId="77777777" w:rsidR="00E71FF2" w:rsidRPr="001B72D6" w:rsidRDefault="00E71FF2" w:rsidP="00E71FF2">
      <w:pPr>
        <w:rPr>
          <w:rFonts w:cs="Arial"/>
          <w:lang w:val="en-US"/>
        </w:rPr>
      </w:pPr>
    </w:p>
    <w:p w14:paraId="6179381C" w14:textId="77777777" w:rsidR="00E71FF2" w:rsidRPr="001B72D6" w:rsidRDefault="00E71FF2" w:rsidP="00E71FF2">
      <w:pPr>
        <w:rPr>
          <w:rFonts w:cs="Arial"/>
          <w:lang w:val="en-US"/>
        </w:rPr>
      </w:pPr>
      <w:r w:rsidRPr="001B72D6">
        <w:rPr>
          <w:rFonts w:cs="Arial"/>
          <w:lang w:val="en-US"/>
        </w:rPr>
        <w:t>The adjustment regarding allowances for biogenic CO</w:t>
      </w:r>
      <w:r w:rsidRPr="006F5B70">
        <w:rPr>
          <w:rFonts w:cs="Arial"/>
          <w:vertAlign w:val="subscript"/>
          <w:lang w:val="en-US"/>
        </w:rPr>
        <w:t>2</w:t>
      </w:r>
      <w:r w:rsidRPr="001B72D6">
        <w:rPr>
          <w:rFonts w:cs="Arial"/>
          <w:lang w:val="en-US"/>
        </w:rPr>
        <w:t xml:space="preserve"> will apply with the value of such allowances regardless of whether the Operator is an entity subject to such allowances or the Operator bases the performance of the contract on another entity subject to such allowances.</w:t>
      </w:r>
    </w:p>
    <w:p w14:paraId="026A66B6" w14:textId="77777777" w:rsidR="00E71FF2" w:rsidRPr="001B72D6" w:rsidRDefault="00E71FF2" w:rsidP="00E71FF2">
      <w:pPr>
        <w:rPr>
          <w:rFonts w:cs="Arial"/>
          <w:lang w:val="en-US"/>
        </w:rPr>
      </w:pPr>
    </w:p>
    <w:p w14:paraId="46F3141B" w14:textId="7BAE19E4" w:rsidR="00E71FF2" w:rsidRPr="001B72D6" w:rsidRDefault="00E71FF2" w:rsidP="00E71FF2">
      <w:pPr>
        <w:rPr>
          <w:rFonts w:cs="Arial"/>
          <w:lang w:val="en-US"/>
        </w:rPr>
      </w:pPr>
      <w:r w:rsidRPr="001B72D6">
        <w:rPr>
          <w:rFonts w:cs="Arial"/>
          <w:lang w:val="en-US"/>
        </w:rPr>
        <w:t xml:space="preserve">The adjustment will </w:t>
      </w:r>
      <w:proofErr w:type="gramStart"/>
      <w:r w:rsidRPr="001B72D6">
        <w:rPr>
          <w:rFonts w:cs="Arial"/>
          <w:lang w:val="en-US"/>
        </w:rPr>
        <w:t>take into account</w:t>
      </w:r>
      <w:proofErr w:type="gramEnd"/>
      <w:r w:rsidRPr="001B72D6">
        <w:rPr>
          <w:rFonts w:cs="Arial"/>
          <w:lang w:val="en-US"/>
        </w:rPr>
        <w:t xml:space="preserve"> the information in the offer of income generated by carbon credits related to the Storage of CO</w:t>
      </w:r>
      <w:r w:rsidRPr="006F5B70">
        <w:rPr>
          <w:rFonts w:cs="Arial"/>
          <w:vertAlign w:val="subscript"/>
          <w:lang w:val="en-US"/>
        </w:rPr>
        <w:t>2</w:t>
      </w:r>
      <w:r w:rsidRPr="001B72D6">
        <w:rPr>
          <w:rFonts w:cs="Arial"/>
          <w:lang w:val="en-US"/>
        </w:rPr>
        <w:t xml:space="preserve"> </w:t>
      </w:r>
      <w:r>
        <w:rPr>
          <w:rFonts w:cs="Arial"/>
          <w:lang w:val="en-US"/>
        </w:rPr>
        <w:t>as further described in</w:t>
      </w:r>
      <w:r w:rsidRPr="001B72D6">
        <w:rPr>
          <w:rFonts w:cs="Arial"/>
          <w:lang w:val="en-US"/>
        </w:rPr>
        <w:t xml:space="preserve"> paragraph </w:t>
      </w:r>
      <w:r w:rsidRPr="001B72D6">
        <w:rPr>
          <w:rFonts w:cs="Arial"/>
          <w:lang w:val="en-US"/>
        </w:rPr>
        <w:fldChar w:fldCharType="begin"/>
      </w:r>
      <w:r w:rsidRPr="001B72D6">
        <w:rPr>
          <w:rFonts w:cs="Arial"/>
          <w:lang w:val="en-US"/>
        </w:rPr>
        <w:instrText xml:space="preserve"> REF _Ref168918920 \r \h </w:instrText>
      </w:r>
      <w:r>
        <w:rPr>
          <w:rFonts w:cs="Arial"/>
          <w:lang w:val="en-US"/>
        </w:rPr>
        <w:instrText xml:space="preserve"> \* MERGEFORMAT </w:instrText>
      </w:r>
      <w:r w:rsidRPr="001B72D6">
        <w:rPr>
          <w:rFonts w:cs="Arial"/>
          <w:lang w:val="en-US"/>
        </w:rPr>
      </w:r>
      <w:r w:rsidRPr="001B72D6">
        <w:rPr>
          <w:rFonts w:cs="Arial"/>
          <w:lang w:val="en-US"/>
        </w:rPr>
        <w:fldChar w:fldCharType="separate"/>
      </w:r>
      <w:r w:rsidR="001906DB">
        <w:rPr>
          <w:rFonts w:cs="Arial"/>
          <w:lang w:val="en-US"/>
        </w:rPr>
        <w:t>1.8</w:t>
      </w:r>
      <w:r w:rsidRPr="001B72D6">
        <w:rPr>
          <w:rFonts w:cs="Arial"/>
          <w:lang w:val="en-US"/>
        </w:rPr>
        <w:fldChar w:fldCharType="end"/>
      </w:r>
      <w:r w:rsidRPr="001B72D6">
        <w:rPr>
          <w:rFonts w:cs="Arial"/>
          <w:lang w:val="en-US"/>
        </w:rPr>
        <w:t>.</w:t>
      </w:r>
    </w:p>
    <w:p w14:paraId="76572E4B" w14:textId="77777777" w:rsidR="00E71FF2" w:rsidRPr="001B72D6" w:rsidRDefault="00E71FF2" w:rsidP="00E71FF2">
      <w:pPr>
        <w:rPr>
          <w:rFonts w:cs="Arial"/>
          <w:lang w:val="en-US"/>
        </w:rPr>
      </w:pPr>
    </w:p>
    <w:p w14:paraId="0997E5F7" w14:textId="1C555330" w:rsidR="00E71FF2" w:rsidRDefault="00E71FF2" w:rsidP="00E71FF2">
      <w:pPr>
        <w:rPr>
          <w:rFonts w:cs="Arial"/>
          <w:lang w:val="en-US"/>
        </w:rPr>
      </w:pPr>
      <w:r w:rsidRPr="001B72D6">
        <w:rPr>
          <w:rFonts w:cs="Arial"/>
          <w:lang w:val="en-US"/>
        </w:rPr>
        <w:t>The adjustments will be made by the DEA in connection with the quarterly invoicing and final settlement</w:t>
      </w:r>
      <w:r>
        <w:rPr>
          <w:rFonts w:cs="Arial"/>
          <w:lang w:val="en-US"/>
        </w:rPr>
        <w:t xml:space="preserve"> as further described in</w:t>
      </w:r>
      <w:r w:rsidRPr="001B72D6">
        <w:rPr>
          <w:rFonts w:cs="Arial"/>
          <w:lang w:val="en-US"/>
        </w:rPr>
        <w:t xml:space="preserve"> paragraphs </w:t>
      </w:r>
      <w:r w:rsidRPr="001B72D6">
        <w:rPr>
          <w:rFonts w:cs="Arial"/>
          <w:lang w:val="en-US"/>
        </w:rPr>
        <w:fldChar w:fldCharType="begin"/>
      </w:r>
      <w:r w:rsidRPr="001B72D6">
        <w:rPr>
          <w:rFonts w:cs="Arial"/>
          <w:lang w:val="en-US"/>
        </w:rPr>
        <w:instrText xml:space="preserve"> REF _Ref168918920 \r \h </w:instrText>
      </w:r>
      <w:r>
        <w:rPr>
          <w:rFonts w:cs="Arial"/>
          <w:lang w:val="en-US"/>
        </w:rPr>
        <w:instrText xml:space="preserve"> \* MERGEFORMAT </w:instrText>
      </w:r>
      <w:r w:rsidRPr="001B72D6">
        <w:rPr>
          <w:rFonts w:cs="Arial"/>
          <w:lang w:val="en-US"/>
        </w:rPr>
      </w:r>
      <w:r w:rsidRPr="001B72D6">
        <w:rPr>
          <w:rFonts w:cs="Arial"/>
          <w:lang w:val="en-US"/>
        </w:rPr>
        <w:fldChar w:fldCharType="separate"/>
      </w:r>
      <w:r w:rsidR="001906DB">
        <w:rPr>
          <w:rFonts w:cs="Arial"/>
          <w:lang w:val="en-US"/>
        </w:rPr>
        <w:t>1.8</w:t>
      </w:r>
      <w:r w:rsidRPr="001B72D6">
        <w:rPr>
          <w:rFonts w:cs="Arial"/>
          <w:lang w:val="en-US"/>
        </w:rPr>
        <w:fldChar w:fldCharType="end"/>
      </w:r>
      <w:r w:rsidRPr="001B72D6">
        <w:rPr>
          <w:rFonts w:cs="Arial"/>
          <w:lang w:val="en-US"/>
        </w:rPr>
        <w:t xml:space="preserve"> and </w:t>
      </w:r>
      <w:r w:rsidRPr="001B72D6">
        <w:rPr>
          <w:rFonts w:cs="Arial"/>
          <w:lang w:val="en-US"/>
        </w:rPr>
        <w:fldChar w:fldCharType="begin"/>
      </w:r>
      <w:r w:rsidRPr="001B72D6">
        <w:rPr>
          <w:rFonts w:cs="Arial"/>
          <w:lang w:val="en-US"/>
        </w:rPr>
        <w:instrText xml:space="preserve"> REF _Ref168918926 \r \h </w:instrText>
      </w:r>
      <w:r>
        <w:rPr>
          <w:rFonts w:cs="Arial"/>
          <w:lang w:val="en-US"/>
        </w:rPr>
        <w:instrText xml:space="preserve"> \* MERGEFORMAT </w:instrText>
      </w:r>
      <w:r w:rsidRPr="001B72D6">
        <w:rPr>
          <w:rFonts w:cs="Arial"/>
          <w:lang w:val="en-US"/>
        </w:rPr>
      </w:r>
      <w:r w:rsidRPr="001B72D6">
        <w:rPr>
          <w:rFonts w:cs="Arial"/>
          <w:lang w:val="en-US"/>
        </w:rPr>
        <w:fldChar w:fldCharType="separate"/>
      </w:r>
      <w:r w:rsidR="001906DB">
        <w:rPr>
          <w:rFonts w:cs="Arial"/>
          <w:lang w:val="en-US"/>
        </w:rPr>
        <w:t>1.9</w:t>
      </w:r>
      <w:r w:rsidRPr="001B72D6">
        <w:rPr>
          <w:rFonts w:cs="Arial"/>
          <w:lang w:val="en-US"/>
        </w:rPr>
        <w:fldChar w:fldCharType="end"/>
      </w:r>
      <w:r>
        <w:rPr>
          <w:rFonts w:cs="Arial"/>
          <w:lang w:val="en-US"/>
        </w:rPr>
        <w:t>.</w:t>
      </w:r>
    </w:p>
    <w:p w14:paraId="235DEBCE" w14:textId="77777777" w:rsidR="00E71FF2" w:rsidRDefault="00E71FF2" w:rsidP="00E71FF2">
      <w:pPr>
        <w:rPr>
          <w:rFonts w:cs="Arial"/>
          <w:lang w:val="en-US"/>
        </w:rPr>
      </w:pPr>
    </w:p>
    <w:p w14:paraId="652C04B7" w14:textId="77777777" w:rsidR="00E71FF2" w:rsidRPr="001B72D6" w:rsidRDefault="00E71FF2" w:rsidP="00E71FF2">
      <w:pPr>
        <w:rPr>
          <w:rFonts w:cs="Arial"/>
          <w:lang w:val="en-US"/>
        </w:rPr>
      </w:pPr>
      <w:r>
        <w:rPr>
          <w:rFonts w:cs="Arial"/>
          <w:lang w:val="en-US"/>
        </w:rPr>
        <w:t xml:space="preserve">The DEA is considering how the adjustment mechanism shall </w:t>
      </w:r>
      <w:proofErr w:type="gramStart"/>
      <w:r>
        <w:rPr>
          <w:rFonts w:cs="Arial"/>
          <w:lang w:val="en-US"/>
        </w:rPr>
        <w:t>take into account</w:t>
      </w:r>
      <w:proofErr w:type="gramEnd"/>
      <w:r>
        <w:rPr>
          <w:rFonts w:cs="Arial"/>
          <w:lang w:val="en-US"/>
        </w:rPr>
        <w:t xml:space="preserve"> atmospheric CO</w:t>
      </w:r>
      <w:r w:rsidRPr="006F5B70">
        <w:rPr>
          <w:rFonts w:cs="Arial"/>
          <w:vertAlign w:val="subscript"/>
          <w:lang w:val="en-US"/>
        </w:rPr>
        <w:t>2</w:t>
      </w:r>
      <w:r>
        <w:rPr>
          <w:rFonts w:cs="Arial"/>
          <w:lang w:val="en-US"/>
        </w:rPr>
        <w:t>.</w:t>
      </w:r>
    </w:p>
    <w:p w14:paraId="64BDDA3D" w14:textId="77777777" w:rsidR="00E71FF2" w:rsidRPr="001B72D6" w:rsidRDefault="00E71FF2" w:rsidP="00E71FF2">
      <w:pPr>
        <w:rPr>
          <w:rFonts w:cs="Arial"/>
          <w:lang w:val="en-US"/>
        </w:rPr>
      </w:pPr>
    </w:p>
    <w:p w14:paraId="626A365E" w14:textId="77777777" w:rsidR="00E71FF2" w:rsidRPr="001B72D6" w:rsidRDefault="00E71FF2" w:rsidP="00E71FF2">
      <w:pPr>
        <w:rPr>
          <w:rFonts w:cs="Arial"/>
          <w:lang w:val="en-US"/>
        </w:rPr>
      </w:pPr>
      <w:bookmarkStart w:id="14" w:name="_Hlk169591004"/>
    </w:p>
    <w:bookmarkEnd w:id="14"/>
    <w:p w14:paraId="1FB496AE" w14:textId="77777777" w:rsidR="00E71FF2" w:rsidRPr="004C1643" w:rsidRDefault="00E71FF2" w:rsidP="006F5B70">
      <w:pPr>
        <w:pStyle w:val="Heading2"/>
        <w:keepLines w:val="0"/>
        <w:numPr>
          <w:ilvl w:val="1"/>
          <w:numId w:val="15"/>
        </w:numPr>
        <w:overflowPunct w:val="0"/>
        <w:autoSpaceDE w:val="0"/>
        <w:autoSpaceDN w:val="0"/>
        <w:adjustRightInd w:val="0"/>
        <w:spacing w:before="0" w:after="300" w:line="312" w:lineRule="auto"/>
        <w:textAlignment w:val="baseline"/>
        <w:rPr>
          <w:rFonts w:ascii="Arial" w:hAnsi="Arial" w:cs="Arial"/>
          <w:lang w:val="en-US"/>
        </w:rPr>
      </w:pPr>
      <w:r w:rsidRPr="004C1643">
        <w:rPr>
          <w:rFonts w:ascii="Arial" w:hAnsi="Arial" w:cs="Arial"/>
          <w:lang w:val="en-US"/>
        </w:rPr>
        <w:t xml:space="preserve">Information in the offer </w:t>
      </w:r>
      <w:r>
        <w:rPr>
          <w:rFonts w:ascii="Arial" w:hAnsi="Arial" w:cs="Arial"/>
          <w:lang w:val="en-US"/>
        </w:rPr>
        <w:t>&amp; annual forecast obligation</w:t>
      </w:r>
    </w:p>
    <w:p w14:paraId="6E056594" w14:textId="77777777" w:rsidR="00E71FF2" w:rsidRPr="001B72D6" w:rsidRDefault="00E71FF2" w:rsidP="00E71FF2">
      <w:pPr>
        <w:rPr>
          <w:rFonts w:cs="Arial"/>
          <w:lang w:val="en-US"/>
        </w:rPr>
      </w:pPr>
      <w:r w:rsidRPr="001B72D6">
        <w:rPr>
          <w:rFonts w:cs="Arial"/>
          <w:lang w:val="en-US"/>
        </w:rPr>
        <w:t xml:space="preserve">The tenderer shall provide the following information in the offer: </w:t>
      </w:r>
    </w:p>
    <w:p w14:paraId="6016CCD5" w14:textId="77777777" w:rsidR="00E71FF2" w:rsidRDefault="00E71FF2" w:rsidP="00BD2A74">
      <w:pPr>
        <w:pStyle w:val="ListParagraph"/>
        <w:numPr>
          <w:ilvl w:val="0"/>
          <w:numId w:val="20"/>
        </w:numPr>
        <w:spacing w:line="312" w:lineRule="auto"/>
        <w:jc w:val="both"/>
        <w:rPr>
          <w:rFonts w:cs="Arial"/>
          <w:lang w:val="en-US"/>
        </w:rPr>
      </w:pPr>
      <w:r w:rsidRPr="001B72D6">
        <w:rPr>
          <w:rFonts w:cs="Arial"/>
          <w:lang w:val="en-US"/>
        </w:rPr>
        <w:t xml:space="preserve">Annual Quantity for each year;  </w:t>
      </w:r>
    </w:p>
    <w:p w14:paraId="65BD0123" w14:textId="77777777" w:rsidR="00E71FF2" w:rsidRPr="001B72D6" w:rsidRDefault="00E71FF2" w:rsidP="00BD2A74">
      <w:pPr>
        <w:pStyle w:val="ListParagraph"/>
        <w:numPr>
          <w:ilvl w:val="0"/>
          <w:numId w:val="20"/>
        </w:numPr>
        <w:spacing w:line="312" w:lineRule="auto"/>
        <w:jc w:val="both"/>
        <w:rPr>
          <w:rFonts w:cs="Arial"/>
          <w:lang w:val="en-US"/>
        </w:rPr>
      </w:pPr>
      <w:r>
        <w:rPr>
          <w:rFonts w:cs="Arial"/>
          <w:lang w:val="en-US"/>
        </w:rPr>
        <w:t>2029-Quantity;</w:t>
      </w:r>
    </w:p>
    <w:p w14:paraId="1EE17BED" w14:textId="77777777" w:rsidR="00E71FF2" w:rsidRPr="001B72D6" w:rsidRDefault="00E71FF2" w:rsidP="00BD2A74">
      <w:pPr>
        <w:pStyle w:val="ListParagraph"/>
        <w:numPr>
          <w:ilvl w:val="0"/>
          <w:numId w:val="20"/>
        </w:numPr>
        <w:spacing w:line="312" w:lineRule="auto"/>
        <w:jc w:val="both"/>
        <w:rPr>
          <w:rFonts w:cs="Arial"/>
          <w:lang w:val="en-US"/>
        </w:rPr>
      </w:pPr>
      <w:r w:rsidRPr="001B72D6">
        <w:rPr>
          <w:rFonts w:cs="Arial"/>
          <w:lang w:val="en-US"/>
        </w:rPr>
        <w:t xml:space="preserve">Fossil fraction </w:t>
      </w:r>
      <w:r>
        <w:rPr>
          <w:rFonts w:cs="Arial"/>
          <w:lang w:val="en-US"/>
        </w:rPr>
        <w:t xml:space="preserve">of the 2029-Quantity, if relevant, and </w:t>
      </w:r>
      <w:r w:rsidRPr="001B72D6">
        <w:rPr>
          <w:rFonts w:cs="Arial"/>
          <w:lang w:val="en-US"/>
        </w:rPr>
        <w:t>of the Annual Quantity subject to EUA for each year (Baseline Fossil EUA Fraction)</w:t>
      </w:r>
      <w:r>
        <w:rPr>
          <w:rFonts w:cs="Arial"/>
          <w:lang w:val="en-US"/>
        </w:rPr>
        <w:t>;</w:t>
      </w:r>
    </w:p>
    <w:p w14:paraId="4B5BEF44" w14:textId="77777777" w:rsidR="00E71FF2" w:rsidRPr="001B72D6" w:rsidRDefault="00E71FF2" w:rsidP="00BD2A74">
      <w:pPr>
        <w:pStyle w:val="ListParagraph"/>
        <w:numPr>
          <w:ilvl w:val="0"/>
          <w:numId w:val="20"/>
        </w:numPr>
        <w:spacing w:line="312" w:lineRule="auto"/>
        <w:jc w:val="both"/>
        <w:rPr>
          <w:rFonts w:cs="Arial"/>
          <w:lang w:val="en-US"/>
        </w:rPr>
      </w:pPr>
      <w:r w:rsidRPr="001B72D6">
        <w:rPr>
          <w:rFonts w:cs="Arial"/>
          <w:lang w:val="en-US"/>
        </w:rPr>
        <w:t xml:space="preserve">Fossil fraction of </w:t>
      </w:r>
      <w:r>
        <w:rPr>
          <w:rFonts w:cs="Arial"/>
          <w:lang w:val="en-US"/>
        </w:rPr>
        <w:t>the 2029-Quantity, if relevant,</w:t>
      </w:r>
      <w:r w:rsidRPr="001B72D6">
        <w:rPr>
          <w:rFonts w:cs="Arial"/>
          <w:lang w:val="en-US"/>
        </w:rPr>
        <w:t xml:space="preserve"> </w:t>
      </w:r>
      <w:r>
        <w:rPr>
          <w:rFonts w:cs="Arial"/>
          <w:lang w:val="en-US"/>
        </w:rPr>
        <w:t xml:space="preserve">and of </w:t>
      </w:r>
      <w:r w:rsidRPr="001B72D6">
        <w:rPr>
          <w:rFonts w:cs="Arial"/>
          <w:lang w:val="en-US"/>
        </w:rPr>
        <w:t>the Annual Quantity</w:t>
      </w:r>
      <w:r>
        <w:rPr>
          <w:rFonts w:cs="Arial"/>
          <w:lang w:val="en-US"/>
        </w:rPr>
        <w:t xml:space="preserve"> </w:t>
      </w:r>
      <w:r w:rsidRPr="001B72D6">
        <w:rPr>
          <w:rFonts w:cs="Arial"/>
          <w:lang w:val="en-US"/>
        </w:rPr>
        <w:t>subject to CO</w:t>
      </w:r>
      <w:r w:rsidRPr="006F5B70">
        <w:rPr>
          <w:rFonts w:cs="Arial"/>
          <w:vertAlign w:val="subscript"/>
          <w:lang w:val="en-US"/>
        </w:rPr>
        <w:t>2</w:t>
      </w:r>
      <w:r w:rsidRPr="001B72D6">
        <w:rPr>
          <w:rFonts w:cs="Arial"/>
          <w:lang w:val="en-US"/>
        </w:rPr>
        <w:t xml:space="preserve"> related taxes for each year</w:t>
      </w:r>
      <w:r w:rsidDel="003A7DA9">
        <w:rPr>
          <w:rFonts w:cs="Arial"/>
          <w:lang w:val="en-US"/>
        </w:rPr>
        <w:t xml:space="preserve"> </w:t>
      </w:r>
      <w:r w:rsidRPr="001B72D6">
        <w:rPr>
          <w:rFonts w:cs="Arial"/>
          <w:lang w:val="en-US"/>
        </w:rPr>
        <w:t xml:space="preserve">(Baseline Fossil Tax Fraction); and </w:t>
      </w:r>
    </w:p>
    <w:p w14:paraId="38CC189C" w14:textId="36CAFB4D" w:rsidR="00E71FF2" w:rsidRPr="00912C05" w:rsidRDefault="00E71FF2" w:rsidP="00E71FF2">
      <w:pPr>
        <w:pStyle w:val="ListParagraph"/>
        <w:numPr>
          <w:ilvl w:val="0"/>
          <w:numId w:val="20"/>
        </w:numPr>
        <w:spacing w:line="312" w:lineRule="auto"/>
        <w:jc w:val="both"/>
        <w:rPr>
          <w:rStyle w:val="CommentReference"/>
          <w:rFonts w:cs="Arial"/>
          <w:sz w:val="20"/>
          <w:szCs w:val="22"/>
          <w:lang w:val="en-US"/>
        </w:rPr>
      </w:pPr>
      <w:r w:rsidRPr="001B72D6">
        <w:rPr>
          <w:rFonts w:cs="Arial"/>
          <w:lang w:val="en-US"/>
        </w:rPr>
        <w:t>Income generated by carbon credits related to the Storage of CO</w:t>
      </w:r>
      <w:r w:rsidRPr="006F5B70">
        <w:rPr>
          <w:rFonts w:cs="Arial"/>
          <w:vertAlign w:val="subscript"/>
          <w:lang w:val="en-US"/>
        </w:rPr>
        <w:t>2</w:t>
      </w:r>
      <w:r w:rsidRPr="001B72D6">
        <w:rPr>
          <w:rFonts w:cs="Arial"/>
          <w:lang w:val="en-US"/>
        </w:rPr>
        <w:t xml:space="preserve"> for each year (Baseline Carbon Credits Income)</w:t>
      </w:r>
      <w:r w:rsidRPr="001B72D6">
        <w:rPr>
          <w:rStyle w:val="CommentReference"/>
          <w:rFonts w:cs="Arial"/>
          <w:lang w:val="en-US"/>
        </w:rPr>
        <w:t xml:space="preserve"> </w:t>
      </w:r>
    </w:p>
    <w:p w14:paraId="24179609" w14:textId="77777777" w:rsidR="00912C05" w:rsidRPr="00912C05" w:rsidRDefault="00912C05" w:rsidP="00912C05">
      <w:pPr>
        <w:pStyle w:val="ListParagraph"/>
        <w:spacing w:line="312" w:lineRule="auto"/>
        <w:jc w:val="both"/>
        <w:rPr>
          <w:rFonts w:cs="Arial"/>
          <w:lang w:val="en-US"/>
        </w:rPr>
      </w:pPr>
    </w:p>
    <w:p w14:paraId="08D8EBFF" w14:textId="44D0AAA0" w:rsidR="00E71FF2" w:rsidRPr="00A458C6" w:rsidRDefault="00E71FF2" w:rsidP="00E71FF2">
      <w:pPr>
        <w:rPr>
          <w:rFonts w:cs="Arial"/>
          <w:lang w:val="en-US"/>
        </w:rPr>
      </w:pPr>
      <w:r w:rsidRPr="001B72D6">
        <w:rPr>
          <w:rFonts w:cs="Arial"/>
          <w:lang w:val="en-US"/>
        </w:rPr>
        <w:t xml:space="preserve">Based on this information the contract will specify the expected EUA savings for each year per </w:t>
      </w:r>
      <w:proofErr w:type="spellStart"/>
      <w:r w:rsidRPr="001B72D6">
        <w:rPr>
          <w:rFonts w:cs="Arial"/>
          <w:lang w:val="en-US"/>
        </w:rPr>
        <w:t>tonne</w:t>
      </w:r>
      <w:proofErr w:type="spellEnd"/>
      <w:r w:rsidRPr="001B72D6">
        <w:rPr>
          <w:rFonts w:cs="Arial"/>
          <w:lang w:val="en-US"/>
        </w:rPr>
        <w:t xml:space="preserve"> of CO</w:t>
      </w:r>
      <w:r w:rsidRPr="001B72D6">
        <w:rPr>
          <w:rFonts w:cs="Arial"/>
          <w:vertAlign w:val="subscript"/>
          <w:lang w:val="en-US"/>
        </w:rPr>
        <w:t>2</w:t>
      </w:r>
      <w:r w:rsidRPr="001B72D6">
        <w:rPr>
          <w:rFonts w:cs="Arial"/>
          <w:lang w:val="en-US"/>
        </w:rPr>
        <w:t xml:space="preserve"> (Baseline EUA Savings)</w:t>
      </w:r>
      <w:r w:rsidRPr="001B72D6">
        <w:rPr>
          <w:rStyle w:val="FootnoteReference"/>
          <w:rFonts w:cs="Arial"/>
        </w:rPr>
        <w:footnoteReference w:id="10"/>
      </w:r>
      <w:r w:rsidRPr="001B72D6">
        <w:rPr>
          <w:rFonts w:cs="Arial"/>
          <w:lang w:val="en-US"/>
        </w:rPr>
        <w:t xml:space="preserve"> and the expected CO</w:t>
      </w:r>
      <w:r w:rsidRPr="00B8636D">
        <w:rPr>
          <w:rFonts w:cs="Arial"/>
          <w:vertAlign w:val="subscript"/>
          <w:lang w:val="en-US"/>
        </w:rPr>
        <w:t>2</w:t>
      </w:r>
      <w:r w:rsidRPr="001B72D6">
        <w:rPr>
          <w:rFonts w:cs="Arial"/>
          <w:lang w:val="en-US"/>
        </w:rPr>
        <w:t xml:space="preserve"> related tax savings per </w:t>
      </w:r>
      <w:proofErr w:type="spellStart"/>
      <w:r w:rsidRPr="001B72D6">
        <w:rPr>
          <w:rFonts w:cs="Arial"/>
          <w:lang w:val="en-US"/>
        </w:rPr>
        <w:t>tonne</w:t>
      </w:r>
      <w:proofErr w:type="spellEnd"/>
      <w:r w:rsidRPr="001B72D6">
        <w:rPr>
          <w:rFonts w:cs="Arial"/>
          <w:lang w:val="en-US"/>
        </w:rPr>
        <w:t xml:space="preserve"> of CO</w:t>
      </w:r>
      <w:r w:rsidRPr="001B72D6">
        <w:rPr>
          <w:rFonts w:cs="Arial"/>
          <w:vertAlign w:val="subscript"/>
          <w:lang w:val="en-US"/>
        </w:rPr>
        <w:t>2</w:t>
      </w:r>
      <w:r w:rsidRPr="001B72D6">
        <w:rPr>
          <w:rFonts w:cs="Arial"/>
          <w:lang w:val="en-US"/>
        </w:rPr>
        <w:t xml:space="preserve"> for each year (Baseline Tax Savings)</w:t>
      </w:r>
      <w:r w:rsidR="00B8636D">
        <w:rPr>
          <w:rFonts w:cs="Arial"/>
          <w:lang w:val="en-US"/>
        </w:rPr>
        <w:t>.</w:t>
      </w:r>
      <w:r w:rsidRPr="001B72D6">
        <w:rPr>
          <w:rStyle w:val="FootnoteReference"/>
          <w:rFonts w:cs="Arial"/>
        </w:rPr>
        <w:footnoteReference w:id="11"/>
      </w:r>
      <w:r w:rsidRPr="001B72D6">
        <w:rPr>
          <w:rFonts w:cs="Arial"/>
          <w:lang w:val="en-US"/>
        </w:rPr>
        <w:t xml:space="preserve"> </w:t>
      </w:r>
    </w:p>
    <w:p w14:paraId="04E24884" w14:textId="77777777" w:rsidR="00E71FF2" w:rsidRPr="001B72D6" w:rsidRDefault="00E71FF2" w:rsidP="00E71FF2">
      <w:pPr>
        <w:rPr>
          <w:rFonts w:cs="Arial"/>
          <w:lang w:val="en-US"/>
        </w:rPr>
      </w:pPr>
    </w:p>
    <w:p w14:paraId="7804B03D" w14:textId="0320594B" w:rsidR="00E71FF2" w:rsidRDefault="00E71FF2" w:rsidP="00E71FF2">
      <w:pPr>
        <w:rPr>
          <w:rFonts w:cs="Arial"/>
          <w:lang w:val="en-US"/>
        </w:rPr>
      </w:pPr>
      <w:r w:rsidRPr="001B72D6">
        <w:rPr>
          <w:rFonts w:cs="Arial"/>
          <w:lang w:val="en-US"/>
        </w:rPr>
        <w:lastRenderedPageBreak/>
        <w:t xml:space="preserve">For each year of operation, the Operator shall provide the DEA with </w:t>
      </w:r>
      <w:r>
        <w:rPr>
          <w:rFonts w:cs="Arial"/>
          <w:lang w:val="en-US"/>
        </w:rPr>
        <w:t xml:space="preserve">a forecast </w:t>
      </w:r>
      <w:r w:rsidRPr="001B72D6">
        <w:rPr>
          <w:rFonts w:cs="Arial"/>
          <w:lang w:val="en-US"/>
        </w:rPr>
        <w:t>regarding</w:t>
      </w:r>
      <w:r w:rsidR="00417728">
        <w:rPr>
          <w:rFonts w:cs="Arial"/>
          <w:lang w:val="en-US"/>
        </w:rPr>
        <w:t xml:space="preserve"> (</w:t>
      </w:r>
      <w:r w:rsidRPr="00D74126">
        <w:rPr>
          <w:rFonts w:cs="Arial"/>
          <w:lang w:val="en-US"/>
        </w:rPr>
        <w:t>see R-</w:t>
      </w:r>
      <w:r>
        <w:rPr>
          <w:rFonts w:cs="Arial"/>
          <w:lang w:val="en-US"/>
        </w:rPr>
        <w:t>6</w:t>
      </w:r>
      <w:r w:rsidRPr="00D74126">
        <w:rPr>
          <w:rFonts w:cs="Arial"/>
          <w:lang w:val="en-US"/>
        </w:rPr>
        <w:t>, Appendix 3, Requirements specification</w:t>
      </w:r>
      <w:r w:rsidR="00417728">
        <w:rPr>
          <w:rFonts w:cs="Arial"/>
          <w:lang w:val="en-US"/>
        </w:rPr>
        <w:t>)</w:t>
      </w:r>
      <w:r>
        <w:rPr>
          <w:rFonts w:cs="Arial"/>
          <w:lang w:val="en-US"/>
        </w:rPr>
        <w:t>:</w:t>
      </w:r>
    </w:p>
    <w:p w14:paraId="66EA0E84" w14:textId="77777777" w:rsidR="00E71FF2" w:rsidRDefault="00E71FF2" w:rsidP="00BD2A74">
      <w:pPr>
        <w:pStyle w:val="ListParagraph"/>
        <w:numPr>
          <w:ilvl w:val="0"/>
          <w:numId w:val="20"/>
        </w:numPr>
        <w:spacing w:line="312" w:lineRule="auto"/>
        <w:jc w:val="both"/>
        <w:rPr>
          <w:rFonts w:cs="Arial"/>
          <w:lang w:val="en-US"/>
        </w:rPr>
      </w:pPr>
      <w:r>
        <w:rPr>
          <w:rFonts w:cs="Arial"/>
          <w:lang w:val="en-US"/>
        </w:rPr>
        <w:t>T</w:t>
      </w:r>
      <w:r w:rsidRPr="001742ED">
        <w:rPr>
          <w:rFonts w:cs="Arial"/>
          <w:lang w:val="en-US"/>
        </w:rPr>
        <w:t>he expected total quantity of CO</w:t>
      </w:r>
      <w:r w:rsidRPr="001742ED">
        <w:rPr>
          <w:rFonts w:cs="Arial"/>
          <w:vertAlign w:val="subscript"/>
          <w:lang w:val="en-US"/>
        </w:rPr>
        <w:t>2</w:t>
      </w:r>
      <w:r w:rsidRPr="001742ED">
        <w:rPr>
          <w:rFonts w:cs="Arial"/>
          <w:lang w:val="en-US"/>
        </w:rPr>
        <w:t xml:space="preserve"> for the following year </w:t>
      </w:r>
      <w:r w:rsidRPr="00DF6BD3">
        <w:rPr>
          <w:rFonts w:cs="Arial"/>
          <w:lang w:val="en-US"/>
        </w:rPr>
        <w:t>(the Annual Forecast Quantity)</w:t>
      </w:r>
      <w:r>
        <w:rPr>
          <w:rFonts w:cs="Arial"/>
          <w:lang w:val="en-US"/>
        </w:rPr>
        <w:t>;</w:t>
      </w:r>
    </w:p>
    <w:p w14:paraId="3C3BCF9F" w14:textId="77777777" w:rsidR="00E71FF2" w:rsidRDefault="00E71FF2" w:rsidP="00BD2A74">
      <w:pPr>
        <w:pStyle w:val="ListParagraph"/>
        <w:numPr>
          <w:ilvl w:val="0"/>
          <w:numId w:val="20"/>
        </w:numPr>
        <w:spacing w:line="312" w:lineRule="auto"/>
        <w:jc w:val="both"/>
        <w:rPr>
          <w:rFonts w:cs="Arial"/>
          <w:lang w:val="en-US"/>
        </w:rPr>
      </w:pPr>
      <w:r>
        <w:rPr>
          <w:rFonts w:cs="Arial"/>
          <w:lang w:val="en-US"/>
        </w:rPr>
        <w:t>The fossil fraction</w:t>
      </w:r>
      <w:r w:rsidRPr="00FA2009">
        <w:rPr>
          <w:rFonts w:cs="Arial"/>
          <w:lang w:val="en-US"/>
        </w:rPr>
        <w:t xml:space="preserve"> of CO</w:t>
      </w:r>
      <w:r w:rsidRPr="00FA2009">
        <w:rPr>
          <w:rFonts w:cs="Arial"/>
          <w:vertAlign w:val="subscript"/>
          <w:lang w:val="en-US"/>
        </w:rPr>
        <w:t>2</w:t>
      </w:r>
      <w:r w:rsidRPr="00FA2009">
        <w:rPr>
          <w:rFonts w:cs="Arial"/>
          <w:lang w:val="en-US"/>
        </w:rPr>
        <w:t xml:space="preserve"> of the Annual Forecast Quantity</w:t>
      </w:r>
      <w:r>
        <w:rPr>
          <w:rFonts w:cs="Arial"/>
          <w:lang w:val="en-US"/>
        </w:rPr>
        <w:t xml:space="preserve"> subject to EUA</w:t>
      </w:r>
      <w:r w:rsidRPr="0009185C">
        <w:rPr>
          <w:rFonts w:cs="Arial"/>
          <w:lang w:val="en-US"/>
        </w:rPr>
        <w:t xml:space="preserve"> </w:t>
      </w:r>
      <w:r>
        <w:rPr>
          <w:rFonts w:cs="Arial"/>
          <w:lang w:val="en-US"/>
        </w:rPr>
        <w:t>for the following year</w:t>
      </w:r>
      <w:r w:rsidRPr="00A430D1">
        <w:rPr>
          <w:rFonts w:cs="Arial"/>
          <w:lang w:val="en-US"/>
        </w:rPr>
        <w:t xml:space="preserve"> (the Forecast Fossil EUA Fraction)</w:t>
      </w:r>
      <w:r>
        <w:rPr>
          <w:rFonts w:cs="Arial"/>
          <w:lang w:val="en-US"/>
        </w:rPr>
        <w:t xml:space="preserve">; </w:t>
      </w:r>
    </w:p>
    <w:p w14:paraId="5D98CF4A" w14:textId="77777777" w:rsidR="00E71FF2" w:rsidRPr="001742ED" w:rsidRDefault="00E71FF2" w:rsidP="00BD2A74">
      <w:pPr>
        <w:pStyle w:val="ListParagraph"/>
        <w:numPr>
          <w:ilvl w:val="0"/>
          <w:numId w:val="20"/>
        </w:numPr>
        <w:spacing w:line="312" w:lineRule="auto"/>
        <w:jc w:val="both"/>
        <w:rPr>
          <w:rFonts w:cs="Arial"/>
          <w:lang w:val="en-US"/>
        </w:rPr>
      </w:pPr>
      <w:r w:rsidRPr="001742ED">
        <w:rPr>
          <w:rFonts w:cs="Arial"/>
          <w:lang w:val="en-US"/>
        </w:rPr>
        <w:t xml:space="preserve">The </w:t>
      </w:r>
      <w:r>
        <w:rPr>
          <w:rFonts w:cs="Arial"/>
          <w:lang w:val="en-US"/>
        </w:rPr>
        <w:t>fossil fraction</w:t>
      </w:r>
      <w:r w:rsidRPr="001742ED">
        <w:rPr>
          <w:rFonts w:cs="Arial"/>
          <w:lang w:val="en-US"/>
        </w:rPr>
        <w:t xml:space="preserve"> of CO</w:t>
      </w:r>
      <w:r w:rsidRPr="00417728">
        <w:rPr>
          <w:rFonts w:cs="Arial"/>
          <w:vertAlign w:val="subscript"/>
          <w:lang w:val="en-US"/>
        </w:rPr>
        <w:t>2</w:t>
      </w:r>
      <w:r w:rsidRPr="001742ED">
        <w:rPr>
          <w:rFonts w:cs="Arial"/>
          <w:lang w:val="en-US"/>
        </w:rPr>
        <w:t xml:space="preserve"> of the Annual Forecast Quantity subject to CO</w:t>
      </w:r>
      <w:r w:rsidRPr="00417728">
        <w:rPr>
          <w:rFonts w:cs="Arial"/>
          <w:vertAlign w:val="subscript"/>
          <w:lang w:val="en-US"/>
        </w:rPr>
        <w:t>2</w:t>
      </w:r>
      <w:r w:rsidRPr="001742ED">
        <w:rPr>
          <w:rFonts w:cs="Arial"/>
          <w:lang w:val="en-US"/>
        </w:rPr>
        <w:t xml:space="preserve"> related taxes for the following year (the Forecast Fossil Tax Fraction)</w:t>
      </w:r>
      <w:r>
        <w:rPr>
          <w:rFonts w:cs="Arial"/>
          <w:lang w:val="en-US"/>
        </w:rPr>
        <w:t>; and</w:t>
      </w:r>
    </w:p>
    <w:p w14:paraId="4A55437E" w14:textId="77777777" w:rsidR="00E71FF2" w:rsidRPr="001742ED" w:rsidRDefault="00E71FF2" w:rsidP="00BD2A74">
      <w:pPr>
        <w:pStyle w:val="ListParagraph"/>
        <w:numPr>
          <w:ilvl w:val="0"/>
          <w:numId w:val="20"/>
        </w:numPr>
        <w:spacing w:line="312" w:lineRule="auto"/>
        <w:jc w:val="both"/>
        <w:rPr>
          <w:rFonts w:cs="Arial"/>
          <w:lang w:val="en-US"/>
        </w:rPr>
      </w:pPr>
      <w:r w:rsidRPr="001742ED">
        <w:rPr>
          <w:rFonts w:cs="Arial"/>
          <w:lang w:val="en-US"/>
        </w:rPr>
        <w:t>The expected income of any agreement(s) on carbon credits related to the storage of CO</w:t>
      </w:r>
      <w:r w:rsidRPr="00417728">
        <w:rPr>
          <w:rFonts w:cs="Arial"/>
          <w:vertAlign w:val="subscript"/>
          <w:lang w:val="en-US"/>
        </w:rPr>
        <w:t>2</w:t>
      </w:r>
      <w:r w:rsidRPr="001742ED">
        <w:rPr>
          <w:rFonts w:cs="Arial"/>
          <w:lang w:val="en-US"/>
        </w:rPr>
        <w:t xml:space="preserve"> (the Forecast Carbon Credits Income).</w:t>
      </w:r>
    </w:p>
    <w:p w14:paraId="440B0B0B" w14:textId="77777777" w:rsidR="00E71FF2" w:rsidRDefault="00E71FF2" w:rsidP="00E71FF2">
      <w:pPr>
        <w:rPr>
          <w:rFonts w:cs="Arial"/>
          <w:lang w:val="en-US"/>
        </w:rPr>
      </w:pPr>
    </w:p>
    <w:p w14:paraId="76B38FC4" w14:textId="0C9E5AB3" w:rsidR="00E71FF2" w:rsidRPr="001B72D6" w:rsidRDefault="00E71FF2" w:rsidP="00E71FF2">
      <w:pPr>
        <w:rPr>
          <w:rFonts w:cs="Arial"/>
          <w:lang w:val="en-US"/>
        </w:rPr>
      </w:pPr>
      <w:r w:rsidRPr="001B72D6">
        <w:rPr>
          <w:rFonts w:cs="Arial"/>
          <w:lang w:val="en-US"/>
        </w:rPr>
        <w:t>If future legislation entails that partici</w:t>
      </w:r>
      <w:r w:rsidR="00417728">
        <w:rPr>
          <w:rFonts w:cs="Arial"/>
          <w:lang w:val="en-US"/>
        </w:rPr>
        <w:t>pation in the EU Emissions Trading</w:t>
      </w:r>
      <w:r w:rsidRPr="001B72D6">
        <w:rPr>
          <w:rFonts w:cs="Arial"/>
          <w:lang w:val="en-US"/>
        </w:rPr>
        <w:t xml:space="preserve"> Scheme (ETS)</w:t>
      </w:r>
      <w:r w:rsidR="00417728">
        <w:rPr>
          <w:rFonts w:cs="Arial"/>
          <w:lang w:val="en-US"/>
        </w:rPr>
        <w:t>, or a similar EU-mandated trading</w:t>
      </w:r>
      <w:r w:rsidRPr="001B72D6">
        <w:rPr>
          <w:rFonts w:cs="Arial"/>
          <w:lang w:val="en-US"/>
        </w:rPr>
        <w:t xml:space="preserve"> scheme, becomes mandatory for emitters of biogenic</w:t>
      </w:r>
      <w:r>
        <w:rPr>
          <w:rFonts w:cs="Arial"/>
          <w:lang w:val="en-US"/>
        </w:rPr>
        <w:t xml:space="preserve"> CO</w:t>
      </w:r>
      <w:r w:rsidRPr="001C2F18">
        <w:rPr>
          <w:rFonts w:cs="Arial"/>
          <w:vertAlign w:val="subscript"/>
          <w:lang w:val="en-US"/>
        </w:rPr>
        <w:t>2</w:t>
      </w:r>
      <w:r>
        <w:rPr>
          <w:rFonts w:cs="Arial"/>
          <w:lang w:val="en-US"/>
        </w:rPr>
        <w:t xml:space="preserve"> </w:t>
      </w:r>
      <w:r w:rsidRPr="001B72D6">
        <w:rPr>
          <w:rFonts w:cs="Arial"/>
          <w:lang w:val="en-US"/>
        </w:rPr>
        <w:t xml:space="preserve">and the adjustment described in paragraph </w:t>
      </w:r>
      <w:r w:rsidRPr="001B72D6">
        <w:rPr>
          <w:rFonts w:cs="Arial"/>
          <w:lang w:val="en-US"/>
        </w:rPr>
        <w:fldChar w:fldCharType="begin"/>
      </w:r>
      <w:r w:rsidRPr="001B72D6">
        <w:rPr>
          <w:rFonts w:cs="Arial"/>
          <w:lang w:val="en-US"/>
        </w:rPr>
        <w:instrText xml:space="preserve"> REF _Ref169005042 \r \h </w:instrText>
      </w:r>
      <w:r>
        <w:rPr>
          <w:rFonts w:cs="Arial"/>
          <w:lang w:val="en-US"/>
        </w:rPr>
        <w:instrText xml:space="preserve"> \* MERGEFORMAT </w:instrText>
      </w:r>
      <w:r w:rsidRPr="001B72D6">
        <w:rPr>
          <w:rFonts w:cs="Arial"/>
          <w:lang w:val="en-US"/>
        </w:rPr>
      </w:r>
      <w:r w:rsidRPr="001B72D6">
        <w:rPr>
          <w:rFonts w:cs="Arial"/>
          <w:lang w:val="en-US"/>
        </w:rPr>
        <w:fldChar w:fldCharType="separate"/>
      </w:r>
      <w:r w:rsidR="001906DB">
        <w:rPr>
          <w:rFonts w:cs="Arial"/>
          <w:lang w:val="en-US"/>
        </w:rPr>
        <w:t>1.6</w:t>
      </w:r>
      <w:r w:rsidRPr="001B72D6">
        <w:rPr>
          <w:rFonts w:cs="Arial"/>
          <w:lang w:val="en-US"/>
        </w:rPr>
        <w:fldChar w:fldCharType="end"/>
      </w:r>
      <w:r w:rsidRPr="001B72D6">
        <w:rPr>
          <w:rFonts w:cs="Arial"/>
          <w:lang w:val="en-US"/>
        </w:rPr>
        <w:t xml:space="preserve"> therefore becomes relevant, the Operator shall also provide the DEA with a Forecast Biogenic </w:t>
      </w:r>
      <w:r>
        <w:rPr>
          <w:rFonts w:cs="Arial"/>
          <w:lang w:val="en-US"/>
        </w:rPr>
        <w:t>Allowances</w:t>
      </w:r>
      <w:r w:rsidRPr="001B72D6">
        <w:rPr>
          <w:rFonts w:cs="Arial"/>
          <w:lang w:val="en-US"/>
        </w:rPr>
        <w:t xml:space="preserve"> Fraction, see R-</w:t>
      </w:r>
      <w:r>
        <w:rPr>
          <w:rFonts w:cs="Arial"/>
          <w:lang w:val="en-US"/>
        </w:rPr>
        <w:t>6</w:t>
      </w:r>
      <w:r w:rsidRPr="001B72D6">
        <w:rPr>
          <w:rFonts w:cs="Arial"/>
          <w:lang w:val="en-US"/>
        </w:rPr>
        <w:t xml:space="preserve">, Appendix 3, Requirements specification.  </w:t>
      </w:r>
    </w:p>
    <w:p w14:paraId="619F4C2F" w14:textId="77777777" w:rsidR="00E71FF2" w:rsidRPr="001B72D6" w:rsidRDefault="00E71FF2" w:rsidP="00E71FF2">
      <w:pPr>
        <w:rPr>
          <w:rFonts w:cs="Arial"/>
          <w:lang w:val="en-US"/>
        </w:rPr>
      </w:pPr>
    </w:p>
    <w:p w14:paraId="373A9C30" w14:textId="77777777" w:rsidR="00E71FF2" w:rsidRPr="001B72D6" w:rsidRDefault="00E71FF2" w:rsidP="00BD2A74">
      <w:pPr>
        <w:pStyle w:val="Heading2"/>
        <w:keepLines w:val="0"/>
        <w:numPr>
          <w:ilvl w:val="1"/>
          <w:numId w:val="15"/>
        </w:numPr>
        <w:overflowPunct w:val="0"/>
        <w:autoSpaceDE w:val="0"/>
        <w:autoSpaceDN w:val="0"/>
        <w:adjustRightInd w:val="0"/>
        <w:spacing w:before="0" w:after="300" w:line="312" w:lineRule="auto"/>
        <w:jc w:val="both"/>
        <w:textAlignment w:val="baseline"/>
        <w:rPr>
          <w:rFonts w:ascii="Arial" w:hAnsi="Arial" w:cs="Arial"/>
        </w:rPr>
      </w:pPr>
      <w:bookmarkStart w:id="16" w:name="_Ref168918920"/>
      <w:proofErr w:type="spellStart"/>
      <w:r w:rsidRPr="001B72D6">
        <w:rPr>
          <w:rFonts w:ascii="Arial" w:hAnsi="Arial" w:cs="Arial"/>
        </w:rPr>
        <w:t>Quarterly</w:t>
      </w:r>
      <w:proofErr w:type="spellEnd"/>
      <w:r w:rsidRPr="001B72D6">
        <w:rPr>
          <w:rFonts w:ascii="Arial" w:hAnsi="Arial" w:cs="Arial"/>
        </w:rPr>
        <w:t xml:space="preserve"> </w:t>
      </w:r>
      <w:proofErr w:type="spellStart"/>
      <w:r w:rsidRPr="001B72D6">
        <w:rPr>
          <w:rFonts w:ascii="Arial" w:hAnsi="Arial" w:cs="Arial"/>
        </w:rPr>
        <w:t>invoicing</w:t>
      </w:r>
      <w:bookmarkEnd w:id="16"/>
      <w:proofErr w:type="spellEnd"/>
    </w:p>
    <w:p w14:paraId="5E86B39A" w14:textId="77777777" w:rsidR="00E71FF2" w:rsidRPr="001B72D6" w:rsidRDefault="00E71FF2" w:rsidP="00E71FF2">
      <w:pPr>
        <w:rPr>
          <w:rFonts w:cs="Arial"/>
          <w:lang w:val="en-US"/>
        </w:rPr>
      </w:pPr>
      <w:r w:rsidRPr="001B72D6">
        <w:rPr>
          <w:rFonts w:cs="Arial"/>
          <w:lang w:val="en-US"/>
        </w:rPr>
        <w:t xml:space="preserve">The DEA will pay the </w:t>
      </w:r>
      <w:r>
        <w:rPr>
          <w:rFonts w:cs="Arial"/>
          <w:lang w:val="en-US"/>
        </w:rPr>
        <w:t>s</w:t>
      </w:r>
      <w:r w:rsidRPr="001B72D6">
        <w:rPr>
          <w:rFonts w:cs="Arial"/>
          <w:lang w:val="en-US"/>
        </w:rPr>
        <w:t xml:space="preserve">ubsidy to the Operator based on invoices from the Operator on a quarterly basis after the start of operation. </w:t>
      </w:r>
    </w:p>
    <w:p w14:paraId="70A516CD" w14:textId="77777777" w:rsidR="00E71FF2" w:rsidRPr="001B72D6" w:rsidRDefault="00E71FF2" w:rsidP="00E71FF2">
      <w:pPr>
        <w:rPr>
          <w:rFonts w:cs="Arial"/>
          <w:lang w:val="en-US"/>
        </w:rPr>
      </w:pPr>
    </w:p>
    <w:p w14:paraId="086899FB" w14:textId="77777777" w:rsidR="00E71FF2" w:rsidRPr="001B72D6" w:rsidRDefault="00E71FF2" w:rsidP="00E71FF2">
      <w:pPr>
        <w:rPr>
          <w:rFonts w:cs="Arial"/>
          <w:lang w:val="en-US"/>
        </w:rPr>
      </w:pPr>
      <w:r w:rsidRPr="001B72D6">
        <w:rPr>
          <w:rFonts w:cs="Arial"/>
          <w:lang w:val="en-US"/>
        </w:rPr>
        <w:t>The invoiced amount is calculated as the Delivered Quantity in the quarter multiplied with the Subsidy Rate informed by the DEA for the quarter in question plus VAT.</w:t>
      </w:r>
    </w:p>
    <w:p w14:paraId="2FE7EE0D" w14:textId="77777777" w:rsidR="00E71FF2" w:rsidRPr="001B72D6" w:rsidRDefault="00E71FF2" w:rsidP="00E71FF2">
      <w:pPr>
        <w:rPr>
          <w:rFonts w:cs="Arial"/>
          <w:lang w:val="en-US"/>
        </w:rPr>
      </w:pPr>
    </w:p>
    <w:p w14:paraId="6FA44794" w14:textId="7F967083" w:rsidR="00E71FF2" w:rsidRPr="001B72D6" w:rsidRDefault="00E71FF2" w:rsidP="00E71FF2">
      <w:pPr>
        <w:rPr>
          <w:rFonts w:cs="Arial"/>
          <w:lang w:val="en-US"/>
        </w:rPr>
      </w:pPr>
      <w:r w:rsidRPr="001B72D6">
        <w:rPr>
          <w:rFonts w:cs="Arial"/>
          <w:lang w:val="en-US"/>
        </w:rPr>
        <w:t xml:space="preserve">The DEA shall calculate the Subsidy Rate for a quarter based on the Offered Rate adjusted for inflation, see paragraph </w:t>
      </w:r>
      <w:r w:rsidRPr="001B72D6">
        <w:rPr>
          <w:rFonts w:cs="Arial"/>
          <w:lang w:val="en-US"/>
        </w:rPr>
        <w:fldChar w:fldCharType="begin"/>
      </w:r>
      <w:r w:rsidRPr="001B72D6">
        <w:rPr>
          <w:rFonts w:cs="Arial"/>
          <w:lang w:val="en-US"/>
        </w:rPr>
        <w:instrText xml:space="preserve"> REF _Ref168918852 \r \h </w:instrText>
      </w:r>
      <w:r>
        <w:rPr>
          <w:rFonts w:cs="Arial"/>
          <w:lang w:val="en-US"/>
        </w:rPr>
        <w:instrText xml:space="preserve"> \* MERGEFORMAT </w:instrText>
      </w:r>
      <w:r w:rsidRPr="001B72D6">
        <w:rPr>
          <w:rFonts w:cs="Arial"/>
          <w:lang w:val="en-US"/>
        </w:rPr>
      </w:r>
      <w:r w:rsidRPr="001B72D6">
        <w:rPr>
          <w:rFonts w:cs="Arial"/>
          <w:lang w:val="en-US"/>
        </w:rPr>
        <w:fldChar w:fldCharType="separate"/>
      </w:r>
      <w:r w:rsidR="001906DB">
        <w:rPr>
          <w:rFonts w:cs="Arial"/>
          <w:lang w:val="en-US"/>
        </w:rPr>
        <w:t>1.2</w:t>
      </w:r>
      <w:r w:rsidRPr="001B72D6">
        <w:rPr>
          <w:rFonts w:cs="Arial"/>
          <w:lang w:val="en-US"/>
        </w:rPr>
        <w:fldChar w:fldCharType="end"/>
      </w:r>
      <w:r w:rsidRPr="001B72D6">
        <w:rPr>
          <w:rFonts w:cs="Arial"/>
          <w:lang w:val="en-US"/>
        </w:rPr>
        <w:t>, and subject to the following adjustments:</w:t>
      </w:r>
    </w:p>
    <w:p w14:paraId="0C5AF753" w14:textId="77777777" w:rsidR="00E71FF2" w:rsidRPr="001B72D6" w:rsidRDefault="00E71FF2" w:rsidP="00E71FF2">
      <w:pPr>
        <w:rPr>
          <w:rFonts w:cs="Arial"/>
          <w:lang w:val="en-US"/>
        </w:rPr>
      </w:pPr>
    </w:p>
    <w:p w14:paraId="18CED6B0" w14:textId="1CA27FF2" w:rsidR="00E71FF2" w:rsidRPr="001B72D6" w:rsidRDefault="00E71FF2" w:rsidP="00BD2A74">
      <w:pPr>
        <w:pStyle w:val="ListParagraph"/>
        <w:numPr>
          <w:ilvl w:val="0"/>
          <w:numId w:val="18"/>
        </w:numPr>
        <w:spacing w:line="312" w:lineRule="auto"/>
        <w:jc w:val="both"/>
        <w:rPr>
          <w:rFonts w:cs="Arial"/>
          <w:lang w:val="en-US"/>
        </w:rPr>
      </w:pPr>
      <w:bookmarkStart w:id="17" w:name="_Hlk168916433"/>
      <w:r w:rsidRPr="001B72D6">
        <w:rPr>
          <w:rFonts w:cs="Arial"/>
          <w:lang w:val="en-US"/>
        </w:rPr>
        <w:t>Adjustments regarding EUA and CO</w:t>
      </w:r>
      <w:r w:rsidRPr="002276E8">
        <w:rPr>
          <w:rFonts w:cs="Arial"/>
          <w:vertAlign w:val="subscript"/>
          <w:lang w:val="en-US"/>
        </w:rPr>
        <w:t>2</w:t>
      </w:r>
      <w:r w:rsidRPr="001B72D6">
        <w:rPr>
          <w:rFonts w:cs="Arial"/>
          <w:lang w:val="en-US"/>
        </w:rPr>
        <w:t xml:space="preserve"> related taxes, see paragraph </w:t>
      </w:r>
      <w:r w:rsidRPr="001B72D6">
        <w:rPr>
          <w:rFonts w:cs="Arial"/>
          <w:lang w:val="en-US"/>
        </w:rPr>
        <w:fldChar w:fldCharType="begin"/>
      </w:r>
      <w:r w:rsidRPr="001B72D6">
        <w:rPr>
          <w:rFonts w:cs="Arial"/>
          <w:lang w:val="en-US"/>
        </w:rPr>
        <w:instrText xml:space="preserve"> REF _Ref168919017 \r \h </w:instrText>
      </w:r>
      <w:r>
        <w:rPr>
          <w:rFonts w:cs="Arial"/>
          <w:lang w:val="en-US"/>
        </w:rPr>
        <w:instrText xml:space="preserve"> \* MERGEFORMAT </w:instrText>
      </w:r>
      <w:r w:rsidRPr="001B72D6">
        <w:rPr>
          <w:rFonts w:cs="Arial"/>
          <w:lang w:val="en-US"/>
        </w:rPr>
      </w:r>
      <w:r w:rsidRPr="001B72D6">
        <w:rPr>
          <w:rFonts w:cs="Arial"/>
          <w:lang w:val="en-US"/>
        </w:rPr>
        <w:fldChar w:fldCharType="separate"/>
      </w:r>
      <w:r w:rsidR="001906DB">
        <w:rPr>
          <w:rFonts w:cs="Arial"/>
          <w:lang w:val="en-US"/>
        </w:rPr>
        <w:t>1.8.1</w:t>
      </w:r>
      <w:r w:rsidRPr="001B72D6">
        <w:rPr>
          <w:rFonts w:cs="Arial"/>
          <w:lang w:val="en-US"/>
        </w:rPr>
        <w:fldChar w:fldCharType="end"/>
      </w:r>
      <w:r w:rsidRPr="001B72D6">
        <w:rPr>
          <w:rFonts w:cs="Arial"/>
          <w:lang w:val="en-US"/>
        </w:rPr>
        <w:t>; and</w:t>
      </w:r>
    </w:p>
    <w:p w14:paraId="520EE5DE" w14:textId="48F8896A" w:rsidR="00E71FF2" w:rsidRPr="001B72D6" w:rsidRDefault="00E71FF2" w:rsidP="00BD2A74">
      <w:pPr>
        <w:pStyle w:val="ListParagraph"/>
        <w:numPr>
          <w:ilvl w:val="0"/>
          <w:numId w:val="18"/>
        </w:numPr>
        <w:spacing w:line="312" w:lineRule="auto"/>
        <w:jc w:val="both"/>
        <w:rPr>
          <w:rFonts w:cs="Arial"/>
          <w:lang w:val="en-US"/>
        </w:rPr>
      </w:pPr>
      <w:bookmarkStart w:id="18" w:name="_Hlk168916441"/>
      <w:bookmarkEnd w:id="17"/>
      <w:r w:rsidRPr="001B72D6">
        <w:rPr>
          <w:rFonts w:cs="Arial"/>
          <w:lang w:val="en-US"/>
        </w:rPr>
        <w:t>Adjustments regarding carbon credits related to the Storage of CO</w:t>
      </w:r>
      <w:r w:rsidRPr="002276E8">
        <w:rPr>
          <w:rFonts w:cs="Arial"/>
          <w:vertAlign w:val="subscript"/>
          <w:lang w:val="en-US"/>
        </w:rPr>
        <w:t>2</w:t>
      </w:r>
      <w:r w:rsidRPr="001B72D6">
        <w:rPr>
          <w:rFonts w:cs="Arial"/>
          <w:lang w:val="en-US"/>
        </w:rPr>
        <w:t xml:space="preserve"> and biogenic</w:t>
      </w:r>
      <w:r>
        <w:rPr>
          <w:rFonts w:cs="Arial"/>
          <w:lang w:val="en-US"/>
        </w:rPr>
        <w:t xml:space="preserve"> CO</w:t>
      </w:r>
      <w:r w:rsidRPr="002276E8">
        <w:rPr>
          <w:rFonts w:cs="Arial"/>
          <w:vertAlign w:val="subscript"/>
          <w:lang w:val="en-US"/>
        </w:rPr>
        <w:t>2</w:t>
      </w:r>
      <w:r>
        <w:rPr>
          <w:rFonts w:cs="Arial"/>
          <w:lang w:val="en-US"/>
        </w:rPr>
        <w:t xml:space="preserve"> </w:t>
      </w:r>
      <w:r w:rsidRPr="001B72D6">
        <w:rPr>
          <w:rFonts w:cs="Arial"/>
          <w:lang w:val="en-US"/>
        </w:rPr>
        <w:t>in relation to EU Em</w:t>
      </w:r>
      <w:r w:rsidR="002276E8">
        <w:rPr>
          <w:rFonts w:cs="Arial"/>
          <w:lang w:val="en-US"/>
        </w:rPr>
        <w:t>issions Trading</w:t>
      </w:r>
      <w:r w:rsidRPr="001B72D6">
        <w:rPr>
          <w:rFonts w:cs="Arial"/>
          <w:lang w:val="en-US"/>
        </w:rPr>
        <w:t xml:space="preserve"> Scheme or similar, see paragraph </w:t>
      </w:r>
      <w:r>
        <w:rPr>
          <w:rFonts w:cs="Arial"/>
          <w:lang w:val="en-US"/>
        </w:rPr>
        <w:fldChar w:fldCharType="begin"/>
      </w:r>
      <w:r>
        <w:rPr>
          <w:rFonts w:cs="Arial"/>
          <w:lang w:val="en-US"/>
        </w:rPr>
        <w:instrText xml:space="preserve"> REF _Ref169004391 \r \h </w:instrText>
      </w:r>
      <w:r>
        <w:rPr>
          <w:rFonts w:cs="Arial"/>
          <w:lang w:val="en-US"/>
        </w:rPr>
      </w:r>
      <w:r>
        <w:rPr>
          <w:rFonts w:cs="Arial"/>
          <w:lang w:val="en-US"/>
        </w:rPr>
        <w:fldChar w:fldCharType="separate"/>
      </w:r>
      <w:r w:rsidR="001906DB">
        <w:rPr>
          <w:rFonts w:cs="Arial"/>
          <w:lang w:val="en-US"/>
        </w:rPr>
        <w:t>1.8.2</w:t>
      </w:r>
      <w:r>
        <w:rPr>
          <w:rFonts w:cs="Arial"/>
          <w:lang w:val="en-US"/>
        </w:rPr>
        <w:fldChar w:fldCharType="end"/>
      </w:r>
      <w:r w:rsidRPr="001B72D6">
        <w:rPr>
          <w:rFonts w:cs="Arial"/>
          <w:lang w:val="en-US"/>
        </w:rPr>
        <w:t>.</w:t>
      </w:r>
    </w:p>
    <w:bookmarkEnd w:id="18"/>
    <w:p w14:paraId="20955DE0" w14:textId="77777777" w:rsidR="00E71FF2" w:rsidRPr="001B72D6" w:rsidRDefault="00E71FF2" w:rsidP="00E71FF2">
      <w:pPr>
        <w:rPr>
          <w:rFonts w:cs="Arial"/>
          <w:lang w:val="en-US"/>
        </w:rPr>
      </w:pPr>
    </w:p>
    <w:p w14:paraId="1D3F2741" w14:textId="77777777" w:rsidR="00E71FF2" w:rsidRPr="001B72D6" w:rsidRDefault="00E71FF2" w:rsidP="00E71FF2">
      <w:pPr>
        <w:rPr>
          <w:rFonts w:cs="Arial"/>
          <w:lang w:val="en-US"/>
        </w:rPr>
      </w:pPr>
      <w:r w:rsidRPr="001B72D6">
        <w:rPr>
          <w:rFonts w:cs="Arial"/>
          <w:lang w:val="en-US"/>
        </w:rPr>
        <w:t xml:space="preserve">For </w:t>
      </w:r>
      <w:r>
        <w:rPr>
          <w:rFonts w:cs="Arial"/>
          <w:lang w:val="en-US"/>
        </w:rPr>
        <w:t xml:space="preserve">each quarter </w:t>
      </w:r>
      <w:r w:rsidRPr="001B72D6">
        <w:rPr>
          <w:rFonts w:cs="Arial"/>
          <w:lang w:val="en-US"/>
        </w:rPr>
        <w:t xml:space="preserve">the DEA will </w:t>
      </w:r>
      <w:r>
        <w:rPr>
          <w:rFonts w:cs="Arial"/>
          <w:lang w:val="en-US"/>
        </w:rPr>
        <w:t>calculate the Subsidy Rate before the end of the quarter and inform the Operator of the Subsidy Rate no later than on the 20</w:t>
      </w:r>
      <w:r w:rsidRPr="001742ED">
        <w:rPr>
          <w:rFonts w:cs="Arial"/>
          <w:vertAlign w:val="superscript"/>
          <w:lang w:val="en-US"/>
        </w:rPr>
        <w:t>th</w:t>
      </w:r>
      <w:r>
        <w:rPr>
          <w:rFonts w:cs="Arial"/>
          <w:lang w:val="en-US"/>
        </w:rPr>
        <w:t xml:space="preserve"> in the last month of each quarter (i.e. no later than 20 March, 20 June, 20 September and 20 December). </w:t>
      </w:r>
      <w:r w:rsidRPr="001B72D6">
        <w:rPr>
          <w:rFonts w:cs="Arial"/>
          <w:lang w:val="en-US"/>
        </w:rPr>
        <w:t xml:space="preserve"> </w:t>
      </w:r>
    </w:p>
    <w:p w14:paraId="1AD1AA07" w14:textId="77777777" w:rsidR="00E71FF2" w:rsidRPr="001B72D6" w:rsidRDefault="00E71FF2" w:rsidP="00E71FF2">
      <w:pPr>
        <w:rPr>
          <w:rFonts w:cs="Arial"/>
          <w:lang w:val="en-US"/>
        </w:rPr>
      </w:pPr>
    </w:p>
    <w:p w14:paraId="787497F8" w14:textId="77777777" w:rsidR="00E71FF2" w:rsidRPr="001B72D6" w:rsidRDefault="00E71FF2" w:rsidP="00E71FF2">
      <w:pPr>
        <w:rPr>
          <w:rFonts w:cs="Arial"/>
          <w:lang w:val="en-US"/>
        </w:rPr>
      </w:pPr>
      <w:r w:rsidRPr="001B72D6">
        <w:rPr>
          <w:rFonts w:cs="Arial"/>
          <w:lang w:val="en-US"/>
        </w:rPr>
        <w:t xml:space="preserve">The Operator shall with each invoice provide a Quarterly Report on Delivered Quantity in accordance with R-6, Appendix 3, Requirements specification. Invoices </w:t>
      </w:r>
      <w:r w:rsidRPr="001B72D6">
        <w:rPr>
          <w:rFonts w:cs="Arial"/>
          <w:lang w:val="en-US"/>
        </w:rPr>
        <w:lastRenderedPageBreak/>
        <w:t>regarding Delivered Quantity in a given quarter and the Quarterly Report on Delivered Quantity shall be submitted no later than 10 Business Days after the end of the given quarter. Invoices regarding Delivered Quantity in the last quarter of a year shall be submitted to the DEA no later than 10 January of the following year.</w:t>
      </w:r>
    </w:p>
    <w:p w14:paraId="2BF70599" w14:textId="77777777" w:rsidR="00E71FF2" w:rsidRPr="001B72D6" w:rsidRDefault="00E71FF2" w:rsidP="00E71FF2">
      <w:pPr>
        <w:rPr>
          <w:rFonts w:cs="Arial"/>
          <w:lang w:val="en-US"/>
        </w:rPr>
      </w:pPr>
      <w:r w:rsidRPr="001B72D6">
        <w:rPr>
          <w:rFonts w:cs="Arial"/>
          <w:lang w:val="en-US"/>
        </w:rPr>
        <w:t xml:space="preserve"> </w:t>
      </w:r>
    </w:p>
    <w:p w14:paraId="3E9E85D7" w14:textId="77777777" w:rsidR="00E71FF2" w:rsidRPr="001B72D6" w:rsidRDefault="00E71FF2" w:rsidP="00BD2A74">
      <w:pPr>
        <w:pStyle w:val="Heading3"/>
        <w:keepLines w:val="0"/>
        <w:numPr>
          <w:ilvl w:val="2"/>
          <w:numId w:val="15"/>
        </w:numPr>
        <w:overflowPunct w:val="0"/>
        <w:autoSpaceDE w:val="0"/>
        <w:autoSpaceDN w:val="0"/>
        <w:adjustRightInd w:val="0"/>
        <w:spacing w:before="0" w:after="300" w:line="312" w:lineRule="auto"/>
        <w:jc w:val="both"/>
        <w:textAlignment w:val="baseline"/>
        <w:rPr>
          <w:rFonts w:ascii="Arial" w:hAnsi="Arial" w:cs="Arial"/>
          <w:lang w:val="en-US"/>
        </w:rPr>
      </w:pPr>
      <w:bookmarkStart w:id="19" w:name="_Ref168919017"/>
      <w:r w:rsidRPr="001B72D6">
        <w:rPr>
          <w:rFonts w:ascii="Arial" w:hAnsi="Arial" w:cs="Arial"/>
          <w:lang w:val="en-US"/>
        </w:rPr>
        <w:t>Subsidy Rate adjustments regarding EUA and CO</w:t>
      </w:r>
      <w:r w:rsidRPr="00CA2474">
        <w:rPr>
          <w:rFonts w:ascii="Arial" w:hAnsi="Arial" w:cs="Arial"/>
          <w:vertAlign w:val="subscript"/>
          <w:lang w:val="en-US"/>
        </w:rPr>
        <w:t>2</w:t>
      </w:r>
      <w:r w:rsidRPr="001B72D6">
        <w:rPr>
          <w:rFonts w:ascii="Arial" w:hAnsi="Arial" w:cs="Arial"/>
          <w:lang w:val="en-US"/>
        </w:rPr>
        <w:t xml:space="preserve"> related taxes</w:t>
      </w:r>
      <w:bookmarkEnd w:id="19"/>
    </w:p>
    <w:p w14:paraId="628158FA" w14:textId="77777777" w:rsidR="00E71FF2" w:rsidRPr="001B72D6" w:rsidRDefault="00E71FF2" w:rsidP="00E71FF2">
      <w:pPr>
        <w:rPr>
          <w:rFonts w:cs="Arial"/>
          <w:lang w:val="en-US"/>
        </w:rPr>
      </w:pPr>
      <w:r w:rsidRPr="001B72D6">
        <w:rPr>
          <w:rFonts w:cs="Arial"/>
          <w:lang w:val="en-US"/>
        </w:rPr>
        <w:t>The DEA will on a quarterly basis calculate whether increased EUA prices and increased CO</w:t>
      </w:r>
      <w:r w:rsidRPr="00CA2474">
        <w:rPr>
          <w:rFonts w:cs="Arial"/>
          <w:vertAlign w:val="subscript"/>
          <w:lang w:val="en-US"/>
        </w:rPr>
        <w:t>2</w:t>
      </w:r>
      <w:r w:rsidRPr="001B72D6">
        <w:rPr>
          <w:rFonts w:cs="Arial"/>
          <w:lang w:val="en-US"/>
        </w:rPr>
        <w:t xml:space="preserve"> related taxes and/or an increased fossil fraction </w:t>
      </w:r>
      <w:r>
        <w:rPr>
          <w:rFonts w:cs="Arial"/>
          <w:lang w:val="en-US"/>
        </w:rPr>
        <w:t xml:space="preserve">(based on the </w:t>
      </w:r>
      <w:r w:rsidRPr="001B72D6">
        <w:rPr>
          <w:rFonts w:cs="Arial"/>
          <w:lang w:val="en-US"/>
        </w:rPr>
        <w:t>Forecast Fossil EUA Fraction compared to Baseline Fossil EUA Fraction</w:t>
      </w:r>
      <w:r>
        <w:rPr>
          <w:rFonts w:cs="Arial"/>
          <w:lang w:val="en-US"/>
        </w:rPr>
        <w:t>)</w:t>
      </w:r>
      <w:r w:rsidRPr="001B72D6">
        <w:rPr>
          <w:rFonts w:cs="Arial"/>
          <w:lang w:val="en-US"/>
        </w:rPr>
        <w:t xml:space="preserve"> entails that the Operator has achieved a larger saving than specified in the contract, thus entailing a reduction of the Subsidy Rate.</w:t>
      </w:r>
    </w:p>
    <w:p w14:paraId="173F60CA" w14:textId="77777777" w:rsidR="00E71FF2" w:rsidRPr="001B72D6" w:rsidRDefault="00E71FF2" w:rsidP="00E71FF2">
      <w:pPr>
        <w:rPr>
          <w:rFonts w:cs="Arial"/>
          <w:lang w:val="en-US"/>
        </w:rPr>
      </w:pPr>
    </w:p>
    <w:p w14:paraId="7570E36C" w14:textId="77777777" w:rsidR="00E71FF2" w:rsidRPr="001B72D6" w:rsidRDefault="00E71FF2" w:rsidP="00E71FF2">
      <w:pPr>
        <w:rPr>
          <w:rFonts w:cs="Arial"/>
          <w:lang w:val="en-US"/>
        </w:rPr>
      </w:pPr>
      <w:r w:rsidRPr="001B72D6">
        <w:rPr>
          <w:rFonts w:cs="Arial"/>
          <w:lang w:val="en-US"/>
        </w:rPr>
        <w:t>This means that the DEA will calculate:</w:t>
      </w:r>
    </w:p>
    <w:p w14:paraId="06D18F5D" w14:textId="77777777" w:rsidR="00E71FF2" w:rsidRPr="001B72D6" w:rsidRDefault="00E71FF2" w:rsidP="00E71FF2">
      <w:pPr>
        <w:rPr>
          <w:rFonts w:cs="Arial"/>
          <w:lang w:val="en-US"/>
        </w:rPr>
      </w:pPr>
    </w:p>
    <w:p w14:paraId="30759045" w14:textId="77777777" w:rsidR="00E71FF2" w:rsidRPr="001B72D6" w:rsidRDefault="00E71FF2" w:rsidP="00BD2A74">
      <w:pPr>
        <w:pStyle w:val="ListParagraph"/>
        <w:numPr>
          <w:ilvl w:val="0"/>
          <w:numId w:val="19"/>
        </w:numPr>
        <w:spacing w:line="312" w:lineRule="auto"/>
        <w:jc w:val="both"/>
        <w:rPr>
          <w:rFonts w:cs="Arial"/>
          <w:lang w:val="en-US"/>
        </w:rPr>
      </w:pPr>
      <w:r w:rsidRPr="001B72D6">
        <w:rPr>
          <w:rFonts w:cs="Arial"/>
          <w:lang w:val="en-US"/>
        </w:rPr>
        <w:t>The difference</w:t>
      </w:r>
      <w:r w:rsidRPr="001B72D6">
        <w:rPr>
          <w:rStyle w:val="FootnoteReference"/>
          <w:rFonts w:cs="Arial"/>
        </w:rPr>
        <w:footnoteReference w:id="12"/>
      </w:r>
      <w:r w:rsidRPr="001B72D6">
        <w:rPr>
          <w:rFonts w:cs="Arial"/>
          <w:lang w:val="en-US"/>
        </w:rPr>
        <w:t xml:space="preserve"> between EUA savings per </w:t>
      </w:r>
      <w:proofErr w:type="spellStart"/>
      <w:r w:rsidRPr="001B72D6">
        <w:rPr>
          <w:rFonts w:cs="Arial"/>
          <w:lang w:val="en-US"/>
        </w:rPr>
        <w:t>tonne</w:t>
      </w:r>
      <w:proofErr w:type="spellEnd"/>
      <w:r w:rsidRPr="001B72D6">
        <w:rPr>
          <w:rFonts w:cs="Arial"/>
          <w:lang w:val="en-US"/>
        </w:rPr>
        <w:t xml:space="preserve"> of CO</w:t>
      </w:r>
      <w:r w:rsidRPr="001B72D6">
        <w:rPr>
          <w:rFonts w:cs="Arial"/>
          <w:vertAlign w:val="subscript"/>
          <w:lang w:val="en-US"/>
        </w:rPr>
        <w:t>2</w:t>
      </w:r>
      <w:r w:rsidRPr="001B72D6">
        <w:rPr>
          <w:rFonts w:cs="Arial"/>
          <w:lang w:val="en-US"/>
        </w:rPr>
        <w:t xml:space="preserve"> based on the market value of EUA</w:t>
      </w:r>
      <w:r w:rsidRPr="001B72D6">
        <w:rPr>
          <w:rStyle w:val="FootnoteReference"/>
          <w:rFonts w:cs="Arial"/>
        </w:rPr>
        <w:footnoteReference w:id="13"/>
      </w:r>
      <w:r w:rsidRPr="001B72D6">
        <w:rPr>
          <w:rFonts w:cs="Arial"/>
          <w:lang w:val="en-US"/>
        </w:rPr>
        <w:t xml:space="preserve"> and the Baseline EUA Savings per </w:t>
      </w:r>
      <w:proofErr w:type="spellStart"/>
      <w:r w:rsidRPr="001B72D6">
        <w:rPr>
          <w:rFonts w:cs="Arial"/>
          <w:lang w:val="en-US"/>
        </w:rPr>
        <w:t>tonne</w:t>
      </w:r>
      <w:proofErr w:type="spellEnd"/>
      <w:r w:rsidRPr="001B72D6">
        <w:rPr>
          <w:rFonts w:cs="Arial"/>
          <w:lang w:val="en-US"/>
        </w:rPr>
        <w:t xml:space="preserve"> of CO</w:t>
      </w:r>
      <w:r w:rsidRPr="001B72D6">
        <w:rPr>
          <w:rFonts w:cs="Arial"/>
          <w:vertAlign w:val="subscript"/>
          <w:lang w:val="en-US"/>
        </w:rPr>
        <w:t>2</w:t>
      </w:r>
      <w:r w:rsidRPr="001B72D6">
        <w:rPr>
          <w:rStyle w:val="FootnoteReference"/>
          <w:rFonts w:cs="Arial"/>
        </w:rPr>
        <w:footnoteReference w:id="14"/>
      </w:r>
      <w:r w:rsidRPr="001B72D6">
        <w:rPr>
          <w:rFonts w:cs="Arial"/>
          <w:lang w:val="en-US"/>
        </w:rPr>
        <w:t>; and</w:t>
      </w:r>
    </w:p>
    <w:p w14:paraId="292C645C" w14:textId="0966BAA8" w:rsidR="00E71FF2" w:rsidRPr="001B72D6" w:rsidRDefault="00E71FF2" w:rsidP="00BD2A74">
      <w:pPr>
        <w:pStyle w:val="ListParagraph"/>
        <w:numPr>
          <w:ilvl w:val="0"/>
          <w:numId w:val="19"/>
        </w:numPr>
        <w:spacing w:line="312" w:lineRule="auto"/>
        <w:jc w:val="both"/>
        <w:rPr>
          <w:rFonts w:cs="Arial"/>
          <w:lang w:val="en-US"/>
        </w:rPr>
      </w:pPr>
      <w:r w:rsidRPr="001B72D6">
        <w:rPr>
          <w:rFonts w:cs="Arial"/>
          <w:lang w:val="en-US"/>
        </w:rPr>
        <w:t>The difference</w:t>
      </w:r>
      <w:r w:rsidRPr="001B72D6">
        <w:rPr>
          <w:rStyle w:val="FootnoteReference"/>
          <w:rFonts w:cs="Arial"/>
        </w:rPr>
        <w:footnoteReference w:id="15"/>
      </w:r>
      <w:r w:rsidRPr="001B72D6">
        <w:rPr>
          <w:rFonts w:cs="Arial"/>
          <w:lang w:val="en-US"/>
        </w:rPr>
        <w:t xml:space="preserve"> between the CO</w:t>
      </w:r>
      <w:r w:rsidRPr="00CA0B80">
        <w:rPr>
          <w:rFonts w:cs="Arial"/>
          <w:vertAlign w:val="subscript"/>
          <w:lang w:val="en-US"/>
        </w:rPr>
        <w:t>2</w:t>
      </w:r>
      <w:r w:rsidRPr="001B72D6">
        <w:rPr>
          <w:rFonts w:cs="Arial"/>
          <w:lang w:val="en-US"/>
        </w:rPr>
        <w:t xml:space="preserve"> related tax savings per </w:t>
      </w:r>
      <w:proofErr w:type="spellStart"/>
      <w:r w:rsidRPr="001B72D6">
        <w:rPr>
          <w:rFonts w:cs="Arial"/>
          <w:lang w:val="en-US"/>
        </w:rPr>
        <w:t>tonne</w:t>
      </w:r>
      <w:proofErr w:type="spellEnd"/>
      <w:r w:rsidRPr="001B72D6">
        <w:rPr>
          <w:rFonts w:cs="Arial"/>
          <w:lang w:val="en-US"/>
        </w:rPr>
        <w:t xml:space="preserve"> of CO</w:t>
      </w:r>
      <w:r w:rsidRPr="001B72D6">
        <w:rPr>
          <w:rFonts w:cs="Arial"/>
          <w:vertAlign w:val="subscript"/>
          <w:lang w:val="en-US"/>
        </w:rPr>
        <w:t>2</w:t>
      </w:r>
      <w:r>
        <w:rPr>
          <w:rFonts w:cs="Arial"/>
          <w:vertAlign w:val="subscript"/>
          <w:lang w:val="en-US"/>
        </w:rPr>
        <w:t xml:space="preserve"> </w:t>
      </w:r>
      <w:r w:rsidRPr="001B72D6">
        <w:rPr>
          <w:rFonts w:cs="Arial"/>
          <w:lang w:val="en-US"/>
        </w:rPr>
        <w:t>based on the tax rate according to the legislation applicable at the time of invoicing</w:t>
      </w:r>
      <w:r w:rsidRPr="001B72D6">
        <w:rPr>
          <w:rStyle w:val="FootnoteReference"/>
          <w:rFonts w:cs="Arial"/>
        </w:rPr>
        <w:footnoteReference w:id="16"/>
      </w:r>
      <w:r w:rsidRPr="001B72D6">
        <w:rPr>
          <w:rFonts w:cs="Arial"/>
          <w:lang w:val="en-US"/>
        </w:rPr>
        <w:t xml:space="preserve"> and the Baseline Tax Savings per </w:t>
      </w:r>
      <w:proofErr w:type="spellStart"/>
      <w:r w:rsidRPr="001B72D6">
        <w:rPr>
          <w:rFonts w:cs="Arial"/>
          <w:lang w:val="en-US"/>
        </w:rPr>
        <w:t>tonne</w:t>
      </w:r>
      <w:proofErr w:type="spellEnd"/>
      <w:r w:rsidRPr="001B72D6">
        <w:rPr>
          <w:rFonts w:cs="Arial"/>
          <w:lang w:val="en-US"/>
        </w:rPr>
        <w:t xml:space="preserve"> of CO</w:t>
      </w:r>
      <w:r w:rsidRPr="001B72D6">
        <w:rPr>
          <w:rFonts w:cs="Arial"/>
          <w:vertAlign w:val="subscript"/>
          <w:lang w:val="en-US"/>
        </w:rPr>
        <w:t>2</w:t>
      </w:r>
      <w:r w:rsidR="00CA0B80" w:rsidRPr="00CA0B80">
        <w:rPr>
          <w:rFonts w:cs="Arial"/>
          <w:lang w:val="en-US"/>
        </w:rPr>
        <w:t>.</w:t>
      </w:r>
      <w:r w:rsidRPr="001B72D6">
        <w:rPr>
          <w:rStyle w:val="FootnoteReference"/>
          <w:rFonts w:cs="Arial"/>
        </w:rPr>
        <w:footnoteReference w:id="17"/>
      </w:r>
    </w:p>
    <w:p w14:paraId="2712E73A" w14:textId="77777777" w:rsidR="00E71FF2" w:rsidRPr="001B72D6" w:rsidRDefault="00E71FF2" w:rsidP="00E71FF2">
      <w:pPr>
        <w:rPr>
          <w:rFonts w:cs="Arial"/>
          <w:lang w:val="en-US"/>
        </w:rPr>
      </w:pPr>
    </w:p>
    <w:p w14:paraId="1B3D72B1" w14:textId="2ECF39C5" w:rsidR="00E71FF2" w:rsidRDefault="00E71FF2" w:rsidP="00E71FF2">
      <w:pPr>
        <w:rPr>
          <w:rFonts w:cs="Arial"/>
          <w:lang w:val="en-US"/>
        </w:rPr>
      </w:pPr>
      <w:r w:rsidRPr="001B72D6">
        <w:rPr>
          <w:rFonts w:cs="Arial"/>
          <w:lang w:val="en-US"/>
        </w:rPr>
        <w:t xml:space="preserve">If the total sum of a) and b) is positive (i.e. more than zero), the subsidy will be reduced with an amount equal to the sum. This means that the </w:t>
      </w:r>
      <w:r>
        <w:rPr>
          <w:rFonts w:cs="Arial"/>
          <w:lang w:val="en-US"/>
        </w:rPr>
        <w:t>s</w:t>
      </w:r>
      <w:r w:rsidRPr="001B72D6">
        <w:rPr>
          <w:rFonts w:cs="Arial"/>
          <w:lang w:val="en-US"/>
        </w:rPr>
        <w:t xml:space="preserve">ubsidy will only be reduced if the </w:t>
      </w:r>
      <w:r>
        <w:rPr>
          <w:rFonts w:cs="Arial"/>
          <w:lang w:val="en-US"/>
        </w:rPr>
        <w:t xml:space="preserve">total </w:t>
      </w:r>
      <w:r w:rsidRPr="001B72D6">
        <w:rPr>
          <w:rFonts w:cs="Arial"/>
          <w:lang w:val="en-US"/>
        </w:rPr>
        <w:t>sum of EUA savings and CO</w:t>
      </w:r>
      <w:r w:rsidRPr="00DE32ED">
        <w:rPr>
          <w:rFonts w:cs="Arial"/>
          <w:vertAlign w:val="subscript"/>
          <w:lang w:val="en-US"/>
        </w:rPr>
        <w:t>2</w:t>
      </w:r>
      <w:r w:rsidRPr="001B72D6">
        <w:rPr>
          <w:rFonts w:cs="Arial"/>
          <w:lang w:val="en-US"/>
        </w:rPr>
        <w:t xml:space="preserve"> related tax saving exceeds the amounts specified in the contract for the given year.</w:t>
      </w:r>
    </w:p>
    <w:p w14:paraId="5EE810F5" w14:textId="3945225B" w:rsidR="00CB3BEA" w:rsidRDefault="00CB3BEA" w:rsidP="00E71FF2">
      <w:pPr>
        <w:rPr>
          <w:rFonts w:cs="Arial"/>
          <w:lang w:val="en-US"/>
        </w:rPr>
      </w:pPr>
    </w:p>
    <w:p w14:paraId="2C43DB8B" w14:textId="77777777" w:rsidR="00CB3BEA" w:rsidRPr="001B72D6" w:rsidRDefault="00CB3BEA" w:rsidP="00E71FF2">
      <w:pPr>
        <w:rPr>
          <w:rFonts w:cs="Arial"/>
          <w:lang w:val="en-US"/>
        </w:rPr>
      </w:pPr>
    </w:p>
    <w:p w14:paraId="1F65A2E1" w14:textId="77777777" w:rsidR="00E71FF2" w:rsidRPr="001B72D6" w:rsidRDefault="00E71FF2" w:rsidP="00E71FF2">
      <w:pPr>
        <w:rPr>
          <w:rFonts w:cs="Arial"/>
          <w:lang w:val="en-US"/>
        </w:rPr>
      </w:pPr>
    </w:p>
    <w:p w14:paraId="19265C85" w14:textId="4925C211" w:rsidR="00E71FF2" w:rsidRPr="001B72D6" w:rsidRDefault="00E71FF2" w:rsidP="00BD2A74">
      <w:pPr>
        <w:pStyle w:val="Heading3"/>
        <w:keepLines w:val="0"/>
        <w:numPr>
          <w:ilvl w:val="2"/>
          <w:numId w:val="15"/>
        </w:numPr>
        <w:overflowPunct w:val="0"/>
        <w:autoSpaceDE w:val="0"/>
        <w:autoSpaceDN w:val="0"/>
        <w:adjustRightInd w:val="0"/>
        <w:spacing w:before="0" w:after="300" w:line="312" w:lineRule="auto"/>
        <w:jc w:val="both"/>
        <w:textAlignment w:val="baseline"/>
        <w:rPr>
          <w:rFonts w:ascii="Arial" w:hAnsi="Arial" w:cs="Arial"/>
          <w:lang w:val="en-US"/>
        </w:rPr>
      </w:pPr>
      <w:bookmarkStart w:id="21" w:name="_Ref169004391"/>
      <w:r w:rsidRPr="001B72D6">
        <w:rPr>
          <w:rFonts w:ascii="Arial" w:hAnsi="Arial" w:cs="Arial"/>
          <w:lang w:val="en-US"/>
        </w:rPr>
        <w:t xml:space="preserve">Subsidy Rate Adjustments regarding carbon credits and </w:t>
      </w:r>
      <w:r>
        <w:rPr>
          <w:rFonts w:ascii="Arial" w:hAnsi="Arial" w:cs="Arial"/>
          <w:lang w:val="en-US"/>
        </w:rPr>
        <w:t>b</w:t>
      </w:r>
      <w:r w:rsidRPr="001B72D6">
        <w:rPr>
          <w:rFonts w:ascii="Arial" w:hAnsi="Arial" w:cs="Arial"/>
          <w:lang w:val="en-US"/>
        </w:rPr>
        <w:t>iogenic CO</w:t>
      </w:r>
      <w:r w:rsidRPr="00DE32ED">
        <w:rPr>
          <w:rFonts w:ascii="Arial" w:hAnsi="Arial" w:cs="Arial"/>
          <w:vertAlign w:val="subscript"/>
          <w:lang w:val="en-US"/>
        </w:rPr>
        <w:t>2</w:t>
      </w:r>
      <w:r w:rsidRPr="001B72D6">
        <w:rPr>
          <w:rFonts w:ascii="Arial" w:hAnsi="Arial" w:cs="Arial"/>
          <w:lang w:val="en-US"/>
        </w:rPr>
        <w:t xml:space="preserve"> in relation to EU E</w:t>
      </w:r>
      <w:r w:rsidR="00DE32ED">
        <w:rPr>
          <w:rFonts w:ascii="Arial" w:hAnsi="Arial" w:cs="Arial"/>
          <w:lang w:val="en-US"/>
        </w:rPr>
        <w:t>missions Trading</w:t>
      </w:r>
      <w:r w:rsidRPr="001B72D6">
        <w:rPr>
          <w:rFonts w:ascii="Arial" w:hAnsi="Arial" w:cs="Arial"/>
          <w:lang w:val="en-US"/>
        </w:rPr>
        <w:t xml:space="preserve"> Scheme or similar</w:t>
      </w:r>
      <w:r w:rsidRPr="00FA2009">
        <w:rPr>
          <w:rFonts w:ascii="Arial" w:hAnsi="Arial" w:cs="Arial"/>
          <w:lang w:val="en-US"/>
        </w:rPr>
        <w:t xml:space="preserve"> </w:t>
      </w:r>
      <w:r w:rsidR="00DE32ED">
        <w:rPr>
          <w:rFonts w:ascii="Arial" w:hAnsi="Arial" w:cs="Arial"/>
          <w:lang w:val="en-US"/>
        </w:rPr>
        <w:t>EU-mandated trading</w:t>
      </w:r>
      <w:r w:rsidRPr="001B72D6">
        <w:rPr>
          <w:rFonts w:ascii="Arial" w:hAnsi="Arial" w:cs="Arial"/>
          <w:lang w:val="en-US"/>
        </w:rPr>
        <w:t xml:space="preserve"> scheme</w:t>
      </w:r>
      <w:bookmarkEnd w:id="21"/>
    </w:p>
    <w:p w14:paraId="6FB8186E" w14:textId="77777777" w:rsidR="00E71FF2" w:rsidRPr="001B72D6" w:rsidRDefault="00E71FF2" w:rsidP="00E71FF2">
      <w:pPr>
        <w:rPr>
          <w:rFonts w:cs="Arial"/>
          <w:lang w:val="en-US"/>
        </w:rPr>
      </w:pPr>
      <w:r w:rsidRPr="001B72D6">
        <w:rPr>
          <w:rFonts w:cs="Arial"/>
          <w:lang w:val="en-US"/>
        </w:rPr>
        <w:t>The DEA will calculate whether an increased income generated by carbon credits related to the Storage of CO</w:t>
      </w:r>
      <w:r w:rsidRPr="001906DB">
        <w:rPr>
          <w:rFonts w:cs="Arial"/>
          <w:vertAlign w:val="subscript"/>
          <w:lang w:val="en-US"/>
        </w:rPr>
        <w:t>2</w:t>
      </w:r>
      <w:r w:rsidRPr="001B72D6">
        <w:rPr>
          <w:rFonts w:cs="Arial"/>
          <w:lang w:val="en-US"/>
        </w:rPr>
        <w:t xml:space="preserve"> entails that the Operator has achieved a larger income than specified in the contract. </w:t>
      </w:r>
    </w:p>
    <w:p w14:paraId="048E240F" w14:textId="77777777" w:rsidR="00E71FF2" w:rsidRPr="001B72D6" w:rsidRDefault="00E71FF2" w:rsidP="00E71FF2">
      <w:pPr>
        <w:rPr>
          <w:rFonts w:cs="Arial"/>
          <w:lang w:val="en-US"/>
        </w:rPr>
      </w:pPr>
    </w:p>
    <w:p w14:paraId="5C09FCBC" w14:textId="5983FB59" w:rsidR="00E71FF2" w:rsidRPr="007609EB" w:rsidRDefault="00E71FF2" w:rsidP="00E71FF2">
      <w:pPr>
        <w:rPr>
          <w:rFonts w:cs="Arial"/>
          <w:lang w:val="en-US"/>
        </w:rPr>
      </w:pPr>
      <w:r w:rsidRPr="001B72D6">
        <w:rPr>
          <w:rFonts w:cs="Arial"/>
          <w:lang w:val="en-US"/>
        </w:rPr>
        <w:t xml:space="preserve">Each year the Operator shall inform the DEA of any </w:t>
      </w:r>
      <w:r>
        <w:rPr>
          <w:rFonts w:cs="Arial"/>
          <w:lang w:val="en-US"/>
        </w:rPr>
        <w:t xml:space="preserve">expected </w:t>
      </w:r>
      <w:r w:rsidRPr="001B72D6">
        <w:rPr>
          <w:rFonts w:cs="Arial"/>
          <w:lang w:val="en-US"/>
        </w:rPr>
        <w:t xml:space="preserve">income generated by carbon credits related to the Storage of </w:t>
      </w:r>
      <w:r>
        <w:rPr>
          <w:rFonts w:cs="Arial"/>
          <w:lang w:val="en-US"/>
        </w:rPr>
        <w:t>the 2029-Quantity, if relevant, and the Annual Quantity fo</w:t>
      </w:r>
      <w:r w:rsidR="00621E91">
        <w:rPr>
          <w:rFonts w:cs="Arial"/>
          <w:lang w:val="en-US"/>
        </w:rPr>
        <w:t xml:space="preserve">r the following year, see R-6, </w:t>
      </w:r>
      <w:r>
        <w:rPr>
          <w:rFonts w:cs="Arial"/>
          <w:lang w:val="en-US"/>
        </w:rPr>
        <w:t>Appendix 3, Requirements specification</w:t>
      </w:r>
      <w:r w:rsidRPr="001B72D6">
        <w:rPr>
          <w:rFonts w:cs="Arial"/>
          <w:lang w:val="en-US"/>
        </w:rPr>
        <w:t>.</w:t>
      </w:r>
    </w:p>
    <w:p w14:paraId="0631955D" w14:textId="77777777" w:rsidR="00E71FF2" w:rsidRPr="001B72D6" w:rsidRDefault="00E71FF2" w:rsidP="00E71FF2">
      <w:pPr>
        <w:rPr>
          <w:rFonts w:cs="Arial"/>
          <w:lang w:val="en-US"/>
        </w:rPr>
      </w:pPr>
    </w:p>
    <w:p w14:paraId="373BB4D4" w14:textId="77777777" w:rsidR="00E71FF2" w:rsidRPr="001B72D6" w:rsidRDefault="00E71FF2" w:rsidP="00E71FF2">
      <w:pPr>
        <w:rPr>
          <w:rFonts w:cs="Arial"/>
          <w:lang w:val="en-US"/>
        </w:rPr>
      </w:pPr>
      <w:r w:rsidRPr="001B72D6">
        <w:rPr>
          <w:rFonts w:cs="Arial"/>
          <w:lang w:val="en-US"/>
        </w:rPr>
        <w:t>This means that the DEA will calculate:</w:t>
      </w:r>
    </w:p>
    <w:p w14:paraId="0894EAA8" w14:textId="77777777" w:rsidR="00E71FF2" w:rsidRPr="001B72D6" w:rsidRDefault="00E71FF2" w:rsidP="00E71FF2">
      <w:pPr>
        <w:rPr>
          <w:rFonts w:cs="Arial"/>
          <w:lang w:val="en-US"/>
        </w:rPr>
      </w:pPr>
    </w:p>
    <w:p w14:paraId="53FAE700" w14:textId="77777777" w:rsidR="00E71FF2" w:rsidRPr="001B72D6" w:rsidRDefault="00E71FF2" w:rsidP="00BD2A74">
      <w:pPr>
        <w:pStyle w:val="ListParagraph"/>
        <w:numPr>
          <w:ilvl w:val="0"/>
          <w:numId w:val="22"/>
        </w:numPr>
        <w:spacing w:line="312" w:lineRule="auto"/>
        <w:jc w:val="both"/>
        <w:rPr>
          <w:rFonts w:cs="Arial"/>
          <w:lang w:val="en-US"/>
        </w:rPr>
      </w:pPr>
      <w:r>
        <w:rPr>
          <w:rFonts w:cs="Arial"/>
          <w:lang w:val="en-US"/>
        </w:rPr>
        <w:t xml:space="preserve">The difference between the Forecast Carbon Credits Income and </w:t>
      </w:r>
      <w:r w:rsidRPr="001B72D6">
        <w:rPr>
          <w:rFonts w:cs="Arial"/>
          <w:lang w:val="en-US"/>
        </w:rPr>
        <w:t>the Baseline Carbon Credits Income.</w:t>
      </w:r>
      <w:r w:rsidRPr="001B72D6">
        <w:rPr>
          <w:rStyle w:val="FootnoteReference"/>
          <w:rFonts w:cs="Arial"/>
        </w:rPr>
        <w:footnoteReference w:id="18"/>
      </w:r>
      <w:r w:rsidRPr="001B72D6">
        <w:rPr>
          <w:rFonts w:cs="Arial"/>
          <w:lang w:val="en-US"/>
        </w:rPr>
        <w:t xml:space="preserve"> </w:t>
      </w:r>
      <w:r>
        <w:rPr>
          <w:rFonts w:cs="Arial"/>
          <w:lang w:val="en-US"/>
        </w:rPr>
        <w:t>If the Forecast Carbon Credits Income is higher than the Baseline Carbon Credits Income t</w:t>
      </w:r>
      <w:r w:rsidRPr="001B72D6">
        <w:rPr>
          <w:rFonts w:cs="Arial"/>
          <w:lang w:val="en-US"/>
        </w:rPr>
        <w:t>he subsidy will be reduced with 90% of such excess income.</w:t>
      </w:r>
    </w:p>
    <w:p w14:paraId="5B7CDF23" w14:textId="77777777" w:rsidR="00E71FF2" w:rsidRPr="001B72D6" w:rsidRDefault="00E71FF2" w:rsidP="00E71FF2">
      <w:pPr>
        <w:rPr>
          <w:rFonts w:cs="Arial"/>
          <w:lang w:val="en-US"/>
        </w:rPr>
      </w:pPr>
    </w:p>
    <w:p w14:paraId="60893062" w14:textId="6B56F839" w:rsidR="00E71FF2" w:rsidRPr="001B72D6" w:rsidRDefault="00E71FF2" w:rsidP="00E71FF2">
      <w:pPr>
        <w:rPr>
          <w:rFonts w:cs="Arial"/>
          <w:lang w:val="en-US"/>
        </w:rPr>
      </w:pPr>
      <w:r w:rsidRPr="001B72D6">
        <w:rPr>
          <w:rFonts w:cs="Arial"/>
          <w:lang w:val="en-US"/>
        </w:rPr>
        <w:t>If future legislation entails that partici</w:t>
      </w:r>
      <w:r w:rsidR="007B28A2">
        <w:rPr>
          <w:rFonts w:cs="Arial"/>
          <w:lang w:val="en-US"/>
        </w:rPr>
        <w:t>pation in the EU Emissions Trading</w:t>
      </w:r>
      <w:r w:rsidRPr="001B72D6">
        <w:rPr>
          <w:rFonts w:cs="Arial"/>
          <w:lang w:val="en-US"/>
        </w:rPr>
        <w:t xml:space="preserve"> Scheme (ETS)</w:t>
      </w:r>
      <w:r w:rsidR="007B28A2">
        <w:rPr>
          <w:rFonts w:cs="Arial"/>
          <w:lang w:val="en-US"/>
        </w:rPr>
        <w:t>, or a similar EU-mandated trading</w:t>
      </w:r>
      <w:r w:rsidRPr="001B72D6">
        <w:rPr>
          <w:rFonts w:cs="Arial"/>
          <w:lang w:val="en-US"/>
        </w:rPr>
        <w:t xml:space="preserve"> scheme, becomes mandatory for emitters of biogenic</w:t>
      </w:r>
      <w:r>
        <w:rPr>
          <w:rFonts w:cs="Arial"/>
          <w:lang w:val="en-US"/>
        </w:rPr>
        <w:t xml:space="preserve"> CO</w:t>
      </w:r>
      <w:r w:rsidRPr="00B21CB7">
        <w:rPr>
          <w:rFonts w:cs="Arial"/>
          <w:vertAlign w:val="subscript"/>
          <w:lang w:val="en-US"/>
        </w:rPr>
        <w:t>2</w:t>
      </w:r>
      <w:r w:rsidRPr="001B72D6">
        <w:rPr>
          <w:rFonts w:cs="Arial"/>
          <w:lang w:val="en-US"/>
        </w:rPr>
        <w:t xml:space="preserve"> and under the preconditions in paragraph </w:t>
      </w:r>
      <w:r w:rsidRPr="001B72D6">
        <w:rPr>
          <w:rFonts w:cs="Arial"/>
          <w:lang w:val="en-US"/>
        </w:rPr>
        <w:fldChar w:fldCharType="begin"/>
      </w:r>
      <w:r w:rsidRPr="001B72D6">
        <w:rPr>
          <w:rFonts w:cs="Arial"/>
          <w:lang w:val="en-US"/>
        </w:rPr>
        <w:instrText xml:space="preserve"> REF _Ref168918858 \r \h </w:instrText>
      </w:r>
      <w:r>
        <w:rPr>
          <w:rFonts w:cs="Arial"/>
          <w:lang w:val="en-US"/>
        </w:rPr>
        <w:instrText xml:space="preserve"> \* MERGEFORMAT </w:instrText>
      </w:r>
      <w:r w:rsidRPr="001B72D6">
        <w:rPr>
          <w:rFonts w:cs="Arial"/>
          <w:lang w:val="en-US"/>
        </w:rPr>
      </w:r>
      <w:r w:rsidRPr="001B72D6">
        <w:rPr>
          <w:rFonts w:cs="Arial"/>
          <w:lang w:val="en-US"/>
        </w:rPr>
        <w:fldChar w:fldCharType="separate"/>
      </w:r>
      <w:r w:rsidR="001906DB">
        <w:rPr>
          <w:rFonts w:cs="Arial"/>
          <w:lang w:val="en-US"/>
        </w:rPr>
        <w:t>1.6</w:t>
      </w:r>
      <w:r w:rsidRPr="001B72D6">
        <w:rPr>
          <w:rFonts w:cs="Arial"/>
          <w:lang w:val="en-US"/>
        </w:rPr>
        <w:fldChar w:fldCharType="end"/>
      </w:r>
      <w:r w:rsidRPr="001B72D6">
        <w:rPr>
          <w:rFonts w:cs="Arial"/>
          <w:lang w:val="en-US"/>
        </w:rPr>
        <w:t>, the DEA will calculate a reduction of the subsidy.</w:t>
      </w:r>
    </w:p>
    <w:p w14:paraId="0A12044F" w14:textId="77777777" w:rsidR="00E71FF2" w:rsidRPr="001B72D6" w:rsidRDefault="00E71FF2" w:rsidP="00E71FF2">
      <w:pPr>
        <w:rPr>
          <w:rFonts w:cs="Arial"/>
          <w:lang w:val="en-US"/>
        </w:rPr>
      </w:pPr>
    </w:p>
    <w:p w14:paraId="703C02F8" w14:textId="4C46AC12" w:rsidR="00E71FF2" w:rsidRPr="001B72D6" w:rsidRDefault="00E71FF2" w:rsidP="00E71FF2">
      <w:pPr>
        <w:rPr>
          <w:rFonts w:cs="Arial"/>
          <w:lang w:val="en-US"/>
        </w:rPr>
      </w:pPr>
      <w:r w:rsidRPr="001B72D6">
        <w:rPr>
          <w:rFonts w:cs="Arial"/>
          <w:lang w:val="en-US"/>
        </w:rPr>
        <w:t xml:space="preserve">In that case the adjustment of the subsidy will </w:t>
      </w:r>
      <w:proofErr w:type="gramStart"/>
      <w:r w:rsidRPr="001B72D6">
        <w:rPr>
          <w:rFonts w:cs="Arial"/>
          <w:lang w:val="en-US"/>
        </w:rPr>
        <w:t>take into account</w:t>
      </w:r>
      <w:proofErr w:type="gramEnd"/>
      <w:r w:rsidRPr="001B72D6">
        <w:rPr>
          <w:rFonts w:cs="Arial"/>
          <w:lang w:val="en-US"/>
        </w:rPr>
        <w:t xml:space="preserve"> the information in the offer of income generated by carbon credits related to the Storage of CO</w:t>
      </w:r>
      <w:r w:rsidRPr="00B21CB7">
        <w:rPr>
          <w:rFonts w:cs="Arial"/>
          <w:vertAlign w:val="subscript"/>
          <w:lang w:val="en-US"/>
        </w:rPr>
        <w:t>2</w:t>
      </w:r>
      <w:r>
        <w:rPr>
          <w:rFonts w:cs="Arial"/>
          <w:lang w:val="en-US"/>
        </w:rPr>
        <w:t xml:space="preserve"> (the Baseline Carbon Credits Income) and the forecast income generated by such carbon credits (the Forecast Carbon Credits Income).</w:t>
      </w:r>
      <w:r w:rsidRPr="001B72D6">
        <w:rPr>
          <w:rFonts w:cs="Arial"/>
          <w:lang w:val="en-US"/>
        </w:rPr>
        <w:t xml:space="preserve"> The purpose is to ensure that a reduction of the subsidy due to allowances for biogenic</w:t>
      </w:r>
      <w:r>
        <w:rPr>
          <w:rFonts w:cs="Arial"/>
          <w:lang w:val="en-US"/>
        </w:rPr>
        <w:t xml:space="preserve"> CO</w:t>
      </w:r>
      <w:r w:rsidRPr="00B21CB7">
        <w:rPr>
          <w:rFonts w:cs="Arial"/>
          <w:vertAlign w:val="subscript"/>
          <w:lang w:val="en-US"/>
        </w:rPr>
        <w:t>2</w:t>
      </w:r>
      <w:r w:rsidRPr="001B72D6">
        <w:rPr>
          <w:rFonts w:cs="Arial"/>
          <w:lang w:val="en-US"/>
        </w:rPr>
        <w:t xml:space="preserve"> </w:t>
      </w:r>
      <w:proofErr w:type="gramStart"/>
      <w:r w:rsidRPr="001B72D6">
        <w:rPr>
          <w:rFonts w:cs="Arial"/>
          <w:lang w:val="en-US"/>
        </w:rPr>
        <w:t>take into account</w:t>
      </w:r>
      <w:proofErr w:type="gramEnd"/>
      <w:r w:rsidRPr="001B72D6">
        <w:rPr>
          <w:rFonts w:cs="Arial"/>
          <w:lang w:val="en-US"/>
        </w:rPr>
        <w:t xml:space="preserve"> a possible reduction of the expected income generated by carbon credits.</w:t>
      </w:r>
    </w:p>
    <w:p w14:paraId="494ACDBE" w14:textId="77777777" w:rsidR="00E71FF2" w:rsidRPr="001B72D6" w:rsidRDefault="00E71FF2" w:rsidP="00E71FF2">
      <w:pPr>
        <w:rPr>
          <w:rFonts w:cs="Arial"/>
          <w:lang w:val="en-US"/>
        </w:rPr>
      </w:pPr>
    </w:p>
    <w:p w14:paraId="55C3D05B" w14:textId="77777777" w:rsidR="00E71FF2" w:rsidRPr="001B72D6" w:rsidRDefault="00E71FF2" w:rsidP="00E71FF2">
      <w:pPr>
        <w:rPr>
          <w:rFonts w:cs="Arial"/>
          <w:lang w:val="en-US"/>
        </w:rPr>
      </w:pPr>
      <w:r w:rsidRPr="001B72D6">
        <w:rPr>
          <w:rFonts w:cs="Arial"/>
          <w:lang w:val="en-US"/>
        </w:rPr>
        <w:t xml:space="preserve">This means that the DEA will calculate and adjust the subsidy as follows: </w:t>
      </w:r>
    </w:p>
    <w:p w14:paraId="541D2732" w14:textId="77777777" w:rsidR="00E71FF2" w:rsidRPr="001B72D6" w:rsidRDefault="00E71FF2" w:rsidP="00E71FF2">
      <w:pPr>
        <w:rPr>
          <w:rFonts w:cs="Arial"/>
          <w:lang w:val="en-US"/>
        </w:rPr>
      </w:pPr>
    </w:p>
    <w:p w14:paraId="7D7597D4" w14:textId="77777777" w:rsidR="00E71FF2" w:rsidRPr="001B72D6" w:rsidRDefault="00E71FF2" w:rsidP="00BD2A74">
      <w:pPr>
        <w:pStyle w:val="ListParagraph"/>
        <w:numPr>
          <w:ilvl w:val="0"/>
          <w:numId w:val="23"/>
        </w:numPr>
        <w:spacing w:line="312" w:lineRule="auto"/>
        <w:jc w:val="both"/>
        <w:rPr>
          <w:rFonts w:cs="Arial"/>
          <w:lang w:val="en-US"/>
        </w:rPr>
      </w:pPr>
      <w:r w:rsidRPr="001B72D6">
        <w:rPr>
          <w:rFonts w:cs="Arial"/>
          <w:lang w:val="en-US"/>
        </w:rPr>
        <w:lastRenderedPageBreak/>
        <w:t xml:space="preserve">The difference between the </w:t>
      </w:r>
      <w:r>
        <w:rPr>
          <w:rFonts w:cs="Arial"/>
          <w:lang w:val="en-US"/>
        </w:rPr>
        <w:t>Forecast</w:t>
      </w:r>
      <w:r w:rsidRPr="001B72D6">
        <w:rPr>
          <w:rFonts w:cs="Arial"/>
          <w:lang w:val="en-US"/>
        </w:rPr>
        <w:t xml:space="preserve"> </w:t>
      </w:r>
      <w:r>
        <w:rPr>
          <w:rFonts w:cs="Arial"/>
          <w:lang w:val="en-US"/>
        </w:rPr>
        <w:t>C</w:t>
      </w:r>
      <w:r w:rsidRPr="001B72D6">
        <w:rPr>
          <w:rFonts w:cs="Arial"/>
          <w:lang w:val="en-US"/>
        </w:rPr>
        <w:t xml:space="preserve">arbon </w:t>
      </w:r>
      <w:r>
        <w:rPr>
          <w:rFonts w:cs="Arial"/>
          <w:lang w:val="en-US"/>
        </w:rPr>
        <w:t>C</w:t>
      </w:r>
      <w:r w:rsidRPr="001B72D6">
        <w:rPr>
          <w:rFonts w:cs="Arial"/>
          <w:lang w:val="en-US"/>
        </w:rPr>
        <w:t xml:space="preserve">redits </w:t>
      </w:r>
      <w:r>
        <w:rPr>
          <w:rFonts w:cs="Arial"/>
          <w:lang w:val="en-US"/>
        </w:rPr>
        <w:t>Income</w:t>
      </w:r>
      <w:r w:rsidRPr="001B72D6">
        <w:rPr>
          <w:rFonts w:cs="Arial"/>
          <w:lang w:val="en-US"/>
        </w:rPr>
        <w:t xml:space="preserve"> and the Baseline Carbon Credits Income. </w:t>
      </w:r>
    </w:p>
    <w:p w14:paraId="234EAB16" w14:textId="77777777" w:rsidR="00E71FF2" w:rsidRPr="001B72D6" w:rsidRDefault="00E71FF2" w:rsidP="00BD2A74">
      <w:pPr>
        <w:pStyle w:val="ListParagraph"/>
        <w:numPr>
          <w:ilvl w:val="1"/>
          <w:numId w:val="23"/>
        </w:numPr>
        <w:spacing w:line="312" w:lineRule="auto"/>
        <w:jc w:val="both"/>
        <w:rPr>
          <w:rFonts w:cs="Arial"/>
          <w:lang w:val="en-US"/>
        </w:rPr>
      </w:pPr>
      <w:r w:rsidRPr="001B72D6">
        <w:rPr>
          <w:rFonts w:cs="Arial"/>
          <w:lang w:val="en-US"/>
        </w:rPr>
        <w:t xml:space="preserve">If the amount is positive (i.e. more than zero), the subsidy will be reduced with 90 % of such excess income. </w:t>
      </w:r>
    </w:p>
    <w:p w14:paraId="1C062344" w14:textId="5B47F48B" w:rsidR="00E71FF2" w:rsidRPr="001B72D6" w:rsidRDefault="00E71FF2" w:rsidP="00BD2A74">
      <w:pPr>
        <w:pStyle w:val="ListParagraph"/>
        <w:numPr>
          <w:ilvl w:val="1"/>
          <w:numId w:val="23"/>
        </w:numPr>
        <w:spacing w:line="312" w:lineRule="auto"/>
        <w:jc w:val="both"/>
        <w:rPr>
          <w:rFonts w:cs="Arial"/>
          <w:lang w:val="en-US"/>
        </w:rPr>
      </w:pPr>
      <w:r w:rsidRPr="001B72D6">
        <w:rPr>
          <w:rFonts w:cs="Arial"/>
          <w:lang w:val="en-US"/>
        </w:rPr>
        <w:t xml:space="preserve">If the amount is negative (i.e. less than zero), the amount will be </w:t>
      </w:r>
      <w:proofErr w:type="gramStart"/>
      <w:r w:rsidRPr="001B72D6">
        <w:rPr>
          <w:rFonts w:cs="Arial"/>
          <w:lang w:val="en-US"/>
        </w:rPr>
        <w:t>taken into account</w:t>
      </w:r>
      <w:proofErr w:type="gramEnd"/>
      <w:r w:rsidRPr="001B72D6">
        <w:rPr>
          <w:rFonts w:cs="Arial"/>
          <w:lang w:val="en-US"/>
        </w:rPr>
        <w:t xml:space="preserve"> when calculating the reduction relating to participation in the EU Emissions </w:t>
      </w:r>
      <w:r w:rsidR="007A6E2E">
        <w:rPr>
          <w:rFonts w:cs="Arial"/>
          <w:lang w:val="en-US"/>
        </w:rPr>
        <w:t>Trading</w:t>
      </w:r>
      <w:r w:rsidRPr="001B72D6">
        <w:rPr>
          <w:rFonts w:cs="Arial"/>
          <w:lang w:val="en-US"/>
        </w:rPr>
        <w:t xml:space="preserve"> Scheme (ETS), or a similar EU-mandated </w:t>
      </w:r>
      <w:r w:rsidR="007A6E2E">
        <w:rPr>
          <w:rFonts w:cs="Arial"/>
          <w:lang w:val="en-US"/>
        </w:rPr>
        <w:t>trading</w:t>
      </w:r>
      <w:r w:rsidRPr="001B72D6">
        <w:rPr>
          <w:rFonts w:cs="Arial"/>
          <w:lang w:val="en-US"/>
        </w:rPr>
        <w:t xml:space="preserve"> scheme.</w:t>
      </w:r>
    </w:p>
    <w:p w14:paraId="3283AAFD" w14:textId="0615A7DA" w:rsidR="00E71FF2" w:rsidRPr="001B72D6" w:rsidRDefault="00E71FF2" w:rsidP="00BD2A74">
      <w:pPr>
        <w:pStyle w:val="ListParagraph"/>
        <w:numPr>
          <w:ilvl w:val="0"/>
          <w:numId w:val="23"/>
        </w:numPr>
        <w:spacing w:line="312" w:lineRule="auto"/>
        <w:jc w:val="both"/>
        <w:rPr>
          <w:rFonts w:cs="Arial"/>
          <w:lang w:val="en-US"/>
        </w:rPr>
      </w:pPr>
      <w:r w:rsidRPr="001B72D6">
        <w:rPr>
          <w:rFonts w:cs="Arial"/>
          <w:lang w:val="en-US"/>
        </w:rPr>
        <w:t>The amount equal to the market value of allowances for biogenic</w:t>
      </w:r>
      <w:r>
        <w:rPr>
          <w:rFonts w:cs="Arial"/>
          <w:lang w:val="en-US"/>
        </w:rPr>
        <w:t xml:space="preserve"> CO</w:t>
      </w:r>
      <w:r w:rsidRPr="001906DB">
        <w:rPr>
          <w:rFonts w:cs="Arial"/>
          <w:vertAlign w:val="subscript"/>
          <w:lang w:val="en-US"/>
        </w:rPr>
        <w:t>2</w:t>
      </w:r>
      <w:r w:rsidRPr="001B72D6">
        <w:rPr>
          <w:rFonts w:cs="Arial"/>
          <w:lang w:val="en-US"/>
        </w:rPr>
        <w:t xml:space="preserve">, see paragraph </w:t>
      </w:r>
      <w:r w:rsidRPr="001B72D6">
        <w:rPr>
          <w:rFonts w:cs="Arial"/>
          <w:lang w:val="en-US"/>
        </w:rPr>
        <w:fldChar w:fldCharType="begin"/>
      </w:r>
      <w:r w:rsidRPr="001B72D6">
        <w:rPr>
          <w:rFonts w:cs="Arial"/>
          <w:lang w:val="en-US"/>
        </w:rPr>
        <w:instrText xml:space="preserve"> REF _Ref168918858 \r \h </w:instrText>
      </w:r>
      <w:r>
        <w:rPr>
          <w:rFonts w:cs="Arial"/>
          <w:lang w:val="en-US"/>
        </w:rPr>
        <w:instrText xml:space="preserve"> \* MERGEFORMAT </w:instrText>
      </w:r>
      <w:r w:rsidRPr="001B72D6">
        <w:rPr>
          <w:rFonts w:cs="Arial"/>
          <w:lang w:val="en-US"/>
        </w:rPr>
      </w:r>
      <w:r w:rsidRPr="001B72D6">
        <w:rPr>
          <w:rFonts w:cs="Arial"/>
          <w:lang w:val="en-US"/>
        </w:rPr>
        <w:fldChar w:fldCharType="separate"/>
      </w:r>
      <w:r w:rsidR="001906DB">
        <w:rPr>
          <w:rFonts w:cs="Arial"/>
          <w:lang w:val="en-US"/>
        </w:rPr>
        <w:t>1.6</w:t>
      </w:r>
      <w:r w:rsidRPr="001B72D6">
        <w:rPr>
          <w:rFonts w:cs="Arial"/>
          <w:lang w:val="en-US"/>
        </w:rPr>
        <w:fldChar w:fldCharType="end"/>
      </w:r>
      <w:r w:rsidRPr="001B72D6">
        <w:rPr>
          <w:rFonts w:cs="Arial"/>
          <w:lang w:val="en-US"/>
        </w:rPr>
        <w:t>.</w:t>
      </w:r>
    </w:p>
    <w:p w14:paraId="00438A19" w14:textId="4CB661AE" w:rsidR="00E71FF2" w:rsidRPr="001B72D6" w:rsidRDefault="00E71FF2" w:rsidP="00BD2A74">
      <w:pPr>
        <w:pStyle w:val="ListParagraph"/>
        <w:numPr>
          <w:ilvl w:val="1"/>
          <w:numId w:val="23"/>
        </w:numPr>
        <w:spacing w:line="312" w:lineRule="auto"/>
        <w:jc w:val="both"/>
        <w:rPr>
          <w:rFonts w:cs="Arial"/>
          <w:lang w:val="en-US"/>
        </w:rPr>
      </w:pPr>
      <w:r w:rsidRPr="001B72D6">
        <w:rPr>
          <w:rFonts w:cs="Arial"/>
          <w:lang w:val="en-US"/>
        </w:rPr>
        <w:t xml:space="preserve">If the amount calculated under item </w:t>
      </w:r>
      <w:r w:rsidRPr="001B72D6">
        <w:rPr>
          <w:rFonts w:cs="Arial"/>
          <w:b/>
          <w:bCs/>
          <w:lang w:val="en-US"/>
        </w:rPr>
        <w:t xml:space="preserve">a) </w:t>
      </w:r>
      <w:proofErr w:type="spellStart"/>
      <w:r w:rsidRPr="001B72D6">
        <w:rPr>
          <w:rFonts w:cs="Arial"/>
          <w:b/>
          <w:bCs/>
          <w:lang w:val="en-US"/>
        </w:rPr>
        <w:t>i</w:t>
      </w:r>
      <w:proofErr w:type="spellEnd"/>
      <w:r w:rsidRPr="001B72D6">
        <w:rPr>
          <w:rFonts w:cs="Arial"/>
          <w:b/>
          <w:bCs/>
          <w:lang w:val="en-US"/>
        </w:rPr>
        <w:t>)</w:t>
      </w:r>
      <w:r w:rsidRPr="001B72D6">
        <w:rPr>
          <w:rFonts w:cs="Arial"/>
          <w:lang w:val="en-US"/>
        </w:rPr>
        <w:t xml:space="preserve"> is positive, the subsidy will </w:t>
      </w:r>
      <w:r>
        <w:rPr>
          <w:rFonts w:cs="Arial"/>
          <w:lang w:val="en-US"/>
        </w:rPr>
        <w:t xml:space="preserve">furthermore </w:t>
      </w:r>
      <w:r w:rsidRPr="001B72D6">
        <w:rPr>
          <w:rFonts w:cs="Arial"/>
          <w:lang w:val="en-US"/>
        </w:rPr>
        <w:t xml:space="preserve">be reduced with the amount equal to the market value of allowances for biogenic </w:t>
      </w:r>
      <w:r>
        <w:rPr>
          <w:rFonts w:cs="Arial"/>
          <w:lang w:val="en-US"/>
        </w:rPr>
        <w:t>CO</w:t>
      </w:r>
      <w:r w:rsidRPr="004C4DF2">
        <w:rPr>
          <w:rFonts w:cs="Arial"/>
          <w:vertAlign w:val="subscript"/>
          <w:lang w:val="en-US"/>
        </w:rPr>
        <w:t>2</w:t>
      </w:r>
      <w:r w:rsidRPr="001B72D6">
        <w:rPr>
          <w:rFonts w:cs="Arial"/>
          <w:lang w:val="en-US"/>
        </w:rPr>
        <w:t>.</w:t>
      </w:r>
    </w:p>
    <w:p w14:paraId="3A15A0EC" w14:textId="67BB0217" w:rsidR="00E71FF2" w:rsidRPr="001B72D6" w:rsidRDefault="00E71FF2" w:rsidP="00BD2A74">
      <w:pPr>
        <w:pStyle w:val="ListParagraph"/>
        <w:numPr>
          <w:ilvl w:val="1"/>
          <w:numId w:val="23"/>
        </w:numPr>
        <w:spacing w:line="312" w:lineRule="auto"/>
        <w:jc w:val="both"/>
        <w:rPr>
          <w:rFonts w:cs="Arial"/>
          <w:lang w:val="en-US"/>
        </w:rPr>
      </w:pPr>
      <w:r w:rsidRPr="001B72D6">
        <w:rPr>
          <w:rFonts w:cs="Arial"/>
          <w:lang w:val="en-US"/>
        </w:rPr>
        <w:t xml:space="preserve">If the amount calculated under item </w:t>
      </w:r>
      <w:r w:rsidRPr="001B72D6">
        <w:rPr>
          <w:rFonts w:cs="Arial"/>
          <w:b/>
          <w:bCs/>
          <w:lang w:val="en-US"/>
        </w:rPr>
        <w:t xml:space="preserve">a) ii) </w:t>
      </w:r>
      <w:r w:rsidRPr="001B72D6">
        <w:rPr>
          <w:rFonts w:cs="Arial"/>
          <w:lang w:val="en-US"/>
        </w:rPr>
        <w:t>is negative, the subsidy will be reduced with an amount equal to the difference between the market value EUA for biogenic</w:t>
      </w:r>
      <w:r>
        <w:rPr>
          <w:rFonts w:cs="Arial"/>
          <w:lang w:val="en-US"/>
        </w:rPr>
        <w:t xml:space="preserve"> CO</w:t>
      </w:r>
      <w:r w:rsidRPr="0092771B">
        <w:rPr>
          <w:rFonts w:cs="Arial"/>
          <w:vertAlign w:val="subscript"/>
          <w:lang w:val="en-US"/>
        </w:rPr>
        <w:t>2</w:t>
      </w:r>
      <w:r w:rsidRPr="001B72D6">
        <w:rPr>
          <w:rFonts w:cs="Arial"/>
          <w:lang w:val="en-US"/>
        </w:rPr>
        <w:t xml:space="preserve"> and the reduc</w:t>
      </w:r>
      <w:r>
        <w:rPr>
          <w:rFonts w:cs="Arial"/>
          <w:lang w:val="en-US"/>
        </w:rPr>
        <w:t>tion of carbon credit</w:t>
      </w:r>
      <w:r w:rsidRPr="001B72D6">
        <w:rPr>
          <w:rFonts w:cs="Arial"/>
          <w:lang w:val="en-US"/>
        </w:rPr>
        <w:t xml:space="preserve"> income, i.e. the negative amount calculated under item a).</w:t>
      </w:r>
    </w:p>
    <w:p w14:paraId="6ACB4E48" w14:textId="77777777" w:rsidR="00E71FF2" w:rsidRPr="001B72D6" w:rsidRDefault="00E71FF2" w:rsidP="00E71FF2">
      <w:pPr>
        <w:rPr>
          <w:rFonts w:cs="Arial"/>
          <w:lang w:val="en-US"/>
        </w:rPr>
      </w:pPr>
    </w:p>
    <w:p w14:paraId="14871280" w14:textId="1D94ACF8" w:rsidR="00E71FF2" w:rsidRPr="001B72D6" w:rsidRDefault="00E71FF2" w:rsidP="00E71FF2">
      <w:pPr>
        <w:rPr>
          <w:rFonts w:cs="Arial"/>
          <w:lang w:val="en-US"/>
        </w:rPr>
      </w:pPr>
      <w:r w:rsidRPr="001B72D6">
        <w:rPr>
          <w:rFonts w:cs="Arial"/>
          <w:lang w:val="en-US"/>
        </w:rPr>
        <w:t>The calculation regarding the market value of allowances for biogenic</w:t>
      </w:r>
      <w:r>
        <w:rPr>
          <w:rFonts w:cs="Arial"/>
          <w:lang w:val="en-US"/>
        </w:rPr>
        <w:t xml:space="preserve"> CO</w:t>
      </w:r>
      <w:r w:rsidRPr="0092771B">
        <w:rPr>
          <w:rFonts w:cs="Arial"/>
          <w:vertAlign w:val="subscript"/>
          <w:lang w:val="en-US"/>
        </w:rPr>
        <w:t>2</w:t>
      </w:r>
      <w:r>
        <w:rPr>
          <w:rFonts w:cs="Arial"/>
          <w:lang w:val="en-US"/>
        </w:rPr>
        <w:t xml:space="preserve"> </w:t>
      </w:r>
      <w:r w:rsidRPr="001B72D6">
        <w:rPr>
          <w:rFonts w:cs="Arial"/>
          <w:lang w:val="en-US"/>
        </w:rPr>
        <w:t xml:space="preserve">will be based on the Forecast Biogenic </w:t>
      </w:r>
      <w:r>
        <w:rPr>
          <w:rFonts w:cs="Arial"/>
          <w:lang w:val="en-US"/>
        </w:rPr>
        <w:t>Allowances</w:t>
      </w:r>
      <w:r w:rsidRPr="001B72D6">
        <w:rPr>
          <w:rFonts w:cs="Arial"/>
          <w:lang w:val="en-US"/>
        </w:rPr>
        <w:t xml:space="preserve"> Fraction.</w:t>
      </w:r>
    </w:p>
    <w:p w14:paraId="1CDD732C" w14:textId="77777777" w:rsidR="00E71FF2" w:rsidRPr="001B72D6" w:rsidRDefault="00E71FF2" w:rsidP="00E71FF2">
      <w:pPr>
        <w:rPr>
          <w:rFonts w:cs="Arial"/>
          <w:lang w:val="en-US"/>
        </w:rPr>
      </w:pPr>
    </w:p>
    <w:p w14:paraId="76981B13" w14:textId="77777777" w:rsidR="00E71FF2" w:rsidRPr="001B72D6" w:rsidRDefault="00E71FF2" w:rsidP="00BD2A74">
      <w:pPr>
        <w:pStyle w:val="Heading2"/>
        <w:keepLines w:val="0"/>
        <w:numPr>
          <w:ilvl w:val="1"/>
          <w:numId w:val="15"/>
        </w:numPr>
        <w:overflowPunct w:val="0"/>
        <w:autoSpaceDE w:val="0"/>
        <w:autoSpaceDN w:val="0"/>
        <w:adjustRightInd w:val="0"/>
        <w:spacing w:before="0" w:after="300" w:line="312" w:lineRule="auto"/>
        <w:jc w:val="both"/>
        <w:textAlignment w:val="baseline"/>
        <w:rPr>
          <w:rFonts w:ascii="Arial" w:hAnsi="Arial" w:cs="Arial"/>
        </w:rPr>
      </w:pPr>
      <w:bookmarkStart w:id="22" w:name="_Ref168918926"/>
      <w:bookmarkStart w:id="23" w:name="_Ref169598844"/>
      <w:proofErr w:type="gramStart"/>
      <w:r w:rsidRPr="001B72D6">
        <w:rPr>
          <w:rFonts w:ascii="Arial" w:hAnsi="Arial" w:cs="Arial"/>
        </w:rPr>
        <w:t>Final settlement</w:t>
      </w:r>
      <w:bookmarkEnd w:id="22"/>
      <w:bookmarkEnd w:id="23"/>
      <w:proofErr w:type="gramEnd"/>
    </w:p>
    <w:p w14:paraId="44539BAB" w14:textId="77777777" w:rsidR="00E71FF2" w:rsidRPr="001B72D6" w:rsidRDefault="00E71FF2" w:rsidP="00E71FF2">
      <w:pPr>
        <w:rPr>
          <w:rFonts w:cs="Arial"/>
          <w:lang w:val="en-US"/>
        </w:rPr>
      </w:pPr>
      <w:r w:rsidRPr="001B72D6">
        <w:rPr>
          <w:rFonts w:cs="Arial"/>
          <w:lang w:val="en-US"/>
        </w:rPr>
        <w:t xml:space="preserve">The purpose of the final settlement is to recalculate the subsidy and claim repayment of subsidy if relevant. The final recalculation cannot result in an obligation for the DEA to pay further subsidy for a given year. </w:t>
      </w:r>
    </w:p>
    <w:p w14:paraId="5687BB06" w14:textId="77777777" w:rsidR="00E71FF2" w:rsidRPr="001B72D6" w:rsidRDefault="00E71FF2" w:rsidP="00E71FF2">
      <w:pPr>
        <w:rPr>
          <w:rFonts w:cs="Arial"/>
          <w:lang w:val="en-US"/>
        </w:rPr>
      </w:pPr>
    </w:p>
    <w:p w14:paraId="301EAF18" w14:textId="77777777" w:rsidR="00E71FF2" w:rsidRPr="001B72D6" w:rsidRDefault="00E71FF2" w:rsidP="00E71FF2">
      <w:pPr>
        <w:rPr>
          <w:rFonts w:cs="Arial"/>
          <w:lang w:val="en-US"/>
        </w:rPr>
      </w:pPr>
      <w:r w:rsidRPr="001B72D6">
        <w:rPr>
          <w:rFonts w:cs="Arial"/>
          <w:lang w:val="en-US"/>
        </w:rPr>
        <w:t>After the end of every year the Operator shall provide the DEA with an annual report on the Delivered Quantity, see R-</w:t>
      </w:r>
      <w:r>
        <w:rPr>
          <w:rFonts w:cs="Arial"/>
          <w:lang w:val="en-US"/>
        </w:rPr>
        <w:t>8</w:t>
      </w:r>
      <w:r w:rsidRPr="001B72D6">
        <w:rPr>
          <w:rFonts w:cs="Arial"/>
          <w:lang w:val="en-US"/>
        </w:rPr>
        <w:t xml:space="preserve">, </w:t>
      </w:r>
      <w:bookmarkStart w:id="24" w:name="_Hlk169003300"/>
      <w:r w:rsidRPr="001B72D6">
        <w:rPr>
          <w:rFonts w:cs="Arial"/>
          <w:lang w:val="en-US"/>
        </w:rPr>
        <w:t>Appendix 3, Requirements specification</w:t>
      </w:r>
      <w:r>
        <w:rPr>
          <w:rFonts w:cs="Arial"/>
          <w:lang w:val="en-US"/>
        </w:rPr>
        <w:t>, which shall include e.g. the Actual Fossil EUA Fraction, the Actual Fossil Tax Fraction and the Actual Carbon Credits Income.</w:t>
      </w:r>
      <w:r w:rsidRPr="001B72D6">
        <w:rPr>
          <w:rFonts w:cs="Arial"/>
          <w:lang w:val="en-US"/>
        </w:rPr>
        <w:t xml:space="preserve">  </w:t>
      </w:r>
      <w:bookmarkEnd w:id="24"/>
    </w:p>
    <w:p w14:paraId="2430045C" w14:textId="77777777" w:rsidR="00E71FF2" w:rsidRPr="001B72D6" w:rsidRDefault="00E71FF2" w:rsidP="00E71FF2">
      <w:pPr>
        <w:rPr>
          <w:rFonts w:cs="Arial"/>
          <w:lang w:val="en-US"/>
        </w:rPr>
      </w:pPr>
    </w:p>
    <w:p w14:paraId="612412B0" w14:textId="1B089116" w:rsidR="00E71FF2" w:rsidRPr="001B72D6" w:rsidRDefault="00E71FF2" w:rsidP="00E71FF2">
      <w:pPr>
        <w:rPr>
          <w:rFonts w:cs="Arial"/>
          <w:lang w:val="en-US"/>
        </w:rPr>
      </w:pPr>
      <w:r w:rsidRPr="001B72D6">
        <w:rPr>
          <w:rFonts w:cs="Arial"/>
          <w:lang w:val="en-US"/>
        </w:rPr>
        <w:t xml:space="preserve">If the </w:t>
      </w:r>
      <w:bookmarkStart w:id="25" w:name="_Hlk169002838"/>
      <w:r w:rsidRPr="001B72D6">
        <w:rPr>
          <w:rFonts w:cs="Arial"/>
          <w:lang w:val="en-US"/>
        </w:rPr>
        <w:t xml:space="preserve">Actual Fossil EUA Fraction </w:t>
      </w:r>
      <w:bookmarkEnd w:id="25"/>
      <w:r w:rsidRPr="001B72D6">
        <w:rPr>
          <w:rFonts w:cs="Arial"/>
          <w:lang w:val="en-US"/>
        </w:rPr>
        <w:t>exceeds the Forecast Fossil EUA Fraction or if the Actual Fossil Tax Fraction exceeds the Forecast Fossil Tax Fraction, the DEA will recalculate adjustment of the subsidy regarding EUA and CO</w:t>
      </w:r>
      <w:r w:rsidRPr="0092771B">
        <w:rPr>
          <w:rFonts w:cs="Arial"/>
          <w:vertAlign w:val="subscript"/>
          <w:lang w:val="en-US"/>
        </w:rPr>
        <w:t>2</w:t>
      </w:r>
      <w:r w:rsidRPr="001B72D6">
        <w:rPr>
          <w:rFonts w:cs="Arial"/>
          <w:lang w:val="en-US"/>
        </w:rPr>
        <w:t xml:space="preserve"> related taxes (as described in paragraph </w:t>
      </w:r>
      <w:r w:rsidRPr="001B72D6">
        <w:rPr>
          <w:rFonts w:cs="Arial"/>
          <w:lang w:val="en-US"/>
        </w:rPr>
        <w:fldChar w:fldCharType="begin"/>
      </w:r>
      <w:r w:rsidRPr="001B72D6">
        <w:rPr>
          <w:rFonts w:cs="Arial"/>
          <w:lang w:val="en-US"/>
        </w:rPr>
        <w:instrText xml:space="preserve"> REF _Ref168919017 \r \h </w:instrText>
      </w:r>
      <w:r>
        <w:rPr>
          <w:rFonts w:cs="Arial"/>
          <w:lang w:val="en-US"/>
        </w:rPr>
        <w:instrText xml:space="preserve"> \* MERGEFORMAT </w:instrText>
      </w:r>
      <w:r w:rsidRPr="001B72D6">
        <w:rPr>
          <w:rFonts w:cs="Arial"/>
          <w:lang w:val="en-US"/>
        </w:rPr>
      </w:r>
      <w:r w:rsidRPr="001B72D6">
        <w:rPr>
          <w:rFonts w:cs="Arial"/>
          <w:lang w:val="en-US"/>
        </w:rPr>
        <w:fldChar w:fldCharType="separate"/>
      </w:r>
      <w:r w:rsidR="001906DB">
        <w:rPr>
          <w:rFonts w:cs="Arial"/>
          <w:lang w:val="en-US"/>
        </w:rPr>
        <w:t>1.8.1</w:t>
      </w:r>
      <w:r w:rsidRPr="001B72D6">
        <w:rPr>
          <w:rFonts w:cs="Arial"/>
          <w:lang w:val="en-US"/>
        </w:rPr>
        <w:fldChar w:fldCharType="end"/>
      </w:r>
      <w:r w:rsidRPr="001B72D6">
        <w:rPr>
          <w:rFonts w:cs="Arial"/>
          <w:lang w:val="en-US"/>
        </w:rPr>
        <w:t xml:space="preserve">) based on the Actual Fossil EUA Fraction, respectively the Actual Fossil Tax Fraction. The Operator will be required to repay the excess amount of subsidy. </w:t>
      </w:r>
    </w:p>
    <w:p w14:paraId="3FEDDEE7" w14:textId="77777777" w:rsidR="00E71FF2" w:rsidRPr="001B72D6" w:rsidRDefault="00E71FF2" w:rsidP="00E71FF2">
      <w:pPr>
        <w:rPr>
          <w:rFonts w:cs="Arial"/>
          <w:lang w:val="en-US"/>
        </w:rPr>
      </w:pPr>
    </w:p>
    <w:p w14:paraId="238D0C27" w14:textId="77777777" w:rsidR="00E71FF2" w:rsidRPr="001B72D6" w:rsidRDefault="00E71FF2" w:rsidP="00E71FF2">
      <w:pPr>
        <w:rPr>
          <w:rFonts w:cs="Arial"/>
          <w:lang w:val="en-US"/>
        </w:rPr>
      </w:pPr>
      <w:r w:rsidRPr="001B72D6">
        <w:rPr>
          <w:rFonts w:cs="Arial"/>
          <w:lang w:val="en-US"/>
        </w:rPr>
        <w:t>If the actual fossil fraction (subject to EUA or tax) is less than the forecast fossil fraction (subject to EUA or tax) the DEA will not recalculate the subsidy.</w:t>
      </w:r>
    </w:p>
    <w:p w14:paraId="7517EB89" w14:textId="77777777" w:rsidR="00E71FF2" w:rsidRPr="001B72D6" w:rsidRDefault="00E71FF2" w:rsidP="00E71FF2">
      <w:pPr>
        <w:rPr>
          <w:rFonts w:cs="Arial"/>
          <w:lang w:val="en-US"/>
        </w:rPr>
      </w:pPr>
    </w:p>
    <w:p w14:paraId="31B3EFE4" w14:textId="0ECE03E5" w:rsidR="00E71FF2" w:rsidRPr="001B72D6" w:rsidRDefault="00E71FF2" w:rsidP="00E71FF2">
      <w:pPr>
        <w:rPr>
          <w:rFonts w:cs="Arial"/>
          <w:lang w:val="en-US"/>
        </w:rPr>
      </w:pPr>
      <w:r w:rsidRPr="001B72D6">
        <w:rPr>
          <w:rFonts w:cs="Arial"/>
          <w:lang w:val="en-US"/>
        </w:rPr>
        <w:lastRenderedPageBreak/>
        <w:t>If the Actual Carbon Credits Income exceeds the Forecast Carbon Credits Income, the DEA will recalculate adjustment of the subsidy regarding carbon credits related to the Storage of CO</w:t>
      </w:r>
      <w:r w:rsidRPr="0092771B">
        <w:rPr>
          <w:rFonts w:cs="Arial"/>
          <w:vertAlign w:val="subscript"/>
          <w:lang w:val="en-US"/>
        </w:rPr>
        <w:t>2</w:t>
      </w:r>
      <w:r w:rsidRPr="001B72D6">
        <w:rPr>
          <w:rFonts w:cs="Arial"/>
          <w:lang w:val="en-US"/>
        </w:rPr>
        <w:t xml:space="preserve"> (as described in paragraph</w:t>
      </w:r>
      <w:r>
        <w:rPr>
          <w:rFonts w:cs="Arial"/>
          <w:lang w:val="en-US"/>
        </w:rPr>
        <w:t xml:space="preserve"> </w:t>
      </w:r>
      <w:r w:rsidRPr="001B72D6">
        <w:rPr>
          <w:rFonts w:cs="Arial"/>
          <w:lang w:val="en-US"/>
        </w:rPr>
        <w:fldChar w:fldCharType="begin"/>
      </w:r>
      <w:r w:rsidRPr="001B72D6">
        <w:rPr>
          <w:rFonts w:cs="Arial"/>
          <w:lang w:val="en-US"/>
        </w:rPr>
        <w:instrText xml:space="preserve"> REF _Ref169004391 \r \h </w:instrText>
      </w:r>
      <w:r>
        <w:rPr>
          <w:rFonts w:cs="Arial"/>
          <w:lang w:val="en-US"/>
        </w:rPr>
        <w:instrText xml:space="preserve"> \* MERGEFORMAT </w:instrText>
      </w:r>
      <w:r w:rsidRPr="001B72D6">
        <w:rPr>
          <w:rFonts w:cs="Arial"/>
          <w:lang w:val="en-US"/>
        </w:rPr>
      </w:r>
      <w:r w:rsidRPr="001B72D6">
        <w:rPr>
          <w:rFonts w:cs="Arial"/>
          <w:lang w:val="en-US"/>
        </w:rPr>
        <w:fldChar w:fldCharType="separate"/>
      </w:r>
      <w:r w:rsidR="001906DB">
        <w:rPr>
          <w:rFonts w:cs="Arial"/>
          <w:lang w:val="en-US"/>
        </w:rPr>
        <w:t>1.8.2</w:t>
      </w:r>
      <w:r w:rsidRPr="001B72D6">
        <w:rPr>
          <w:rFonts w:cs="Arial"/>
          <w:lang w:val="en-US"/>
        </w:rPr>
        <w:fldChar w:fldCharType="end"/>
      </w:r>
      <w:r w:rsidRPr="001B72D6">
        <w:rPr>
          <w:rFonts w:cs="Arial"/>
          <w:lang w:val="en-US"/>
        </w:rPr>
        <w:t xml:space="preserve">) based on the Actual Carbon Credits Income. </w:t>
      </w:r>
      <w:bookmarkStart w:id="26" w:name="_Hlk169005842"/>
      <w:r w:rsidRPr="001B72D6">
        <w:rPr>
          <w:rFonts w:cs="Arial"/>
          <w:lang w:val="en-US"/>
        </w:rPr>
        <w:t>The Operator will be required to repay the excess amount of subsidy</w:t>
      </w:r>
      <w:bookmarkEnd w:id="26"/>
      <w:r w:rsidRPr="001B72D6">
        <w:rPr>
          <w:rFonts w:cs="Arial"/>
          <w:lang w:val="en-US"/>
        </w:rPr>
        <w:t>.</w:t>
      </w:r>
    </w:p>
    <w:p w14:paraId="5F06C0E3" w14:textId="77777777" w:rsidR="00E71FF2" w:rsidRPr="001B72D6" w:rsidRDefault="00E71FF2" w:rsidP="00E71FF2">
      <w:pPr>
        <w:rPr>
          <w:rFonts w:cs="Arial"/>
          <w:lang w:val="en-US"/>
        </w:rPr>
      </w:pPr>
    </w:p>
    <w:p w14:paraId="2122B41C" w14:textId="77777777" w:rsidR="00E71FF2" w:rsidRPr="001B72D6" w:rsidRDefault="00E71FF2" w:rsidP="00E71FF2">
      <w:pPr>
        <w:rPr>
          <w:rFonts w:cs="Arial"/>
          <w:lang w:val="en-US"/>
        </w:rPr>
      </w:pPr>
      <w:r w:rsidRPr="001B72D6">
        <w:rPr>
          <w:rFonts w:cs="Arial"/>
          <w:lang w:val="en-US"/>
        </w:rPr>
        <w:t>If the Actual Carbon Credits Income is less the Forecast Carbon Credits Income the DEA will not recalculate the subsidy.</w:t>
      </w:r>
    </w:p>
    <w:p w14:paraId="4B646260" w14:textId="77777777" w:rsidR="00E71FF2" w:rsidRPr="001B72D6" w:rsidRDefault="00E71FF2" w:rsidP="00E71FF2">
      <w:pPr>
        <w:rPr>
          <w:rFonts w:cs="Arial"/>
          <w:lang w:val="en-US"/>
        </w:rPr>
      </w:pPr>
    </w:p>
    <w:p w14:paraId="651ECC4C" w14:textId="7B455FF0" w:rsidR="00E71FF2" w:rsidRPr="001B72D6" w:rsidRDefault="00E71FF2" w:rsidP="00E71FF2">
      <w:pPr>
        <w:rPr>
          <w:rFonts w:cs="Arial"/>
          <w:lang w:val="en-US"/>
        </w:rPr>
      </w:pPr>
      <w:r w:rsidRPr="001B72D6">
        <w:rPr>
          <w:rFonts w:cs="Arial"/>
          <w:lang w:val="en-US"/>
        </w:rPr>
        <w:t xml:space="preserve">If future legislation entails that participation in the EU Emissions </w:t>
      </w:r>
      <w:r w:rsidR="007A6E2E">
        <w:rPr>
          <w:rFonts w:cs="Arial"/>
          <w:lang w:val="en-US"/>
        </w:rPr>
        <w:t>Trading</w:t>
      </w:r>
      <w:r w:rsidRPr="001B72D6">
        <w:rPr>
          <w:rFonts w:cs="Arial"/>
          <w:lang w:val="en-US"/>
        </w:rPr>
        <w:t xml:space="preserve"> Scheme (ETS), or a similar EU-mandated </w:t>
      </w:r>
      <w:r w:rsidR="007A6E2E">
        <w:rPr>
          <w:rFonts w:cs="Arial"/>
          <w:lang w:val="en-US"/>
        </w:rPr>
        <w:t>trading</w:t>
      </w:r>
      <w:r w:rsidRPr="001B72D6">
        <w:rPr>
          <w:rFonts w:cs="Arial"/>
          <w:lang w:val="en-US"/>
        </w:rPr>
        <w:t xml:space="preserve"> scheme, become</w:t>
      </w:r>
      <w:r>
        <w:rPr>
          <w:rFonts w:cs="Arial"/>
          <w:lang w:val="en-US"/>
        </w:rPr>
        <w:t>s</w:t>
      </w:r>
      <w:r w:rsidRPr="001B72D6">
        <w:rPr>
          <w:rFonts w:cs="Arial"/>
          <w:lang w:val="en-US"/>
        </w:rPr>
        <w:t xml:space="preserve"> mandatory for emitters of biogenic</w:t>
      </w:r>
      <w:r>
        <w:rPr>
          <w:rFonts w:cs="Arial"/>
          <w:lang w:val="en-US"/>
        </w:rPr>
        <w:t xml:space="preserve"> CO</w:t>
      </w:r>
      <w:r w:rsidRPr="0092771B">
        <w:rPr>
          <w:rFonts w:cs="Arial"/>
          <w:vertAlign w:val="subscript"/>
          <w:lang w:val="en-US"/>
        </w:rPr>
        <w:t>2</w:t>
      </w:r>
      <w:r>
        <w:rPr>
          <w:rFonts w:cs="Arial"/>
          <w:lang w:val="en-US"/>
        </w:rPr>
        <w:t xml:space="preserve"> </w:t>
      </w:r>
      <w:r w:rsidRPr="001B72D6">
        <w:rPr>
          <w:rFonts w:cs="Arial"/>
          <w:lang w:val="en-US"/>
        </w:rPr>
        <w:t xml:space="preserve">and under the preconditions in paragraph 1.6, the DEA will also recalculate a reduction of the subsidy (as described in paragraph </w:t>
      </w:r>
      <w:r w:rsidRPr="001B72D6">
        <w:rPr>
          <w:rFonts w:cs="Arial"/>
          <w:lang w:val="en-US"/>
        </w:rPr>
        <w:fldChar w:fldCharType="begin"/>
      </w:r>
      <w:r w:rsidRPr="001B72D6">
        <w:rPr>
          <w:rFonts w:cs="Arial"/>
          <w:lang w:val="en-US"/>
        </w:rPr>
        <w:instrText xml:space="preserve"> REF _Ref169004391 \r \h </w:instrText>
      </w:r>
      <w:r>
        <w:rPr>
          <w:rFonts w:cs="Arial"/>
          <w:lang w:val="en-US"/>
        </w:rPr>
        <w:instrText xml:space="preserve"> \* MERGEFORMAT </w:instrText>
      </w:r>
      <w:r w:rsidRPr="001B72D6">
        <w:rPr>
          <w:rFonts w:cs="Arial"/>
          <w:lang w:val="en-US"/>
        </w:rPr>
      </w:r>
      <w:r w:rsidRPr="001B72D6">
        <w:rPr>
          <w:rFonts w:cs="Arial"/>
          <w:lang w:val="en-US"/>
        </w:rPr>
        <w:fldChar w:fldCharType="separate"/>
      </w:r>
      <w:r w:rsidR="001906DB">
        <w:rPr>
          <w:rFonts w:cs="Arial"/>
          <w:lang w:val="en-US"/>
        </w:rPr>
        <w:t>1.8.2</w:t>
      </w:r>
      <w:r w:rsidRPr="001B72D6">
        <w:rPr>
          <w:rFonts w:cs="Arial"/>
          <w:lang w:val="en-US"/>
        </w:rPr>
        <w:fldChar w:fldCharType="end"/>
      </w:r>
      <w:r w:rsidRPr="001B72D6">
        <w:rPr>
          <w:rFonts w:cs="Arial"/>
          <w:lang w:val="en-US"/>
        </w:rPr>
        <w:t xml:space="preserve">) if the </w:t>
      </w:r>
      <w:bookmarkStart w:id="27" w:name="_Hlk169005899"/>
      <w:r w:rsidRPr="001B72D6">
        <w:rPr>
          <w:rFonts w:cs="Arial"/>
          <w:lang w:val="en-US"/>
        </w:rPr>
        <w:t xml:space="preserve">Actual Biogenic </w:t>
      </w:r>
      <w:r>
        <w:rPr>
          <w:rFonts w:cs="Arial"/>
          <w:lang w:val="en-US"/>
        </w:rPr>
        <w:t>Allowances</w:t>
      </w:r>
      <w:r w:rsidRPr="001B72D6">
        <w:rPr>
          <w:rFonts w:cs="Arial"/>
          <w:lang w:val="en-US"/>
        </w:rPr>
        <w:t xml:space="preserve"> </w:t>
      </w:r>
      <w:r>
        <w:rPr>
          <w:rFonts w:cs="Arial"/>
          <w:lang w:val="en-US"/>
        </w:rPr>
        <w:t>Fraction</w:t>
      </w:r>
      <w:bookmarkEnd w:id="27"/>
      <w:r>
        <w:rPr>
          <w:rFonts w:cs="Arial"/>
          <w:lang w:val="en-US"/>
        </w:rPr>
        <w:t xml:space="preserve"> </w:t>
      </w:r>
      <w:r w:rsidRPr="001B72D6">
        <w:rPr>
          <w:rFonts w:cs="Arial"/>
          <w:lang w:val="en-US"/>
        </w:rPr>
        <w:t>exceeds the Forecast Biogenic</w:t>
      </w:r>
      <w:r>
        <w:rPr>
          <w:rFonts w:cs="Arial"/>
          <w:lang w:val="en-US"/>
        </w:rPr>
        <w:t xml:space="preserve"> Allowances Fraction</w:t>
      </w:r>
      <w:r w:rsidRPr="001B72D6">
        <w:rPr>
          <w:rFonts w:cs="Arial"/>
          <w:lang w:val="en-US"/>
        </w:rPr>
        <w:t xml:space="preserve"> CO</w:t>
      </w:r>
      <w:r w:rsidRPr="0092771B">
        <w:rPr>
          <w:rFonts w:cs="Arial"/>
          <w:vertAlign w:val="subscript"/>
          <w:lang w:val="en-US"/>
        </w:rPr>
        <w:t>2</w:t>
      </w:r>
      <w:r w:rsidRPr="001B72D6">
        <w:rPr>
          <w:rFonts w:cs="Arial"/>
          <w:lang w:val="en-US"/>
        </w:rPr>
        <w:t>. The Operator will be required to repay the excess amount of subsidy.</w:t>
      </w:r>
    </w:p>
    <w:p w14:paraId="69906E20" w14:textId="77777777" w:rsidR="00E71FF2" w:rsidRPr="001B72D6" w:rsidRDefault="00E71FF2" w:rsidP="00E71FF2">
      <w:pPr>
        <w:rPr>
          <w:rFonts w:cs="Arial"/>
          <w:lang w:val="en-US"/>
        </w:rPr>
      </w:pPr>
    </w:p>
    <w:p w14:paraId="64DDBEC1" w14:textId="535E5FB6" w:rsidR="00E71FF2" w:rsidRDefault="00E71FF2" w:rsidP="00E71FF2">
      <w:pPr>
        <w:rPr>
          <w:rFonts w:cs="Arial"/>
          <w:lang w:val="en-US"/>
        </w:rPr>
      </w:pPr>
      <w:r w:rsidRPr="001B72D6">
        <w:rPr>
          <w:rFonts w:cs="Arial"/>
          <w:lang w:val="en-US"/>
        </w:rPr>
        <w:t xml:space="preserve">If the Actual Biogenic </w:t>
      </w:r>
      <w:r>
        <w:rPr>
          <w:rFonts w:cs="Arial"/>
          <w:lang w:val="en-US"/>
        </w:rPr>
        <w:t>Allowances</w:t>
      </w:r>
      <w:r w:rsidRPr="001B72D6">
        <w:rPr>
          <w:rFonts w:cs="Arial"/>
          <w:lang w:val="en-US"/>
        </w:rPr>
        <w:t xml:space="preserve"> </w:t>
      </w:r>
      <w:r>
        <w:rPr>
          <w:rFonts w:cs="Arial"/>
          <w:lang w:val="en-US"/>
        </w:rPr>
        <w:t xml:space="preserve">Fraction </w:t>
      </w:r>
      <w:r w:rsidRPr="001B72D6">
        <w:rPr>
          <w:rFonts w:cs="Arial"/>
          <w:lang w:val="en-US"/>
        </w:rPr>
        <w:t xml:space="preserve">is less than the Forecast Biogenic </w:t>
      </w:r>
      <w:r>
        <w:rPr>
          <w:rFonts w:cs="Arial"/>
          <w:lang w:val="en-US"/>
        </w:rPr>
        <w:t>Allowances Fraction</w:t>
      </w:r>
      <w:r w:rsidRPr="001B72D6">
        <w:rPr>
          <w:rFonts w:cs="Arial"/>
          <w:lang w:val="en-US"/>
        </w:rPr>
        <w:t xml:space="preserve"> the DEA will not recalculate the subsidy.</w:t>
      </w:r>
    </w:p>
    <w:p w14:paraId="29EBD8FE" w14:textId="77777777" w:rsidR="00E71FF2" w:rsidRDefault="00E71FF2" w:rsidP="00E71FF2">
      <w:pPr>
        <w:rPr>
          <w:rFonts w:cs="Arial"/>
          <w:lang w:val="en-US"/>
        </w:rPr>
      </w:pPr>
      <w:r>
        <w:rPr>
          <w:rFonts w:cs="Arial"/>
          <w:lang w:val="en-US"/>
        </w:rPr>
        <w:br w:type="page"/>
      </w:r>
    </w:p>
    <w:p w14:paraId="57F04ACF" w14:textId="77777777" w:rsidR="00E71FF2" w:rsidRDefault="00E71FF2" w:rsidP="00BD2A74">
      <w:pPr>
        <w:pStyle w:val="Heading1"/>
        <w:keepNext/>
        <w:numPr>
          <w:ilvl w:val="0"/>
          <w:numId w:val="15"/>
        </w:numPr>
        <w:overflowPunct w:val="0"/>
        <w:autoSpaceDE w:val="0"/>
        <w:autoSpaceDN w:val="0"/>
        <w:adjustRightInd w:val="0"/>
        <w:spacing w:after="300" w:line="312" w:lineRule="auto"/>
        <w:contextualSpacing w:val="0"/>
        <w:jc w:val="both"/>
        <w:textAlignment w:val="baseline"/>
        <w:rPr>
          <w:rFonts w:ascii="Arial" w:hAnsi="Arial" w:cs="Arial"/>
          <w:lang w:val="en-US"/>
        </w:rPr>
      </w:pPr>
      <w:bookmarkStart w:id="28" w:name="_Ref169524867"/>
      <w:r>
        <w:rPr>
          <w:rFonts w:ascii="Arial" w:hAnsi="Arial" w:cs="Arial"/>
          <w:lang w:val="en-US"/>
        </w:rPr>
        <w:lastRenderedPageBreak/>
        <w:t>Terms used in this document</w:t>
      </w:r>
      <w:bookmarkEnd w:id="28"/>
    </w:p>
    <w:p w14:paraId="3872CC6E" w14:textId="77777777" w:rsidR="00E71FF2" w:rsidRDefault="00E71FF2" w:rsidP="00BD2A74">
      <w:pPr>
        <w:pStyle w:val="ListParagraph"/>
        <w:numPr>
          <w:ilvl w:val="0"/>
          <w:numId w:val="26"/>
        </w:numPr>
        <w:spacing w:line="312" w:lineRule="auto"/>
        <w:jc w:val="both"/>
        <w:rPr>
          <w:rFonts w:cs="Arial"/>
          <w:lang w:val="en-US"/>
        </w:rPr>
      </w:pPr>
      <w:r w:rsidRPr="00BC6EE4">
        <w:rPr>
          <w:rFonts w:cs="Arial"/>
          <w:u w:val="single"/>
          <w:lang w:val="en-US"/>
        </w:rPr>
        <w:t>Actual Carbon Credits Income</w:t>
      </w:r>
      <w:r w:rsidRPr="00572277">
        <w:rPr>
          <w:rFonts w:cs="Arial"/>
          <w:lang w:val="en-US"/>
        </w:rPr>
        <w:t xml:space="preserve"> means the income generated by carbon credits related to the Storage of </w:t>
      </w:r>
      <w:r>
        <w:rPr>
          <w:rFonts w:cs="Arial"/>
          <w:lang w:val="en-US"/>
        </w:rPr>
        <w:t>the Delivered Quantity.</w:t>
      </w:r>
      <w:r w:rsidRPr="00572277">
        <w:rPr>
          <w:rFonts w:cs="Arial"/>
          <w:lang w:val="en-US"/>
        </w:rPr>
        <w:t xml:space="preserve">  </w:t>
      </w:r>
    </w:p>
    <w:p w14:paraId="27195AA6" w14:textId="77777777" w:rsidR="00E71FF2" w:rsidRPr="00BC6EE4" w:rsidRDefault="00E71FF2" w:rsidP="00E71FF2">
      <w:pPr>
        <w:pStyle w:val="ListParagraph"/>
        <w:rPr>
          <w:rFonts w:cs="Arial"/>
          <w:lang w:val="en-US"/>
        </w:rPr>
      </w:pPr>
    </w:p>
    <w:p w14:paraId="12B75F1C" w14:textId="77777777" w:rsidR="00E71FF2" w:rsidRPr="00BC6EE4" w:rsidRDefault="00E71FF2" w:rsidP="00BD2A74">
      <w:pPr>
        <w:pStyle w:val="ListParagraph"/>
        <w:numPr>
          <w:ilvl w:val="0"/>
          <w:numId w:val="25"/>
        </w:numPr>
        <w:spacing w:line="312" w:lineRule="auto"/>
        <w:jc w:val="both"/>
        <w:rPr>
          <w:rFonts w:cs="Arial"/>
          <w:lang w:val="en-US"/>
        </w:rPr>
      </w:pPr>
      <w:r w:rsidRPr="00BC6EE4">
        <w:rPr>
          <w:rFonts w:cs="Arial"/>
          <w:u w:val="single"/>
          <w:lang w:val="en-US"/>
        </w:rPr>
        <w:t>Actual Fossil EUA Fraction</w:t>
      </w:r>
      <w:r w:rsidRPr="00BC6EE4">
        <w:rPr>
          <w:rFonts w:cs="Arial"/>
          <w:lang w:val="en-US"/>
        </w:rPr>
        <w:t xml:space="preserve"> means the actual fossil fraction</w:t>
      </w:r>
      <w:r>
        <w:rPr>
          <w:rFonts w:cs="Arial"/>
          <w:lang w:val="en-US"/>
        </w:rPr>
        <w:t xml:space="preserve"> (in percentage)</w:t>
      </w:r>
      <w:r w:rsidRPr="00BC6EE4">
        <w:rPr>
          <w:rFonts w:cs="Arial"/>
          <w:lang w:val="en-US"/>
        </w:rPr>
        <w:t xml:space="preserve"> of the Delivered Quantity subject to EUA.</w:t>
      </w:r>
    </w:p>
    <w:p w14:paraId="1FC86F9E" w14:textId="77777777" w:rsidR="00E71FF2" w:rsidRPr="00BC6EE4" w:rsidRDefault="00E71FF2" w:rsidP="00E71FF2">
      <w:pPr>
        <w:pStyle w:val="ListParagraph"/>
        <w:rPr>
          <w:rFonts w:cs="Arial"/>
          <w:lang w:val="en-US"/>
        </w:rPr>
      </w:pPr>
    </w:p>
    <w:p w14:paraId="676ECDF2" w14:textId="77777777" w:rsidR="00E71FF2" w:rsidRPr="00BC6EE4" w:rsidRDefault="00E71FF2" w:rsidP="00BD2A74">
      <w:pPr>
        <w:pStyle w:val="ListParagraph"/>
        <w:numPr>
          <w:ilvl w:val="0"/>
          <w:numId w:val="25"/>
        </w:numPr>
        <w:spacing w:line="312" w:lineRule="auto"/>
        <w:jc w:val="both"/>
        <w:rPr>
          <w:rFonts w:cs="Arial"/>
          <w:lang w:val="en-US"/>
        </w:rPr>
      </w:pPr>
      <w:r w:rsidRPr="00BC6EE4">
        <w:rPr>
          <w:rFonts w:cs="Arial"/>
          <w:u w:val="single"/>
          <w:lang w:val="en-US"/>
        </w:rPr>
        <w:t>Actual Fossil Tax Fraction</w:t>
      </w:r>
      <w:r w:rsidRPr="00BC6EE4">
        <w:rPr>
          <w:rFonts w:cs="Arial"/>
          <w:lang w:val="en-US"/>
        </w:rPr>
        <w:t xml:space="preserve"> means the actual fossil fraction </w:t>
      </w:r>
      <w:r>
        <w:rPr>
          <w:rFonts w:cs="Arial"/>
          <w:lang w:val="en-US"/>
        </w:rPr>
        <w:t>(in percentage)</w:t>
      </w:r>
      <w:r w:rsidRPr="00BC6EE4">
        <w:rPr>
          <w:rFonts w:cs="Arial"/>
          <w:lang w:val="en-US"/>
        </w:rPr>
        <w:t xml:space="preserve"> of the Delivered Quantity subject to CO</w:t>
      </w:r>
      <w:r w:rsidRPr="00346834">
        <w:rPr>
          <w:rFonts w:cs="Arial"/>
          <w:vertAlign w:val="subscript"/>
          <w:lang w:val="en-US"/>
        </w:rPr>
        <w:t>2</w:t>
      </w:r>
      <w:r w:rsidRPr="00BC6EE4">
        <w:rPr>
          <w:rFonts w:cs="Arial"/>
          <w:lang w:val="en-US"/>
        </w:rPr>
        <w:t xml:space="preserve"> related taxes.</w:t>
      </w:r>
    </w:p>
    <w:p w14:paraId="20DFBD0B" w14:textId="77777777" w:rsidR="00E71FF2" w:rsidRPr="00BC6EE4" w:rsidRDefault="00E71FF2" w:rsidP="00E71FF2">
      <w:pPr>
        <w:pStyle w:val="ListParagraph"/>
        <w:rPr>
          <w:rFonts w:cs="Arial"/>
          <w:lang w:val="en-US"/>
        </w:rPr>
      </w:pPr>
    </w:p>
    <w:p w14:paraId="426419B3" w14:textId="7F475CB6" w:rsidR="00E71FF2" w:rsidRPr="00BC6EE4" w:rsidRDefault="00E71FF2" w:rsidP="00BD2A74">
      <w:pPr>
        <w:pStyle w:val="ListParagraph"/>
        <w:numPr>
          <w:ilvl w:val="0"/>
          <w:numId w:val="25"/>
        </w:numPr>
        <w:spacing w:line="312" w:lineRule="auto"/>
        <w:jc w:val="both"/>
        <w:rPr>
          <w:rFonts w:cs="Arial"/>
          <w:lang w:val="en-US"/>
        </w:rPr>
      </w:pPr>
      <w:r w:rsidRPr="00BC6EE4">
        <w:rPr>
          <w:rFonts w:cs="Arial"/>
          <w:u w:val="single"/>
          <w:lang w:val="en-US"/>
        </w:rPr>
        <w:t>Actual Biogenic Allowances Fraction</w:t>
      </w:r>
      <w:r w:rsidRPr="00BC6EE4">
        <w:rPr>
          <w:rFonts w:cs="Arial"/>
          <w:lang w:val="en-US"/>
        </w:rPr>
        <w:t xml:space="preserve"> means the actual biogen</w:t>
      </w:r>
      <w:r w:rsidR="00974FD7">
        <w:rPr>
          <w:rFonts w:cs="Arial"/>
          <w:lang w:val="en-US"/>
        </w:rPr>
        <w:t>ic</w:t>
      </w:r>
      <w:r w:rsidRPr="00BC6EE4">
        <w:rPr>
          <w:rFonts w:cs="Arial"/>
          <w:lang w:val="en-US"/>
        </w:rPr>
        <w:t xml:space="preserve"> allowances fraction </w:t>
      </w:r>
      <w:r>
        <w:rPr>
          <w:rFonts w:cs="Arial"/>
          <w:lang w:val="en-US"/>
        </w:rPr>
        <w:t>(in percentage)</w:t>
      </w:r>
      <w:r w:rsidRPr="00BC6EE4">
        <w:rPr>
          <w:rFonts w:cs="Arial"/>
          <w:lang w:val="en-US"/>
        </w:rPr>
        <w:t xml:space="preserve"> of the Delivered Quantity if future legislation entails that participation in the EU Emissions </w:t>
      </w:r>
      <w:r w:rsidR="007A6E2E">
        <w:rPr>
          <w:rFonts w:cs="Arial"/>
          <w:lang w:val="en-US"/>
        </w:rPr>
        <w:t>Trading</w:t>
      </w:r>
      <w:r w:rsidRPr="00BC6EE4">
        <w:rPr>
          <w:rFonts w:cs="Arial"/>
          <w:lang w:val="en-US"/>
        </w:rPr>
        <w:t xml:space="preserve"> Scheme (ETS), or a similar EU-mandated </w:t>
      </w:r>
      <w:r w:rsidR="007A6E2E">
        <w:rPr>
          <w:rFonts w:cs="Arial"/>
          <w:lang w:val="en-US"/>
        </w:rPr>
        <w:t>trading</w:t>
      </w:r>
      <w:r w:rsidRPr="00BC6EE4">
        <w:rPr>
          <w:rFonts w:cs="Arial"/>
          <w:lang w:val="en-US"/>
        </w:rPr>
        <w:t xml:space="preserve"> scheme, become mandatory for emitters of biogenic CO</w:t>
      </w:r>
      <w:r w:rsidRPr="00C65F95">
        <w:rPr>
          <w:rFonts w:cs="Arial"/>
          <w:vertAlign w:val="subscript"/>
          <w:lang w:val="en-US"/>
        </w:rPr>
        <w:t>2</w:t>
      </w:r>
      <w:r>
        <w:rPr>
          <w:rFonts w:cs="Arial"/>
          <w:lang w:val="en-US"/>
        </w:rPr>
        <w:t>.</w:t>
      </w:r>
    </w:p>
    <w:p w14:paraId="153AC58A" w14:textId="77777777" w:rsidR="00E71FF2" w:rsidRPr="00BC6EE4" w:rsidRDefault="00E71FF2" w:rsidP="00E71FF2">
      <w:pPr>
        <w:pStyle w:val="ListParagraph"/>
        <w:rPr>
          <w:rFonts w:cs="Arial"/>
          <w:lang w:val="en-US"/>
        </w:rPr>
      </w:pPr>
    </w:p>
    <w:p w14:paraId="0AB90CFD" w14:textId="77777777" w:rsidR="00E71FF2" w:rsidRPr="00BC6EE4" w:rsidRDefault="00E71FF2" w:rsidP="00BD2A74">
      <w:pPr>
        <w:pStyle w:val="ListParagraph"/>
        <w:numPr>
          <w:ilvl w:val="0"/>
          <w:numId w:val="25"/>
        </w:numPr>
        <w:spacing w:line="312" w:lineRule="auto"/>
        <w:jc w:val="both"/>
        <w:rPr>
          <w:rFonts w:cs="Arial"/>
          <w:lang w:val="en-US"/>
        </w:rPr>
      </w:pPr>
      <w:r w:rsidRPr="00BC6EE4">
        <w:rPr>
          <w:rFonts w:cs="Arial"/>
          <w:u w:val="single"/>
          <w:lang w:val="en-US"/>
        </w:rPr>
        <w:t>Annual Quantity</w:t>
      </w:r>
      <w:r w:rsidRPr="00BC6EE4">
        <w:rPr>
          <w:rFonts w:cs="Arial"/>
          <w:lang w:val="en-US"/>
        </w:rPr>
        <w:t xml:space="preserve"> means the quantity of CO</w:t>
      </w:r>
      <w:r w:rsidRPr="00346834">
        <w:rPr>
          <w:rFonts w:cs="Arial"/>
          <w:vertAlign w:val="subscript"/>
          <w:lang w:val="en-US"/>
        </w:rPr>
        <w:t>2</w:t>
      </w:r>
      <w:r w:rsidRPr="00BC6EE4">
        <w:rPr>
          <w:rFonts w:cs="Arial"/>
          <w:lang w:val="en-US"/>
        </w:rPr>
        <w:t xml:space="preserve"> specified in Appendix 6, Offered Rate and Contracted Quantity that the Operator is obliged to capture and Store every calendar year from 2030 until (and including) 2044 in accordance with the Contract. </w:t>
      </w:r>
      <w:r>
        <w:rPr>
          <w:rFonts w:cs="Arial"/>
          <w:lang w:val="en-US"/>
        </w:rPr>
        <w:t>A</w:t>
      </w:r>
      <w:r w:rsidRPr="00817427">
        <w:rPr>
          <w:rFonts w:cs="Arial"/>
          <w:lang w:val="en-US"/>
        </w:rPr>
        <w:t xml:space="preserve">s minimum </w:t>
      </w:r>
      <w:r>
        <w:rPr>
          <w:rFonts w:cs="Arial"/>
          <w:lang w:val="en-US"/>
        </w:rPr>
        <w:t xml:space="preserve">the Annual Quantity shall </w:t>
      </w:r>
      <w:r w:rsidRPr="00817427">
        <w:rPr>
          <w:rFonts w:cs="Arial"/>
          <w:lang w:val="en-US"/>
        </w:rPr>
        <w:t>be 100</w:t>
      </w:r>
      <w:r>
        <w:rPr>
          <w:rFonts w:cs="Arial"/>
          <w:lang w:val="en-US"/>
        </w:rPr>
        <w:t>,</w:t>
      </w:r>
      <w:r w:rsidRPr="00817427">
        <w:rPr>
          <w:rFonts w:cs="Arial"/>
          <w:lang w:val="en-US"/>
        </w:rPr>
        <w:t xml:space="preserve">000 </w:t>
      </w:r>
      <w:proofErr w:type="spellStart"/>
      <w:r w:rsidRPr="00817427">
        <w:rPr>
          <w:rFonts w:cs="Arial"/>
          <w:lang w:val="en-US"/>
        </w:rPr>
        <w:t>tonnes</w:t>
      </w:r>
      <w:proofErr w:type="spellEnd"/>
      <w:r w:rsidRPr="00817427">
        <w:rPr>
          <w:rFonts w:cs="Arial"/>
          <w:lang w:val="en-US"/>
        </w:rPr>
        <w:t xml:space="preserve"> of CO</w:t>
      </w:r>
      <w:r w:rsidRPr="00346834">
        <w:rPr>
          <w:rFonts w:cs="Arial"/>
          <w:vertAlign w:val="subscript"/>
          <w:lang w:val="en-US"/>
        </w:rPr>
        <w:t>2</w:t>
      </w:r>
      <w:r>
        <w:rPr>
          <w:rFonts w:cs="Arial"/>
          <w:lang w:val="en-US"/>
        </w:rPr>
        <w:t>.</w:t>
      </w:r>
    </w:p>
    <w:p w14:paraId="7833EED1" w14:textId="77777777" w:rsidR="00E71FF2" w:rsidRPr="00BC6EE4" w:rsidRDefault="00E71FF2" w:rsidP="00E71FF2">
      <w:pPr>
        <w:pStyle w:val="ListParagraph"/>
        <w:rPr>
          <w:rFonts w:cs="Arial"/>
          <w:lang w:val="en-US"/>
        </w:rPr>
      </w:pPr>
    </w:p>
    <w:p w14:paraId="7B5DCEDE" w14:textId="77777777" w:rsidR="00E71FF2" w:rsidRPr="00BC6EE4" w:rsidRDefault="00E71FF2" w:rsidP="00BD2A74">
      <w:pPr>
        <w:pStyle w:val="ListParagraph"/>
        <w:numPr>
          <w:ilvl w:val="0"/>
          <w:numId w:val="25"/>
        </w:numPr>
        <w:spacing w:line="312" w:lineRule="auto"/>
        <w:jc w:val="both"/>
        <w:rPr>
          <w:rFonts w:cs="Arial"/>
          <w:lang w:val="en-US"/>
        </w:rPr>
      </w:pPr>
      <w:r w:rsidRPr="00BC6EE4">
        <w:rPr>
          <w:rFonts w:cs="Arial"/>
          <w:u w:val="single"/>
          <w:lang w:val="en-US"/>
        </w:rPr>
        <w:t>Annual Forecast Quantity</w:t>
      </w:r>
      <w:r w:rsidRPr="00BC6EE4">
        <w:rPr>
          <w:rFonts w:cs="Arial"/>
          <w:lang w:val="en-US"/>
        </w:rPr>
        <w:t xml:space="preserve"> means the expected total quantity of CO</w:t>
      </w:r>
      <w:r w:rsidRPr="00C65F95">
        <w:rPr>
          <w:rFonts w:cs="Arial"/>
          <w:vertAlign w:val="subscript"/>
          <w:lang w:val="en-US"/>
        </w:rPr>
        <w:t>2</w:t>
      </w:r>
      <w:r w:rsidRPr="00BC6EE4">
        <w:rPr>
          <w:rFonts w:cs="Arial"/>
          <w:lang w:val="en-US"/>
        </w:rPr>
        <w:t xml:space="preserve"> for</w:t>
      </w:r>
      <w:r>
        <w:rPr>
          <w:rFonts w:cs="Arial"/>
          <w:lang w:val="en-US"/>
        </w:rPr>
        <w:t xml:space="preserve"> a given year</w:t>
      </w:r>
      <w:r w:rsidRPr="00BC6EE4">
        <w:rPr>
          <w:rFonts w:cs="Arial"/>
          <w:lang w:val="en-US"/>
        </w:rPr>
        <w:t xml:space="preserve"> included in the forecast as set out in R-6, Appendix 3, Requirements specification. </w:t>
      </w:r>
    </w:p>
    <w:p w14:paraId="58D62018" w14:textId="77777777" w:rsidR="00E71FF2" w:rsidRPr="00BC6EE4" w:rsidRDefault="00E71FF2" w:rsidP="00E71FF2">
      <w:pPr>
        <w:pStyle w:val="ListParagraph"/>
        <w:rPr>
          <w:rFonts w:cs="Arial"/>
          <w:lang w:val="en-US"/>
        </w:rPr>
      </w:pPr>
    </w:p>
    <w:p w14:paraId="299A25E4" w14:textId="77777777" w:rsidR="00E71FF2" w:rsidRPr="00BC6EE4" w:rsidRDefault="00E71FF2" w:rsidP="00BD2A74">
      <w:pPr>
        <w:pStyle w:val="ListParagraph"/>
        <w:numPr>
          <w:ilvl w:val="0"/>
          <w:numId w:val="25"/>
        </w:numPr>
        <w:spacing w:line="312" w:lineRule="auto"/>
        <w:jc w:val="both"/>
        <w:rPr>
          <w:rFonts w:cs="Arial"/>
          <w:lang w:val="en-US"/>
        </w:rPr>
      </w:pPr>
      <w:r w:rsidRPr="00BC6EE4">
        <w:rPr>
          <w:rFonts w:cs="Arial"/>
          <w:u w:val="single"/>
          <w:lang w:val="en-US"/>
        </w:rPr>
        <w:t>Baseline Carbon Credit Income</w:t>
      </w:r>
      <w:r w:rsidRPr="00BC6EE4">
        <w:rPr>
          <w:rFonts w:cs="Arial"/>
          <w:lang w:val="en-US"/>
        </w:rPr>
        <w:t xml:space="preserve"> means </w:t>
      </w:r>
      <w:r w:rsidRPr="00572277">
        <w:rPr>
          <w:rFonts w:cs="Arial"/>
          <w:lang w:val="en-US"/>
        </w:rPr>
        <w:t xml:space="preserve">the income generated by carbon credits related to the Storage </w:t>
      </w:r>
      <w:r>
        <w:rPr>
          <w:rFonts w:cs="Arial"/>
          <w:lang w:val="en-US"/>
        </w:rPr>
        <w:t>in accordance with the Contract specified in Appendix 6,</w:t>
      </w:r>
      <w:r w:rsidRPr="00BC6EE4">
        <w:rPr>
          <w:lang w:val="en-US"/>
        </w:rPr>
        <w:t xml:space="preserve"> </w:t>
      </w:r>
      <w:r w:rsidRPr="00572277">
        <w:rPr>
          <w:rFonts w:cs="Arial"/>
          <w:lang w:val="en-US"/>
        </w:rPr>
        <w:t>Offered Rate and Contracted Quantity</w:t>
      </w:r>
      <w:r>
        <w:rPr>
          <w:rFonts w:cs="Arial"/>
          <w:lang w:val="en-US"/>
        </w:rPr>
        <w:t>, for each calendar year from 2030 (or 2029, if relevant) until (and including) 2044</w:t>
      </w:r>
      <w:r w:rsidRPr="00572277">
        <w:rPr>
          <w:rFonts w:cs="Arial"/>
          <w:lang w:val="en-US"/>
        </w:rPr>
        <w:t xml:space="preserve">.  </w:t>
      </w:r>
    </w:p>
    <w:p w14:paraId="19AC6842" w14:textId="77777777" w:rsidR="00E71FF2" w:rsidRPr="00BC6EE4" w:rsidRDefault="00E71FF2" w:rsidP="00E71FF2">
      <w:pPr>
        <w:pStyle w:val="ListParagraph"/>
        <w:rPr>
          <w:rFonts w:cs="Arial"/>
          <w:lang w:val="en-US"/>
        </w:rPr>
      </w:pPr>
    </w:p>
    <w:p w14:paraId="062869F2" w14:textId="197C042D" w:rsidR="00E71FF2" w:rsidRPr="00BC6EE4" w:rsidRDefault="00E71FF2" w:rsidP="00BD2A74">
      <w:pPr>
        <w:pStyle w:val="ListParagraph"/>
        <w:numPr>
          <w:ilvl w:val="0"/>
          <w:numId w:val="25"/>
        </w:numPr>
        <w:spacing w:line="312" w:lineRule="auto"/>
        <w:jc w:val="both"/>
        <w:rPr>
          <w:rFonts w:cs="Arial"/>
          <w:lang w:val="en-US"/>
        </w:rPr>
      </w:pPr>
      <w:r w:rsidRPr="00BC6EE4">
        <w:rPr>
          <w:rFonts w:cs="Arial"/>
          <w:u w:val="single"/>
          <w:lang w:val="en-US"/>
        </w:rPr>
        <w:t>Baseline Fossil EUA Fraction</w:t>
      </w:r>
      <w:r w:rsidRPr="00BC6EE4">
        <w:rPr>
          <w:rFonts w:cs="Arial"/>
          <w:lang w:val="en-US"/>
        </w:rPr>
        <w:t xml:space="preserve"> means </w:t>
      </w:r>
      <w:r w:rsidRPr="00572277">
        <w:rPr>
          <w:rFonts w:cs="Arial"/>
          <w:lang w:val="en-US"/>
        </w:rPr>
        <w:t>the fossil fraction</w:t>
      </w:r>
      <w:r>
        <w:rPr>
          <w:rFonts w:cs="Arial"/>
          <w:lang w:val="en-US"/>
        </w:rPr>
        <w:t xml:space="preserve"> (in percentage)</w:t>
      </w:r>
      <w:r w:rsidRPr="00572277">
        <w:rPr>
          <w:rFonts w:cs="Arial"/>
          <w:lang w:val="en-US"/>
        </w:rPr>
        <w:t xml:space="preserve"> of the </w:t>
      </w:r>
      <w:r>
        <w:rPr>
          <w:rFonts w:cs="Arial"/>
          <w:lang w:val="en-US"/>
        </w:rPr>
        <w:t xml:space="preserve">Annual </w:t>
      </w:r>
      <w:r w:rsidRPr="00572277">
        <w:rPr>
          <w:rFonts w:cs="Arial"/>
          <w:lang w:val="en-US"/>
        </w:rPr>
        <w:t>Quantity subject to EUA</w:t>
      </w:r>
      <w:r w:rsidRPr="00BC6EE4">
        <w:rPr>
          <w:lang w:val="en-US"/>
        </w:rPr>
        <w:t xml:space="preserve"> </w:t>
      </w:r>
      <w:r w:rsidRPr="00714BF3">
        <w:rPr>
          <w:rFonts w:cs="Arial"/>
          <w:lang w:val="en-US"/>
        </w:rPr>
        <w:t>specified in Appendix 6</w:t>
      </w:r>
      <w:r>
        <w:rPr>
          <w:rFonts w:cs="Arial"/>
          <w:lang w:val="en-US"/>
        </w:rPr>
        <w:t>,</w:t>
      </w:r>
      <w:r w:rsidRPr="00714BF3">
        <w:rPr>
          <w:rFonts w:cs="Arial"/>
          <w:lang w:val="en-US"/>
        </w:rPr>
        <w:t xml:space="preserve"> Offered Rate and Contracted Quantity</w:t>
      </w:r>
      <w:r>
        <w:rPr>
          <w:rFonts w:cs="Arial"/>
          <w:lang w:val="en-US"/>
        </w:rPr>
        <w:t>,</w:t>
      </w:r>
      <w:r w:rsidRPr="00714BF3">
        <w:rPr>
          <w:rFonts w:cs="Arial"/>
          <w:lang w:val="en-US"/>
        </w:rPr>
        <w:t xml:space="preserve"> for each calendar year from 2030 (or 2029, if relevant) until (and including) 2044</w:t>
      </w:r>
      <w:r w:rsidR="00974FD7">
        <w:rPr>
          <w:rFonts w:cs="Arial"/>
          <w:lang w:val="en-US"/>
        </w:rPr>
        <w:t>.</w:t>
      </w:r>
    </w:p>
    <w:p w14:paraId="577524B5" w14:textId="77777777" w:rsidR="00E71FF2" w:rsidRPr="00BC6EE4" w:rsidRDefault="00E71FF2" w:rsidP="00E71FF2">
      <w:pPr>
        <w:pStyle w:val="ListParagraph"/>
        <w:rPr>
          <w:rFonts w:cs="Arial"/>
          <w:lang w:val="en-US"/>
        </w:rPr>
      </w:pPr>
    </w:p>
    <w:p w14:paraId="440E0BA5" w14:textId="09D253E1" w:rsidR="00E71FF2" w:rsidRPr="00714BF3" w:rsidRDefault="00E71FF2" w:rsidP="00BD2A74">
      <w:pPr>
        <w:pStyle w:val="ListParagraph"/>
        <w:numPr>
          <w:ilvl w:val="0"/>
          <w:numId w:val="25"/>
        </w:numPr>
        <w:spacing w:line="312" w:lineRule="auto"/>
        <w:jc w:val="both"/>
        <w:rPr>
          <w:rFonts w:cs="Arial"/>
          <w:lang w:val="en-US"/>
        </w:rPr>
      </w:pPr>
      <w:r w:rsidRPr="00BC6EE4">
        <w:rPr>
          <w:rFonts w:cs="Arial"/>
          <w:u w:val="single"/>
          <w:lang w:val="en-US"/>
        </w:rPr>
        <w:t>Baseline Fossil Tax Fraction</w:t>
      </w:r>
      <w:r w:rsidRPr="00BC6EE4">
        <w:rPr>
          <w:rFonts w:cs="Arial"/>
          <w:lang w:val="en-US"/>
        </w:rPr>
        <w:t xml:space="preserve"> means </w:t>
      </w:r>
      <w:r>
        <w:rPr>
          <w:rFonts w:cs="Arial"/>
          <w:lang w:val="en-US"/>
        </w:rPr>
        <w:t>t</w:t>
      </w:r>
      <w:r w:rsidRPr="00714BF3">
        <w:rPr>
          <w:rFonts w:cs="Arial"/>
          <w:lang w:val="en-US"/>
        </w:rPr>
        <w:t>he fossil fraction</w:t>
      </w:r>
      <w:r>
        <w:rPr>
          <w:rFonts w:cs="Arial"/>
          <w:lang w:val="en-US"/>
        </w:rPr>
        <w:t xml:space="preserve"> (in percentage)</w:t>
      </w:r>
      <w:r w:rsidRPr="00714BF3">
        <w:rPr>
          <w:rFonts w:cs="Arial"/>
          <w:lang w:val="en-US"/>
        </w:rPr>
        <w:t xml:space="preserve"> of the Annual Quantity subject to </w:t>
      </w:r>
      <w:r>
        <w:rPr>
          <w:rFonts w:cs="Arial"/>
          <w:lang w:val="en-US"/>
        </w:rPr>
        <w:t>CO</w:t>
      </w:r>
      <w:r w:rsidRPr="00C65F95">
        <w:rPr>
          <w:rFonts w:cs="Arial"/>
          <w:vertAlign w:val="subscript"/>
          <w:lang w:val="en-US"/>
        </w:rPr>
        <w:t>2</w:t>
      </w:r>
      <w:r>
        <w:rPr>
          <w:rFonts w:cs="Arial"/>
          <w:lang w:val="en-US"/>
        </w:rPr>
        <w:t xml:space="preserve"> related taxes</w:t>
      </w:r>
      <w:r w:rsidRPr="00714BF3">
        <w:rPr>
          <w:rFonts w:cs="Arial"/>
          <w:lang w:val="en-US"/>
        </w:rPr>
        <w:t xml:space="preserve"> specified in Appendix 6</w:t>
      </w:r>
      <w:r>
        <w:rPr>
          <w:rFonts w:cs="Arial"/>
          <w:lang w:val="en-US"/>
        </w:rPr>
        <w:t>,</w:t>
      </w:r>
      <w:r w:rsidRPr="00714BF3">
        <w:rPr>
          <w:rFonts w:cs="Arial"/>
          <w:lang w:val="en-US"/>
        </w:rPr>
        <w:t xml:space="preserve"> Offered Rate and Contracted Quantity</w:t>
      </w:r>
      <w:r>
        <w:rPr>
          <w:rFonts w:cs="Arial"/>
          <w:lang w:val="en-US"/>
        </w:rPr>
        <w:t>,</w:t>
      </w:r>
      <w:r w:rsidRPr="00714BF3">
        <w:rPr>
          <w:rFonts w:cs="Arial"/>
          <w:lang w:val="en-US"/>
        </w:rPr>
        <w:t xml:space="preserve"> for each calendar year from 2030 (or 2029, if relevant) until (and including) 2044</w:t>
      </w:r>
      <w:r w:rsidR="00974FD7">
        <w:rPr>
          <w:rFonts w:cs="Arial"/>
          <w:lang w:val="en-US"/>
        </w:rPr>
        <w:t>.</w:t>
      </w:r>
    </w:p>
    <w:p w14:paraId="69E19540" w14:textId="77777777" w:rsidR="00E71FF2" w:rsidRPr="00BC6EE4" w:rsidRDefault="00E71FF2" w:rsidP="00E71FF2">
      <w:pPr>
        <w:ind w:left="360"/>
        <w:rPr>
          <w:rFonts w:cs="Arial"/>
          <w:lang w:val="en-US"/>
        </w:rPr>
      </w:pPr>
    </w:p>
    <w:p w14:paraId="0E27B010" w14:textId="77777777" w:rsidR="00E71FF2" w:rsidRPr="00BC6EE4" w:rsidRDefault="00E71FF2" w:rsidP="00BD2A74">
      <w:pPr>
        <w:pStyle w:val="ListParagraph"/>
        <w:numPr>
          <w:ilvl w:val="0"/>
          <w:numId w:val="25"/>
        </w:numPr>
        <w:spacing w:line="312" w:lineRule="auto"/>
        <w:jc w:val="both"/>
        <w:rPr>
          <w:rFonts w:cs="Arial"/>
          <w:lang w:val="en-US"/>
        </w:rPr>
      </w:pPr>
      <w:r w:rsidRPr="00BC6EE4">
        <w:rPr>
          <w:rFonts w:cs="Arial"/>
          <w:u w:val="single"/>
          <w:lang w:val="en-US"/>
        </w:rPr>
        <w:t>Baseline EUA Saving</w:t>
      </w:r>
      <w:r w:rsidRPr="00BC6EE4">
        <w:rPr>
          <w:rFonts w:cs="Arial"/>
          <w:lang w:val="en-US"/>
        </w:rPr>
        <w:t xml:space="preserve"> means </w:t>
      </w:r>
      <w:r>
        <w:rPr>
          <w:rFonts w:cs="Arial"/>
          <w:lang w:val="en-US"/>
        </w:rPr>
        <w:t>an amount calculated for each year on the basis of the Baseline Fossil EUA Fraction and the Baseline EUA Price.</w:t>
      </w:r>
    </w:p>
    <w:p w14:paraId="239A1A4D" w14:textId="77777777" w:rsidR="00E71FF2" w:rsidRPr="00BC6EE4" w:rsidRDefault="00E71FF2" w:rsidP="00E71FF2">
      <w:pPr>
        <w:pStyle w:val="ListParagraph"/>
        <w:rPr>
          <w:rFonts w:cs="Arial"/>
          <w:lang w:val="en-US"/>
        </w:rPr>
      </w:pPr>
    </w:p>
    <w:p w14:paraId="69EFB032" w14:textId="77777777" w:rsidR="00E71FF2" w:rsidRDefault="00E71FF2" w:rsidP="00BD2A74">
      <w:pPr>
        <w:pStyle w:val="ListParagraph"/>
        <w:numPr>
          <w:ilvl w:val="0"/>
          <w:numId w:val="25"/>
        </w:numPr>
        <w:spacing w:line="312" w:lineRule="auto"/>
        <w:jc w:val="both"/>
        <w:rPr>
          <w:rFonts w:cs="Arial"/>
          <w:lang w:val="en-US"/>
        </w:rPr>
      </w:pPr>
      <w:r w:rsidRPr="00BC6EE4">
        <w:rPr>
          <w:rFonts w:cs="Arial"/>
          <w:u w:val="single"/>
          <w:lang w:val="en-US"/>
        </w:rPr>
        <w:t>Baseline Tax Saving</w:t>
      </w:r>
      <w:r w:rsidRPr="00BC6EE4">
        <w:rPr>
          <w:rFonts w:cs="Arial"/>
          <w:lang w:val="en-US"/>
        </w:rPr>
        <w:t xml:space="preserve"> means </w:t>
      </w:r>
      <w:r>
        <w:rPr>
          <w:rFonts w:cs="Arial"/>
          <w:lang w:val="en-US"/>
        </w:rPr>
        <w:t>a total</w:t>
      </w:r>
      <w:r w:rsidRPr="00E265F7">
        <w:rPr>
          <w:rFonts w:cs="Arial"/>
          <w:lang w:val="en-US"/>
        </w:rPr>
        <w:t xml:space="preserve"> amount calculated for each year on the basis of the Baseline Fossil Tax Fraction </w:t>
      </w:r>
      <w:r>
        <w:rPr>
          <w:rFonts w:cs="Arial"/>
          <w:lang w:val="en-US"/>
        </w:rPr>
        <w:t>(in percentage)</w:t>
      </w:r>
      <w:r w:rsidRPr="00BC6EE4">
        <w:rPr>
          <w:rFonts w:cs="Arial"/>
          <w:lang w:val="en-US"/>
        </w:rPr>
        <w:t xml:space="preserve"> </w:t>
      </w:r>
      <w:r w:rsidRPr="00E265F7">
        <w:rPr>
          <w:rFonts w:cs="Arial"/>
          <w:lang w:val="en-US"/>
        </w:rPr>
        <w:t xml:space="preserve">and the </w:t>
      </w:r>
      <w:r>
        <w:rPr>
          <w:rFonts w:cs="Arial"/>
          <w:lang w:val="en-US"/>
        </w:rPr>
        <w:t xml:space="preserve">applicable </w:t>
      </w:r>
      <w:r w:rsidRPr="00E265F7">
        <w:rPr>
          <w:rFonts w:cs="Arial"/>
          <w:lang w:val="en-US"/>
        </w:rPr>
        <w:t>tax rate of the CO</w:t>
      </w:r>
      <w:r w:rsidRPr="00346834">
        <w:rPr>
          <w:rFonts w:cs="Arial"/>
          <w:vertAlign w:val="subscript"/>
          <w:lang w:val="en-US"/>
        </w:rPr>
        <w:t>2</w:t>
      </w:r>
      <w:r w:rsidRPr="00E265F7">
        <w:rPr>
          <w:rFonts w:cs="Arial"/>
          <w:lang w:val="en-US"/>
        </w:rPr>
        <w:t xml:space="preserve"> related taxe</w:t>
      </w:r>
      <w:r>
        <w:rPr>
          <w:rFonts w:cs="Arial"/>
          <w:lang w:val="en-US"/>
        </w:rPr>
        <w:t>s (i.e. the total sum of emission tax and CO</w:t>
      </w:r>
      <w:r w:rsidRPr="00C65F95">
        <w:rPr>
          <w:rFonts w:cs="Arial"/>
          <w:vertAlign w:val="subscript"/>
          <w:lang w:val="en-US"/>
        </w:rPr>
        <w:t>2</w:t>
      </w:r>
      <w:r>
        <w:rPr>
          <w:rFonts w:cs="Arial"/>
          <w:lang w:val="en-US"/>
        </w:rPr>
        <w:t xml:space="preserve"> tax).</w:t>
      </w:r>
    </w:p>
    <w:p w14:paraId="2B475F28" w14:textId="77777777" w:rsidR="00E71FF2" w:rsidRPr="00BC6EE4" w:rsidRDefault="00E71FF2" w:rsidP="00E71FF2">
      <w:pPr>
        <w:pStyle w:val="ListParagraph"/>
        <w:rPr>
          <w:rFonts w:cs="Arial"/>
          <w:u w:val="single"/>
          <w:lang w:val="en-US"/>
        </w:rPr>
      </w:pPr>
    </w:p>
    <w:p w14:paraId="6C1A5812" w14:textId="77777777" w:rsidR="00E71FF2" w:rsidRPr="00BC6EE4" w:rsidRDefault="00E71FF2" w:rsidP="00BD2A74">
      <w:pPr>
        <w:pStyle w:val="ListParagraph"/>
        <w:numPr>
          <w:ilvl w:val="0"/>
          <w:numId w:val="25"/>
        </w:numPr>
        <w:spacing w:line="312" w:lineRule="auto"/>
        <w:jc w:val="both"/>
        <w:rPr>
          <w:rFonts w:cs="Arial"/>
          <w:lang w:val="en-US"/>
        </w:rPr>
      </w:pPr>
      <w:r w:rsidRPr="003B5516">
        <w:rPr>
          <w:rFonts w:cs="Arial"/>
          <w:u w:val="single"/>
          <w:lang w:val="en-US"/>
        </w:rPr>
        <w:t>Contracted Quantity</w:t>
      </w:r>
      <w:r w:rsidRPr="003B5516">
        <w:rPr>
          <w:rFonts w:cs="Arial"/>
          <w:lang w:val="en-US"/>
        </w:rPr>
        <w:t xml:space="preserve"> means the quantity of CO</w:t>
      </w:r>
      <w:r w:rsidRPr="00C65F95">
        <w:rPr>
          <w:rFonts w:cs="Arial"/>
          <w:vertAlign w:val="subscript"/>
          <w:lang w:val="en-US"/>
        </w:rPr>
        <w:t>2</w:t>
      </w:r>
      <w:r w:rsidRPr="003B5516">
        <w:rPr>
          <w:rFonts w:cs="Arial"/>
          <w:lang w:val="en-US"/>
        </w:rPr>
        <w:t xml:space="preserve"> specified in Appendix 6, Offered Rate and Contracted Quantity, that the Operator is obliged to capture and </w:t>
      </w:r>
      <w:r>
        <w:rPr>
          <w:rFonts w:cs="Arial"/>
          <w:lang w:val="en-US"/>
        </w:rPr>
        <w:t>S</w:t>
      </w:r>
      <w:r w:rsidRPr="003B5516">
        <w:rPr>
          <w:rFonts w:cs="Arial"/>
          <w:lang w:val="en-US"/>
        </w:rPr>
        <w:t xml:space="preserve">tore in accordance with the Contract, i.e. the Annual Quantities and the 2029-Quantity, if any. </w:t>
      </w:r>
    </w:p>
    <w:p w14:paraId="49B1A2E0" w14:textId="77777777" w:rsidR="00E71FF2" w:rsidRPr="00BC6EE4" w:rsidRDefault="00E71FF2" w:rsidP="00E71FF2">
      <w:pPr>
        <w:pStyle w:val="ListParagraph"/>
        <w:rPr>
          <w:rFonts w:cs="Arial"/>
          <w:lang w:val="en-US"/>
        </w:rPr>
      </w:pPr>
    </w:p>
    <w:p w14:paraId="3EC23A6D" w14:textId="77777777" w:rsidR="00E71FF2" w:rsidRPr="00BC6EE4" w:rsidRDefault="00E71FF2" w:rsidP="00BD2A74">
      <w:pPr>
        <w:pStyle w:val="ListParagraph"/>
        <w:numPr>
          <w:ilvl w:val="0"/>
          <w:numId w:val="25"/>
        </w:numPr>
        <w:spacing w:line="312" w:lineRule="auto"/>
        <w:jc w:val="both"/>
        <w:rPr>
          <w:rFonts w:cs="Arial"/>
          <w:lang w:val="en-US"/>
        </w:rPr>
      </w:pPr>
      <w:r w:rsidRPr="00BC6EE4">
        <w:rPr>
          <w:rFonts w:cs="Arial"/>
          <w:u w:val="single"/>
          <w:lang w:val="en-US"/>
        </w:rPr>
        <w:t>Delivered Quantity</w:t>
      </w:r>
      <w:r w:rsidRPr="00BC6EE4">
        <w:rPr>
          <w:rFonts w:cs="Arial"/>
          <w:lang w:val="en-US"/>
        </w:rPr>
        <w:t xml:space="preserve"> </w:t>
      </w:r>
      <w:r w:rsidRPr="00BC6EE4">
        <w:rPr>
          <w:rFonts w:cs="Arial"/>
          <w:lang w:val="en-GB"/>
        </w:rPr>
        <w:t>means the quantity of CO</w:t>
      </w:r>
      <w:r w:rsidRPr="00811FF2">
        <w:rPr>
          <w:rFonts w:cs="Arial"/>
          <w:vertAlign w:val="subscript"/>
          <w:lang w:val="en-GB"/>
        </w:rPr>
        <w:t>2</w:t>
      </w:r>
      <w:r>
        <w:rPr>
          <w:rFonts w:cs="Arial"/>
          <w:lang w:val="en-GB"/>
        </w:rPr>
        <w:t xml:space="preserve"> St</w:t>
      </w:r>
      <w:r w:rsidRPr="00BC6EE4">
        <w:rPr>
          <w:rFonts w:cs="Arial"/>
          <w:lang w:val="en-GB"/>
        </w:rPr>
        <w:t>ored in accordance with the Contract in a given period.</w:t>
      </w:r>
    </w:p>
    <w:p w14:paraId="3C483347" w14:textId="77777777" w:rsidR="00E71FF2" w:rsidRPr="00BC6EE4" w:rsidRDefault="00E71FF2" w:rsidP="00E71FF2">
      <w:pPr>
        <w:pStyle w:val="ListParagraph"/>
        <w:rPr>
          <w:rFonts w:cs="Arial"/>
          <w:lang w:val="en-US"/>
        </w:rPr>
      </w:pPr>
    </w:p>
    <w:p w14:paraId="38E3EFCD" w14:textId="77777777" w:rsidR="00E71FF2" w:rsidRPr="00B0175C" w:rsidRDefault="00E71FF2" w:rsidP="00BD2A74">
      <w:pPr>
        <w:pStyle w:val="ListParagraph"/>
        <w:numPr>
          <w:ilvl w:val="0"/>
          <w:numId w:val="25"/>
        </w:numPr>
        <w:spacing w:line="312" w:lineRule="auto"/>
        <w:jc w:val="both"/>
        <w:rPr>
          <w:rFonts w:cs="Arial"/>
          <w:lang w:val="en-US"/>
        </w:rPr>
      </w:pPr>
      <w:r w:rsidRPr="00BC6EE4">
        <w:rPr>
          <w:rFonts w:cs="Arial"/>
          <w:u w:val="single"/>
          <w:lang w:val="en-US"/>
        </w:rPr>
        <w:t>EUA Baseline Price</w:t>
      </w:r>
      <w:r w:rsidRPr="00BC6EE4">
        <w:rPr>
          <w:rFonts w:cs="Arial"/>
          <w:lang w:val="en-US"/>
        </w:rPr>
        <w:t xml:space="preserve"> means</w:t>
      </w:r>
      <w:r w:rsidRPr="007C0DFE">
        <w:rPr>
          <w:rFonts w:cs="Arial"/>
          <w:lang w:val="en-US"/>
        </w:rPr>
        <w:t xml:space="preserve"> the price of EUA specified in Appendix </w:t>
      </w:r>
      <w:r>
        <w:rPr>
          <w:rFonts w:cs="Arial"/>
          <w:lang w:val="en-US"/>
        </w:rPr>
        <w:t>6,</w:t>
      </w:r>
      <w:r w:rsidRPr="007C0DFE">
        <w:rPr>
          <w:rFonts w:cs="Arial"/>
          <w:lang w:val="en-US"/>
        </w:rPr>
        <w:t xml:space="preserve"> Subsidy and </w:t>
      </w:r>
      <w:r>
        <w:rPr>
          <w:rFonts w:cs="Arial"/>
          <w:lang w:val="en-US"/>
        </w:rPr>
        <w:t>e</w:t>
      </w:r>
      <w:r w:rsidRPr="007C0DFE">
        <w:rPr>
          <w:rFonts w:cs="Arial"/>
          <w:lang w:val="en-US"/>
        </w:rPr>
        <w:t>conom</w:t>
      </w:r>
      <w:r>
        <w:rPr>
          <w:rFonts w:cs="Arial"/>
          <w:lang w:val="en-US"/>
        </w:rPr>
        <w:t>y</w:t>
      </w:r>
      <w:r w:rsidRPr="007C0DFE">
        <w:rPr>
          <w:rFonts w:cs="Arial"/>
          <w:lang w:val="en-US"/>
        </w:rPr>
        <w:t xml:space="preserve"> scheme</w:t>
      </w:r>
      <w:r>
        <w:rPr>
          <w:rFonts w:cs="Arial"/>
          <w:lang w:val="en-US"/>
        </w:rPr>
        <w:t>,</w:t>
      </w:r>
      <w:r w:rsidRPr="007C0DFE">
        <w:rPr>
          <w:rFonts w:cs="Arial"/>
          <w:lang w:val="en-US"/>
        </w:rPr>
        <w:t xml:space="preserve"> for each calendar year from 2030 (or 2029, if relevant) until (and including) 2044</w:t>
      </w:r>
      <w:r>
        <w:rPr>
          <w:rFonts w:cs="Arial"/>
          <w:lang w:val="en-US"/>
        </w:rPr>
        <w:t>.</w:t>
      </w:r>
    </w:p>
    <w:p w14:paraId="1B73707B" w14:textId="77777777" w:rsidR="00E71FF2" w:rsidRPr="00BC6EE4" w:rsidRDefault="00E71FF2" w:rsidP="00E71FF2">
      <w:pPr>
        <w:pStyle w:val="ListParagraph"/>
        <w:rPr>
          <w:rFonts w:cs="Arial"/>
          <w:lang w:val="en-US"/>
        </w:rPr>
      </w:pPr>
    </w:p>
    <w:p w14:paraId="36AECC77" w14:textId="42228A5B" w:rsidR="00E71FF2" w:rsidRPr="00BC6EE4" w:rsidRDefault="00E71FF2" w:rsidP="00BD2A74">
      <w:pPr>
        <w:pStyle w:val="ListParagraph"/>
        <w:numPr>
          <w:ilvl w:val="0"/>
          <w:numId w:val="25"/>
        </w:numPr>
        <w:spacing w:line="312" w:lineRule="auto"/>
        <w:jc w:val="both"/>
        <w:rPr>
          <w:rFonts w:cs="Arial"/>
          <w:lang w:val="en-US"/>
        </w:rPr>
      </w:pPr>
      <w:r w:rsidRPr="00BC6EE4">
        <w:rPr>
          <w:rFonts w:cs="Arial"/>
          <w:u w:val="single"/>
          <w:lang w:val="en-US"/>
        </w:rPr>
        <w:t>Forecast Biogenic Allowances Fraction</w:t>
      </w:r>
      <w:r w:rsidRPr="00BC6EE4">
        <w:rPr>
          <w:rFonts w:cs="Arial"/>
          <w:lang w:val="en-US"/>
        </w:rPr>
        <w:t xml:space="preserve"> means the </w:t>
      </w:r>
      <w:r>
        <w:rPr>
          <w:rFonts w:cs="Arial"/>
          <w:lang w:val="en-US"/>
        </w:rPr>
        <w:t>biogenic fraction (in percentage)</w:t>
      </w:r>
      <w:r w:rsidRPr="00BC6EE4">
        <w:rPr>
          <w:rFonts w:cs="Arial"/>
          <w:lang w:val="en-US"/>
        </w:rPr>
        <w:t xml:space="preserve"> of the Annual Forecast Quantity if future legislation entails that participation in the EU Emissions </w:t>
      </w:r>
      <w:r w:rsidR="007A6E2E">
        <w:rPr>
          <w:rFonts w:cs="Arial"/>
          <w:lang w:val="en-US"/>
        </w:rPr>
        <w:t>Trading</w:t>
      </w:r>
      <w:r w:rsidRPr="00BC6EE4">
        <w:rPr>
          <w:rFonts w:cs="Arial"/>
          <w:lang w:val="en-US"/>
        </w:rPr>
        <w:t xml:space="preserve"> Scheme (ETS), or a similar EU-mandated </w:t>
      </w:r>
      <w:r w:rsidR="007A6E2E">
        <w:rPr>
          <w:rFonts w:cs="Arial"/>
          <w:lang w:val="en-US"/>
        </w:rPr>
        <w:t>trading</w:t>
      </w:r>
      <w:r w:rsidRPr="00BC6EE4">
        <w:rPr>
          <w:rFonts w:cs="Arial"/>
          <w:lang w:val="en-US"/>
        </w:rPr>
        <w:t xml:space="preserve"> scheme, become mandatory for emitters of biogenic CO</w:t>
      </w:r>
      <w:r w:rsidRPr="00811FF2">
        <w:rPr>
          <w:rFonts w:cs="Arial"/>
          <w:vertAlign w:val="subscript"/>
          <w:lang w:val="en-US"/>
        </w:rPr>
        <w:t>2</w:t>
      </w:r>
      <w:r w:rsidRPr="00BC6EE4">
        <w:rPr>
          <w:rFonts w:cs="Arial"/>
          <w:lang w:val="en-US"/>
        </w:rPr>
        <w:t xml:space="preserve"> included in the forecast as set out in R-6, Appendix 3, Requirements specification. </w:t>
      </w:r>
    </w:p>
    <w:p w14:paraId="6AE6CA65" w14:textId="77777777" w:rsidR="00E71FF2" w:rsidRPr="00BC6EE4" w:rsidRDefault="00E71FF2" w:rsidP="00E71FF2">
      <w:pPr>
        <w:ind w:left="360"/>
        <w:rPr>
          <w:rFonts w:cs="Arial"/>
          <w:lang w:val="en-US"/>
        </w:rPr>
      </w:pPr>
    </w:p>
    <w:p w14:paraId="32EF6460" w14:textId="77777777" w:rsidR="00E71FF2" w:rsidRPr="00BC6EE4" w:rsidRDefault="00E71FF2" w:rsidP="00BD2A74">
      <w:pPr>
        <w:pStyle w:val="ListParagraph"/>
        <w:numPr>
          <w:ilvl w:val="0"/>
          <w:numId w:val="25"/>
        </w:numPr>
        <w:spacing w:line="312" w:lineRule="auto"/>
        <w:jc w:val="both"/>
        <w:rPr>
          <w:rFonts w:cs="Arial"/>
          <w:lang w:val="en-US"/>
        </w:rPr>
      </w:pPr>
      <w:r w:rsidRPr="00BC6EE4">
        <w:rPr>
          <w:rFonts w:cs="Arial"/>
          <w:u w:val="single"/>
          <w:lang w:val="en-US"/>
        </w:rPr>
        <w:t>Forecast Carbon Credits Income</w:t>
      </w:r>
      <w:r w:rsidRPr="00BC6EE4">
        <w:rPr>
          <w:rFonts w:cs="Arial"/>
          <w:lang w:val="en-US"/>
        </w:rPr>
        <w:t xml:space="preserve"> means the expected income of any agreement(s) on carbon credits related to the storage of CO</w:t>
      </w:r>
      <w:r w:rsidRPr="00811FF2">
        <w:rPr>
          <w:rFonts w:cs="Arial"/>
          <w:vertAlign w:val="subscript"/>
          <w:lang w:val="en-US"/>
        </w:rPr>
        <w:t>2</w:t>
      </w:r>
      <w:r w:rsidRPr="00BC6EE4">
        <w:rPr>
          <w:rFonts w:cs="Arial"/>
          <w:lang w:val="en-US"/>
        </w:rPr>
        <w:t xml:space="preserve"> </w:t>
      </w:r>
      <w:r>
        <w:rPr>
          <w:rFonts w:cs="Arial"/>
          <w:lang w:val="en-US"/>
        </w:rPr>
        <w:t>in accordance with the Contract</w:t>
      </w:r>
      <w:r w:rsidRPr="00BC6EE4">
        <w:rPr>
          <w:rFonts w:cs="Arial"/>
          <w:lang w:val="en-US"/>
        </w:rPr>
        <w:t xml:space="preserve"> for </w:t>
      </w:r>
      <w:r>
        <w:rPr>
          <w:rFonts w:cs="Arial"/>
          <w:lang w:val="en-US"/>
        </w:rPr>
        <w:t>a given year</w:t>
      </w:r>
      <w:r w:rsidRPr="00BC6EE4">
        <w:rPr>
          <w:rFonts w:cs="Arial"/>
          <w:lang w:val="en-US"/>
        </w:rPr>
        <w:t xml:space="preserve"> included in the forecast as set out in R-6, Appendix 3, Requirements specification. </w:t>
      </w:r>
    </w:p>
    <w:p w14:paraId="24EA8F11" w14:textId="77777777" w:rsidR="00E71FF2" w:rsidRPr="00BC6EE4" w:rsidRDefault="00E71FF2" w:rsidP="00E71FF2">
      <w:pPr>
        <w:pStyle w:val="ListParagraph"/>
        <w:rPr>
          <w:rFonts w:cs="Arial"/>
          <w:lang w:val="en-US"/>
        </w:rPr>
      </w:pPr>
    </w:p>
    <w:p w14:paraId="557F50FF" w14:textId="77777777" w:rsidR="00E71FF2" w:rsidRPr="00BC6EE4" w:rsidRDefault="00E71FF2" w:rsidP="00BD2A74">
      <w:pPr>
        <w:pStyle w:val="ListParagraph"/>
        <w:numPr>
          <w:ilvl w:val="0"/>
          <w:numId w:val="25"/>
        </w:numPr>
        <w:spacing w:line="312" w:lineRule="auto"/>
        <w:jc w:val="both"/>
        <w:rPr>
          <w:rFonts w:cs="Arial"/>
          <w:lang w:val="en-US"/>
        </w:rPr>
      </w:pPr>
      <w:r w:rsidRPr="00BC6EE4">
        <w:rPr>
          <w:rFonts w:cs="Arial"/>
          <w:u w:val="single"/>
          <w:lang w:val="en-US"/>
        </w:rPr>
        <w:t>Forecast Fossil EUA Fraction</w:t>
      </w:r>
      <w:r w:rsidRPr="00BC6EE4">
        <w:rPr>
          <w:rFonts w:cs="Arial"/>
          <w:lang w:val="en-US"/>
        </w:rPr>
        <w:t xml:space="preserve"> means the</w:t>
      </w:r>
      <w:r>
        <w:rPr>
          <w:rFonts w:cs="Arial"/>
          <w:lang w:val="en-US"/>
        </w:rPr>
        <w:t xml:space="preserve"> fossil fraction</w:t>
      </w:r>
      <w:r w:rsidRPr="00BC6EE4">
        <w:rPr>
          <w:rFonts w:cs="Arial"/>
          <w:lang w:val="en-US"/>
        </w:rPr>
        <w:t xml:space="preserve"> </w:t>
      </w:r>
      <w:r>
        <w:rPr>
          <w:rFonts w:cs="Arial"/>
          <w:lang w:val="en-US"/>
        </w:rPr>
        <w:t>(in percentage)</w:t>
      </w:r>
      <w:r w:rsidRPr="00BC6EE4">
        <w:rPr>
          <w:rFonts w:cs="Arial"/>
          <w:lang w:val="en-US"/>
        </w:rPr>
        <w:t xml:space="preserve"> of the Annual Forecast Quantity subject to EUA </w:t>
      </w:r>
      <w:r>
        <w:rPr>
          <w:rFonts w:cs="Arial"/>
          <w:lang w:val="en-US"/>
        </w:rPr>
        <w:t>in a given year</w:t>
      </w:r>
      <w:r w:rsidRPr="00BC6EE4">
        <w:rPr>
          <w:rFonts w:cs="Arial"/>
          <w:lang w:val="en-US"/>
        </w:rPr>
        <w:t xml:space="preserve"> included in the forecast as set out in R-6, Appendix 3, Requirements specification. </w:t>
      </w:r>
    </w:p>
    <w:p w14:paraId="10532DF7" w14:textId="77777777" w:rsidR="00E71FF2" w:rsidRPr="00BC6EE4" w:rsidRDefault="00E71FF2" w:rsidP="00E71FF2">
      <w:pPr>
        <w:pStyle w:val="ListParagraph"/>
        <w:rPr>
          <w:rFonts w:cs="Arial"/>
          <w:lang w:val="en-US"/>
        </w:rPr>
      </w:pPr>
    </w:p>
    <w:p w14:paraId="621722B6" w14:textId="77777777" w:rsidR="00E71FF2" w:rsidRPr="00BC6EE4" w:rsidRDefault="00E71FF2" w:rsidP="00BD2A74">
      <w:pPr>
        <w:pStyle w:val="ListParagraph"/>
        <w:numPr>
          <w:ilvl w:val="0"/>
          <w:numId w:val="25"/>
        </w:numPr>
        <w:spacing w:line="312" w:lineRule="auto"/>
        <w:jc w:val="both"/>
        <w:rPr>
          <w:rFonts w:cs="Arial"/>
          <w:lang w:val="en-US"/>
        </w:rPr>
      </w:pPr>
      <w:r w:rsidRPr="00BC6EE4">
        <w:rPr>
          <w:rFonts w:cs="Arial"/>
          <w:u w:val="single"/>
          <w:lang w:val="en-US"/>
        </w:rPr>
        <w:t>Forecast Fossil Tax Fraction</w:t>
      </w:r>
      <w:r w:rsidRPr="00BC6EE4">
        <w:rPr>
          <w:rFonts w:cs="Arial"/>
          <w:lang w:val="en-US"/>
        </w:rPr>
        <w:t xml:space="preserve"> means </w:t>
      </w:r>
      <w:bookmarkStart w:id="29" w:name="_Hlk169529250"/>
      <w:r w:rsidRPr="00BC6EE4">
        <w:rPr>
          <w:rFonts w:cs="Arial"/>
          <w:lang w:val="en-US"/>
        </w:rPr>
        <w:t xml:space="preserve">the </w:t>
      </w:r>
      <w:r>
        <w:rPr>
          <w:rFonts w:cs="Arial"/>
          <w:lang w:val="en-US"/>
        </w:rPr>
        <w:t>fossil fraction</w:t>
      </w:r>
      <w:r w:rsidRPr="00BC6EE4">
        <w:rPr>
          <w:rFonts w:cs="Arial"/>
          <w:lang w:val="en-US"/>
        </w:rPr>
        <w:t xml:space="preserve"> </w:t>
      </w:r>
      <w:r>
        <w:rPr>
          <w:rFonts w:cs="Arial"/>
          <w:lang w:val="en-US"/>
        </w:rPr>
        <w:t>(in percentage)</w:t>
      </w:r>
      <w:r w:rsidRPr="00BC6EE4">
        <w:rPr>
          <w:rFonts w:cs="Arial"/>
          <w:lang w:val="en-US"/>
        </w:rPr>
        <w:t xml:space="preserve"> of the Annual Forecast Quantity subject to CO</w:t>
      </w:r>
      <w:r w:rsidRPr="00811FF2">
        <w:rPr>
          <w:rFonts w:cs="Arial"/>
          <w:vertAlign w:val="subscript"/>
          <w:lang w:val="en-US"/>
        </w:rPr>
        <w:t>2</w:t>
      </w:r>
      <w:r w:rsidRPr="00BC6EE4">
        <w:rPr>
          <w:rFonts w:cs="Arial"/>
          <w:lang w:val="en-US"/>
        </w:rPr>
        <w:t xml:space="preserve"> related taxes </w:t>
      </w:r>
      <w:r>
        <w:rPr>
          <w:rFonts w:cs="Arial"/>
          <w:lang w:val="en-US"/>
        </w:rPr>
        <w:t>in a given</w:t>
      </w:r>
      <w:r w:rsidRPr="00BC6EE4">
        <w:rPr>
          <w:rFonts w:cs="Arial"/>
          <w:lang w:val="en-US"/>
        </w:rPr>
        <w:t xml:space="preserve"> year</w:t>
      </w:r>
      <w:bookmarkEnd w:id="29"/>
      <w:r w:rsidRPr="00BC6EE4">
        <w:rPr>
          <w:rFonts w:cs="Arial"/>
          <w:lang w:val="en-US"/>
        </w:rPr>
        <w:t xml:space="preserve"> included in the forecast as set out in R-6, Appendix 3, Requirements specification. </w:t>
      </w:r>
    </w:p>
    <w:p w14:paraId="2C9B92FC" w14:textId="77777777" w:rsidR="00E71FF2" w:rsidRPr="00BC6EE4" w:rsidRDefault="00E71FF2" w:rsidP="00E71FF2">
      <w:pPr>
        <w:pStyle w:val="ListParagraph"/>
        <w:rPr>
          <w:rFonts w:cs="Arial"/>
          <w:lang w:val="en-US"/>
        </w:rPr>
      </w:pPr>
    </w:p>
    <w:p w14:paraId="6762927B" w14:textId="77777777" w:rsidR="00E71FF2" w:rsidRDefault="00E71FF2" w:rsidP="00BD2A74">
      <w:pPr>
        <w:pStyle w:val="ListParagraph"/>
        <w:numPr>
          <w:ilvl w:val="0"/>
          <w:numId w:val="25"/>
        </w:numPr>
        <w:spacing w:line="312" w:lineRule="auto"/>
        <w:jc w:val="both"/>
        <w:rPr>
          <w:rFonts w:cs="Arial"/>
          <w:lang w:val="en-US"/>
        </w:rPr>
      </w:pPr>
      <w:r w:rsidRPr="00BC6EE4">
        <w:rPr>
          <w:rFonts w:cs="Arial"/>
          <w:u w:val="single"/>
          <w:lang w:val="en-US"/>
        </w:rPr>
        <w:t>Storage and its verb form Store (including any related verb conjugations)</w:t>
      </w:r>
      <w:r w:rsidRPr="00BC6EE4">
        <w:rPr>
          <w:rFonts w:cs="Arial"/>
          <w:lang w:val="en-US"/>
        </w:rPr>
        <w:t xml:space="preserve"> means either a physical CO</w:t>
      </w:r>
      <w:r w:rsidRPr="00811FF2">
        <w:rPr>
          <w:rFonts w:cs="Arial"/>
          <w:vertAlign w:val="subscript"/>
          <w:lang w:val="en-US"/>
        </w:rPr>
        <w:t>2</w:t>
      </w:r>
      <w:r w:rsidRPr="00BC6EE4">
        <w:rPr>
          <w:rFonts w:cs="Arial"/>
          <w:lang w:val="en-US"/>
        </w:rPr>
        <w:t xml:space="preserve"> storage site where the CO</w:t>
      </w:r>
      <w:r w:rsidRPr="00811FF2">
        <w:rPr>
          <w:rFonts w:cs="Arial"/>
          <w:vertAlign w:val="subscript"/>
          <w:lang w:val="en-US"/>
        </w:rPr>
        <w:t>2</w:t>
      </w:r>
      <w:r w:rsidRPr="00BC6EE4">
        <w:rPr>
          <w:rFonts w:cs="Arial"/>
          <w:lang w:val="en-US"/>
        </w:rPr>
        <w:t xml:space="preserve"> is permanently, geologically stored or the act of permanently, geologically storing CO</w:t>
      </w:r>
      <w:r w:rsidRPr="00811FF2">
        <w:rPr>
          <w:rFonts w:cs="Arial"/>
          <w:vertAlign w:val="subscript"/>
          <w:lang w:val="en-US"/>
        </w:rPr>
        <w:t>2</w:t>
      </w:r>
      <w:r w:rsidRPr="00BC6EE4">
        <w:rPr>
          <w:rFonts w:cs="Arial"/>
          <w:lang w:val="en-US"/>
        </w:rPr>
        <w:t>.</w:t>
      </w:r>
    </w:p>
    <w:p w14:paraId="4B9A56B8" w14:textId="77777777" w:rsidR="00E71FF2" w:rsidRPr="00BC6EE4" w:rsidRDefault="00E71FF2" w:rsidP="00E71FF2">
      <w:pPr>
        <w:pStyle w:val="ListParagraph"/>
        <w:rPr>
          <w:rFonts w:cs="Arial"/>
          <w:lang w:val="en-US"/>
        </w:rPr>
      </w:pPr>
    </w:p>
    <w:p w14:paraId="7AFDA91B" w14:textId="130105C5" w:rsidR="00E71FF2" w:rsidRDefault="00E71FF2" w:rsidP="00BD2A74">
      <w:pPr>
        <w:pStyle w:val="ListParagraph"/>
        <w:numPr>
          <w:ilvl w:val="0"/>
          <w:numId w:val="25"/>
        </w:numPr>
        <w:spacing w:line="312" w:lineRule="auto"/>
        <w:jc w:val="both"/>
        <w:rPr>
          <w:rFonts w:cs="Arial"/>
          <w:lang w:val="en-US"/>
        </w:rPr>
      </w:pPr>
      <w:r w:rsidRPr="00BC6EE4">
        <w:rPr>
          <w:rFonts w:cs="Arial"/>
          <w:u w:val="single"/>
          <w:lang w:val="en-US"/>
        </w:rPr>
        <w:t>Subsidy Rate</w:t>
      </w:r>
      <w:r>
        <w:rPr>
          <w:rFonts w:cs="Arial"/>
          <w:lang w:val="en-US"/>
        </w:rPr>
        <w:t xml:space="preserve"> means an amount per </w:t>
      </w:r>
      <w:proofErr w:type="spellStart"/>
      <w:r>
        <w:rPr>
          <w:rFonts w:cs="Arial"/>
          <w:lang w:val="en-US"/>
        </w:rPr>
        <w:t>tonne</w:t>
      </w:r>
      <w:proofErr w:type="spellEnd"/>
      <w:r>
        <w:rPr>
          <w:rFonts w:cs="Arial"/>
          <w:lang w:val="en-US"/>
        </w:rPr>
        <w:t xml:space="preserve"> calculated for each invoicing period in accordance with Appendix 5, Subsidy and Economy scheme.</w:t>
      </w:r>
    </w:p>
    <w:p w14:paraId="704D6FF6" w14:textId="77777777" w:rsidR="00E71FF2" w:rsidRPr="00BC6EE4" w:rsidRDefault="00E71FF2" w:rsidP="00E71FF2">
      <w:pPr>
        <w:pStyle w:val="ListParagraph"/>
        <w:rPr>
          <w:rFonts w:cs="Arial"/>
          <w:lang w:val="en-US"/>
        </w:rPr>
      </w:pPr>
    </w:p>
    <w:p w14:paraId="65CD13A5" w14:textId="77777777" w:rsidR="00E71FF2" w:rsidRPr="00E54321" w:rsidRDefault="00E71FF2" w:rsidP="00BD2A74">
      <w:pPr>
        <w:pStyle w:val="ListParagraph"/>
        <w:numPr>
          <w:ilvl w:val="0"/>
          <w:numId w:val="25"/>
        </w:numPr>
        <w:spacing w:line="312" w:lineRule="auto"/>
        <w:jc w:val="both"/>
        <w:rPr>
          <w:rFonts w:cs="Arial"/>
          <w:lang w:val="en-US"/>
        </w:rPr>
      </w:pPr>
      <w:r w:rsidRPr="00BC6EE4">
        <w:rPr>
          <w:rFonts w:cs="Arial"/>
          <w:u w:val="single"/>
          <w:lang w:val="en-US"/>
        </w:rPr>
        <w:t>2029-Quantity</w:t>
      </w:r>
      <w:r w:rsidRPr="00E54321">
        <w:rPr>
          <w:rFonts w:cs="Arial"/>
          <w:lang w:val="en-US"/>
        </w:rPr>
        <w:t xml:space="preserve"> means the quantity of CO</w:t>
      </w:r>
      <w:r w:rsidRPr="00811FF2">
        <w:rPr>
          <w:rFonts w:cs="Arial"/>
          <w:vertAlign w:val="subscript"/>
          <w:lang w:val="en-US"/>
        </w:rPr>
        <w:t>2</w:t>
      </w:r>
      <w:r w:rsidRPr="00E54321">
        <w:rPr>
          <w:rFonts w:cs="Arial"/>
          <w:lang w:val="en-US"/>
        </w:rPr>
        <w:t xml:space="preserve"> specified in Appendix 6, Offered Rate and Contracted Quantity, that the Operator is obliged to capture and </w:t>
      </w:r>
      <w:r>
        <w:rPr>
          <w:rFonts w:cs="Arial"/>
          <w:lang w:val="en-US"/>
        </w:rPr>
        <w:t>S</w:t>
      </w:r>
      <w:r w:rsidRPr="00E54321">
        <w:rPr>
          <w:rFonts w:cs="Arial"/>
          <w:lang w:val="en-US"/>
        </w:rPr>
        <w:t>tore, in 2029, i.e. the period from start of operating until (and including) 31 December 2029 in accordance with the Contract.</w:t>
      </w:r>
      <w:r>
        <w:rPr>
          <w:rFonts w:cs="Arial"/>
          <w:lang w:val="en-US"/>
        </w:rPr>
        <w:t xml:space="preserve"> </w:t>
      </w:r>
      <w:r>
        <w:rPr>
          <w:rFonts w:cs="Arial"/>
          <w:i/>
          <w:iCs/>
          <w:lang w:val="en-US"/>
        </w:rPr>
        <w:t xml:space="preserve">The Operator is not obliged to specify any 2029-Quanitty. </w:t>
      </w:r>
    </w:p>
    <w:p w14:paraId="077794B6" w14:textId="77777777" w:rsidR="00E71FF2" w:rsidRPr="00BC6EE4" w:rsidRDefault="00E71FF2" w:rsidP="00E71FF2">
      <w:pPr>
        <w:rPr>
          <w:rFonts w:cs="Arial"/>
          <w:lang w:val="en-US"/>
        </w:rPr>
      </w:pPr>
    </w:p>
    <w:p w14:paraId="1190AF96" w14:textId="77777777" w:rsidR="00E71FF2" w:rsidRPr="007357D5" w:rsidRDefault="00E71FF2" w:rsidP="00E71FF2">
      <w:pPr>
        <w:pStyle w:val="ListParagraph"/>
        <w:rPr>
          <w:u w:val="single"/>
          <w:lang w:val="en-US"/>
        </w:rPr>
      </w:pPr>
    </w:p>
    <w:p w14:paraId="76ACBA12" w14:textId="77777777" w:rsidR="00E71FF2" w:rsidRPr="001B72D6" w:rsidRDefault="00E71FF2" w:rsidP="00E71FF2">
      <w:pPr>
        <w:rPr>
          <w:rFonts w:cs="Arial"/>
          <w:lang w:val="en-US"/>
        </w:rPr>
      </w:pPr>
    </w:p>
    <w:p w14:paraId="334D70D5" w14:textId="77777777" w:rsidR="00AA0BDC" w:rsidRPr="00E5470A" w:rsidRDefault="00AA0BDC" w:rsidP="00DF0312">
      <w:pPr>
        <w:rPr>
          <w:lang w:val="en-US"/>
        </w:rPr>
      </w:pPr>
    </w:p>
    <w:sectPr w:rsidR="00AA0BDC" w:rsidRPr="00E5470A" w:rsidSect="000A08E2">
      <w:headerReference w:type="default" r:id="rId12"/>
      <w:footerReference w:type="default" r:id="rId13"/>
      <w:headerReference w:type="first" r:id="rId14"/>
      <w:footerReference w:type="first" r:id="rId15"/>
      <w:pgSz w:w="11906" w:h="16838" w:code="9"/>
      <w:pgMar w:top="2767" w:right="3260"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CD1E8" w14:textId="77777777" w:rsidR="003F6EC1" w:rsidRDefault="003F6EC1" w:rsidP="008969C1">
      <w:pPr>
        <w:spacing w:line="240" w:lineRule="auto"/>
      </w:pPr>
      <w:r>
        <w:separator/>
      </w:r>
    </w:p>
  </w:endnote>
  <w:endnote w:type="continuationSeparator" w:id="0">
    <w:p w14:paraId="22C169FB" w14:textId="77777777" w:rsidR="003F6EC1" w:rsidRDefault="003F6EC1" w:rsidP="008969C1">
      <w:pPr>
        <w:spacing w:line="240" w:lineRule="auto"/>
      </w:pPr>
      <w:r>
        <w:continuationSeparator/>
      </w:r>
    </w:p>
  </w:endnote>
  <w:endnote w:type="continuationNotice" w:id="1">
    <w:p w14:paraId="63599BC6" w14:textId="77777777" w:rsidR="003F6EC1" w:rsidRDefault="003F6E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BEFD7" w14:textId="07CA8F37" w:rsidR="007A6E2E" w:rsidRPr="00835DC0" w:rsidRDefault="007A6E2E">
    <w:pPr>
      <w:pStyle w:val="Footer"/>
      <w:rPr>
        <w:sz w:val="16"/>
        <w:szCs w:val="16"/>
      </w:rPr>
    </w:pP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916B8C">
      <w:rPr>
        <w:noProof/>
        <w:sz w:val="16"/>
        <w:szCs w:val="16"/>
      </w:rPr>
      <w:t>5</w:t>
    </w:r>
    <w:r w:rsidRPr="00835DC0">
      <w:rPr>
        <w:sz w:val="16"/>
        <w:szCs w:val="16"/>
      </w:rPr>
      <w:fldChar w:fldCharType="end"/>
    </w:r>
    <w:r w:rsidRPr="00835DC0">
      <w:rPr>
        <w:sz w:val="16"/>
        <w:szCs w:val="16"/>
      </w:rPr>
      <w:t>/</w:t>
    </w:r>
    <w:r w:rsidRPr="00835DC0">
      <w:rPr>
        <w:sz w:val="16"/>
        <w:szCs w:val="16"/>
      </w:rPr>
      <w:fldChar w:fldCharType="begin"/>
    </w:r>
    <w:r w:rsidRPr="00835DC0">
      <w:rPr>
        <w:sz w:val="16"/>
        <w:szCs w:val="16"/>
      </w:rPr>
      <w:instrText xml:space="preserve"> NUMPAGES </w:instrText>
    </w:r>
    <w:r w:rsidRPr="00835DC0">
      <w:rPr>
        <w:sz w:val="16"/>
        <w:szCs w:val="16"/>
      </w:rPr>
      <w:fldChar w:fldCharType="separate"/>
    </w:r>
    <w:r w:rsidR="00916B8C">
      <w:rPr>
        <w:noProof/>
        <w:sz w:val="16"/>
        <w:szCs w:val="16"/>
      </w:rPr>
      <w:t>15</w:t>
    </w:r>
    <w:r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EED9" w14:textId="44EF44EE" w:rsidR="007A6E2E" w:rsidRPr="00835DC0" w:rsidRDefault="007A6E2E">
    <w:pPr>
      <w:pStyle w:val="Footer"/>
      <w:rPr>
        <w:sz w:val="16"/>
        <w:szCs w:val="16"/>
      </w:rPr>
    </w:pPr>
    <w:r w:rsidRPr="00835DC0">
      <w:rPr>
        <w:noProof/>
        <w:sz w:val="16"/>
        <w:szCs w:val="16"/>
        <w:lang w:eastAsia="da-DK"/>
      </w:rPr>
      <mc:AlternateContent>
        <mc:Choice Requires="wps">
          <w:drawing>
            <wp:anchor distT="0" distB="0" distL="114300" distR="114300" simplePos="0" relativeHeight="251658240" behindDoc="0" locked="0" layoutInCell="1" allowOverlap="1" wp14:anchorId="412C2FC0" wp14:editId="5730B5F6">
              <wp:simplePos x="0" y="0"/>
              <wp:positionH relativeFrom="page">
                <wp:posOffset>5614988</wp:posOffset>
              </wp:positionH>
              <wp:positionV relativeFrom="page">
                <wp:posOffset>8943975</wp:posOffset>
              </wp:positionV>
              <wp:extent cx="17475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17475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2226B" w14:textId="77777777" w:rsidR="007A6E2E" w:rsidRDefault="007A6E2E" w:rsidP="003B7D18">
                          <w:pPr>
                            <w:spacing w:line="192" w:lineRule="atLeast"/>
                            <w:rPr>
                              <w:b/>
                              <w:sz w:val="16"/>
                              <w:szCs w:val="16"/>
                            </w:rPr>
                          </w:pPr>
                          <w:r w:rsidRPr="00110084">
                            <w:rPr>
                              <w:b/>
                              <w:sz w:val="16"/>
                              <w:szCs w:val="16"/>
                            </w:rPr>
                            <w:t>Energistyrelsen</w:t>
                          </w:r>
                        </w:p>
                        <w:p w14:paraId="148F0857" w14:textId="77777777" w:rsidR="007A6E2E" w:rsidRPr="00AB4885" w:rsidRDefault="007A6E2E" w:rsidP="00F714AB">
                          <w:pPr>
                            <w:spacing w:line="192" w:lineRule="atLeast"/>
                            <w:rPr>
                              <w:sz w:val="16"/>
                              <w:szCs w:val="16"/>
                            </w:rPr>
                          </w:pPr>
                        </w:p>
                        <w:p w14:paraId="4E3F9E30" w14:textId="77777777" w:rsidR="007A6E2E" w:rsidRDefault="007A6E2E" w:rsidP="00F714AB">
                          <w:pPr>
                            <w:spacing w:line="192" w:lineRule="atLeast"/>
                            <w:rPr>
                              <w:sz w:val="16"/>
                              <w:szCs w:val="16"/>
                            </w:rPr>
                          </w:pPr>
                          <w:r>
                            <w:rPr>
                              <w:sz w:val="16"/>
                              <w:szCs w:val="16"/>
                            </w:rPr>
                            <w:t>Carsten Niebuhrs Gade 43</w:t>
                          </w:r>
                        </w:p>
                        <w:p w14:paraId="79A47432" w14:textId="77777777" w:rsidR="007A6E2E" w:rsidRDefault="007A6E2E" w:rsidP="00F714AB">
                          <w:pPr>
                            <w:spacing w:line="192" w:lineRule="atLeast"/>
                            <w:rPr>
                              <w:sz w:val="16"/>
                              <w:szCs w:val="16"/>
                            </w:rPr>
                          </w:pPr>
                          <w:r>
                            <w:rPr>
                              <w:sz w:val="16"/>
                              <w:szCs w:val="16"/>
                            </w:rPr>
                            <w:t>1577 København V</w:t>
                          </w:r>
                        </w:p>
                        <w:p w14:paraId="350A9D6C" w14:textId="77777777" w:rsidR="007A6E2E" w:rsidRPr="00F714AB" w:rsidRDefault="007A6E2E" w:rsidP="00F714AB">
                          <w:pPr>
                            <w:spacing w:line="192" w:lineRule="atLeast"/>
                            <w:rPr>
                              <w:sz w:val="16"/>
                              <w:szCs w:val="16"/>
                            </w:rPr>
                          </w:pPr>
                        </w:p>
                        <w:p w14:paraId="73460A6E" w14:textId="77777777" w:rsidR="007A6E2E" w:rsidRPr="00110084" w:rsidRDefault="007A6E2E" w:rsidP="00110084">
                          <w:pPr>
                            <w:spacing w:line="192" w:lineRule="atLeast"/>
                            <w:rPr>
                              <w:sz w:val="16"/>
                              <w:szCs w:val="16"/>
                            </w:rPr>
                          </w:pPr>
                          <w:r w:rsidRPr="00110084">
                            <w:rPr>
                              <w:sz w:val="16"/>
                              <w:szCs w:val="16"/>
                            </w:rPr>
                            <w:t>T: +45 3392 6700</w:t>
                          </w:r>
                        </w:p>
                        <w:p w14:paraId="610B01C4" w14:textId="77777777" w:rsidR="007A6E2E" w:rsidRDefault="007A6E2E" w:rsidP="00110084">
                          <w:pPr>
                            <w:spacing w:line="192" w:lineRule="atLeast"/>
                            <w:rPr>
                              <w:sz w:val="16"/>
                              <w:szCs w:val="16"/>
                            </w:rPr>
                          </w:pPr>
                          <w:r w:rsidRPr="00110084">
                            <w:rPr>
                              <w:sz w:val="16"/>
                              <w:szCs w:val="16"/>
                            </w:rPr>
                            <w:t>E: ens@ens.dk</w:t>
                          </w:r>
                        </w:p>
                        <w:p w14:paraId="7E4F93F1" w14:textId="77777777" w:rsidR="007A6E2E" w:rsidRPr="00F714AB" w:rsidRDefault="007A6E2E" w:rsidP="00F714AB">
                          <w:pPr>
                            <w:spacing w:line="192" w:lineRule="atLeast"/>
                            <w:rPr>
                              <w:sz w:val="16"/>
                              <w:szCs w:val="16"/>
                            </w:rPr>
                          </w:pPr>
                        </w:p>
                        <w:p w14:paraId="4DEB794A" w14:textId="77777777" w:rsidR="007A6E2E" w:rsidRPr="00F714AB" w:rsidRDefault="007A6E2E" w:rsidP="00F714AB">
                          <w:pPr>
                            <w:spacing w:line="192" w:lineRule="atLeast"/>
                            <w:rPr>
                              <w:sz w:val="16"/>
                              <w:szCs w:val="16"/>
                            </w:rPr>
                          </w:pPr>
                          <w:r>
                            <w:rPr>
                              <w:sz w:val="16"/>
                              <w:szCs w:val="16"/>
                            </w:rPr>
                            <w:t>www.ens</w:t>
                          </w:r>
                          <w:r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C2FC0" id="_x0000_t202" coordsize="21600,21600" o:spt="202" path="m,l,21600r21600,l21600,xe">
              <v:stroke joinstyle="miter"/>
              <v:path gradientshapeok="t" o:connecttype="rect"/>
            </v:shapetype>
            <v:shape id="Tekstboks 2" o:spid="_x0000_s1026" type="#_x0000_t202" style="position:absolute;margin-left:442.15pt;margin-top:704.25pt;width:137.6pt;height:11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" filled="f" stroked="f" strokeweight=".5pt">
              <v:textbox>
                <w:txbxContent>
                  <w:p w14:paraId="0C22226B" w14:textId="77777777" w:rsidR="007A6E2E" w:rsidRDefault="007A6E2E" w:rsidP="003B7D18">
                    <w:pPr>
                      <w:spacing w:line="192" w:lineRule="atLeast"/>
                      <w:rPr>
                        <w:b/>
                        <w:sz w:val="16"/>
                        <w:szCs w:val="16"/>
                      </w:rPr>
                    </w:pPr>
                    <w:r w:rsidRPr="00110084">
                      <w:rPr>
                        <w:b/>
                        <w:sz w:val="16"/>
                        <w:szCs w:val="16"/>
                      </w:rPr>
                      <w:t>Energistyrelsen</w:t>
                    </w:r>
                  </w:p>
                  <w:p w14:paraId="148F0857" w14:textId="77777777" w:rsidR="007A6E2E" w:rsidRPr="00AB4885" w:rsidRDefault="007A6E2E" w:rsidP="00F714AB">
                    <w:pPr>
                      <w:spacing w:line="192" w:lineRule="atLeast"/>
                      <w:rPr>
                        <w:sz w:val="16"/>
                        <w:szCs w:val="16"/>
                      </w:rPr>
                    </w:pPr>
                  </w:p>
                  <w:p w14:paraId="4E3F9E30" w14:textId="77777777" w:rsidR="007A6E2E" w:rsidRDefault="007A6E2E" w:rsidP="00F714AB">
                    <w:pPr>
                      <w:spacing w:line="192" w:lineRule="atLeast"/>
                      <w:rPr>
                        <w:sz w:val="16"/>
                        <w:szCs w:val="16"/>
                      </w:rPr>
                    </w:pPr>
                    <w:r>
                      <w:rPr>
                        <w:sz w:val="16"/>
                        <w:szCs w:val="16"/>
                      </w:rPr>
                      <w:t>Carsten Niebuhrs Gade 43</w:t>
                    </w:r>
                  </w:p>
                  <w:p w14:paraId="79A47432" w14:textId="77777777" w:rsidR="007A6E2E" w:rsidRDefault="007A6E2E" w:rsidP="00F714AB">
                    <w:pPr>
                      <w:spacing w:line="192" w:lineRule="atLeast"/>
                      <w:rPr>
                        <w:sz w:val="16"/>
                        <w:szCs w:val="16"/>
                      </w:rPr>
                    </w:pPr>
                    <w:r>
                      <w:rPr>
                        <w:sz w:val="16"/>
                        <w:szCs w:val="16"/>
                      </w:rPr>
                      <w:t>1577 København V</w:t>
                    </w:r>
                  </w:p>
                  <w:p w14:paraId="350A9D6C" w14:textId="77777777" w:rsidR="007A6E2E" w:rsidRPr="00F714AB" w:rsidRDefault="007A6E2E" w:rsidP="00F714AB">
                    <w:pPr>
                      <w:spacing w:line="192" w:lineRule="atLeast"/>
                      <w:rPr>
                        <w:sz w:val="16"/>
                        <w:szCs w:val="16"/>
                      </w:rPr>
                    </w:pPr>
                  </w:p>
                  <w:p w14:paraId="73460A6E" w14:textId="77777777" w:rsidR="007A6E2E" w:rsidRPr="00110084" w:rsidRDefault="007A6E2E" w:rsidP="00110084">
                    <w:pPr>
                      <w:spacing w:line="192" w:lineRule="atLeast"/>
                      <w:rPr>
                        <w:sz w:val="16"/>
                        <w:szCs w:val="16"/>
                      </w:rPr>
                    </w:pPr>
                    <w:r w:rsidRPr="00110084">
                      <w:rPr>
                        <w:sz w:val="16"/>
                        <w:szCs w:val="16"/>
                      </w:rPr>
                      <w:t>T: +45 3392 6700</w:t>
                    </w:r>
                  </w:p>
                  <w:p w14:paraId="610B01C4" w14:textId="77777777" w:rsidR="007A6E2E" w:rsidRDefault="007A6E2E" w:rsidP="00110084">
                    <w:pPr>
                      <w:spacing w:line="192" w:lineRule="atLeast"/>
                      <w:rPr>
                        <w:sz w:val="16"/>
                        <w:szCs w:val="16"/>
                      </w:rPr>
                    </w:pPr>
                    <w:r w:rsidRPr="00110084">
                      <w:rPr>
                        <w:sz w:val="16"/>
                        <w:szCs w:val="16"/>
                      </w:rPr>
                      <w:t>E: ens@ens.dk</w:t>
                    </w:r>
                  </w:p>
                  <w:p w14:paraId="7E4F93F1" w14:textId="77777777" w:rsidR="007A6E2E" w:rsidRPr="00F714AB" w:rsidRDefault="007A6E2E" w:rsidP="00F714AB">
                    <w:pPr>
                      <w:spacing w:line="192" w:lineRule="atLeast"/>
                      <w:rPr>
                        <w:sz w:val="16"/>
                        <w:szCs w:val="16"/>
                      </w:rPr>
                    </w:pPr>
                  </w:p>
                  <w:p w14:paraId="4DEB794A" w14:textId="77777777" w:rsidR="007A6E2E" w:rsidRPr="00F714AB" w:rsidRDefault="007A6E2E" w:rsidP="00F714AB">
                    <w:pPr>
                      <w:spacing w:line="192" w:lineRule="atLeast"/>
                      <w:rPr>
                        <w:sz w:val="16"/>
                        <w:szCs w:val="16"/>
                      </w:rPr>
                    </w:pPr>
                    <w:r>
                      <w:rPr>
                        <w:sz w:val="16"/>
                        <w:szCs w:val="16"/>
                      </w:rPr>
                      <w:t>www.ens</w:t>
                    </w:r>
                    <w:r w:rsidRPr="00F714AB">
                      <w:rPr>
                        <w:sz w:val="16"/>
                        <w:szCs w:val="16"/>
                      </w:rPr>
                      <w:t>.dk</w:t>
                    </w:r>
                  </w:p>
                </w:txbxContent>
              </v:textbox>
              <w10:wrap anchorx="page" anchory="page"/>
            </v:shape>
          </w:pict>
        </mc:Fallback>
      </mc:AlternateContent>
    </w: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916B8C">
      <w:rPr>
        <w:noProof/>
        <w:sz w:val="16"/>
        <w:szCs w:val="16"/>
      </w:rPr>
      <w:t>1</w:t>
    </w:r>
    <w:r w:rsidRPr="00835DC0">
      <w:rPr>
        <w:sz w:val="16"/>
        <w:szCs w:val="16"/>
      </w:rPr>
      <w:fldChar w:fldCharType="end"/>
    </w:r>
    <w:r w:rsidRPr="00835DC0">
      <w:rPr>
        <w:sz w:val="16"/>
        <w:szCs w:val="16"/>
      </w:rPr>
      <w:t>/</w:t>
    </w:r>
    <w:r w:rsidRPr="00835DC0">
      <w:rPr>
        <w:sz w:val="16"/>
        <w:szCs w:val="16"/>
      </w:rPr>
      <w:fldChar w:fldCharType="begin"/>
    </w:r>
    <w:r w:rsidRPr="00835DC0">
      <w:rPr>
        <w:sz w:val="16"/>
        <w:szCs w:val="16"/>
      </w:rPr>
      <w:instrText xml:space="preserve"> NUMPAGES </w:instrText>
    </w:r>
    <w:r w:rsidRPr="00835DC0">
      <w:rPr>
        <w:sz w:val="16"/>
        <w:szCs w:val="16"/>
      </w:rPr>
      <w:fldChar w:fldCharType="separate"/>
    </w:r>
    <w:r w:rsidR="00916B8C">
      <w:rPr>
        <w:noProof/>
        <w:sz w:val="16"/>
        <w:szCs w:val="16"/>
      </w:rPr>
      <w:t>15</w:t>
    </w:r>
    <w:r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5F3A6" w14:textId="77777777" w:rsidR="003F6EC1" w:rsidRDefault="003F6EC1" w:rsidP="008969C1">
      <w:pPr>
        <w:spacing w:line="240" w:lineRule="auto"/>
      </w:pPr>
      <w:r>
        <w:separator/>
      </w:r>
    </w:p>
  </w:footnote>
  <w:footnote w:type="continuationSeparator" w:id="0">
    <w:p w14:paraId="6064F304" w14:textId="77777777" w:rsidR="003F6EC1" w:rsidRDefault="003F6EC1" w:rsidP="008969C1">
      <w:pPr>
        <w:spacing w:line="240" w:lineRule="auto"/>
      </w:pPr>
      <w:r>
        <w:continuationSeparator/>
      </w:r>
    </w:p>
  </w:footnote>
  <w:footnote w:type="continuationNotice" w:id="1">
    <w:p w14:paraId="73320FD8" w14:textId="77777777" w:rsidR="003F6EC1" w:rsidRDefault="003F6EC1">
      <w:pPr>
        <w:spacing w:line="240" w:lineRule="auto"/>
      </w:pPr>
    </w:p>
  </w:footnote>
  <w:footnote w:id="2">
    <w:p w14:paraId="5B6B47AA" w14:textId="77777777" w:rsidR="007A6E2E" w:rsidRPr="00E71FF2" w:rsidRDefault="007A6E2E" w:rsidP="00E71FF2">
      <w:pPr>
        <w:pStyle w:val="FootnoteText"/>
        <w:rPr>
          <w:rFonts w:cs="Arial"/>
          <w:sz w:val="18"/>
        </w:rPr>
      </w:pPr>
      <w:r w:rsidRPr="00E71FF2">
        <w:rPr>
          <w:rStyle w:val="FootnoteReference"/>
          <w:rFonts w:cs="Arial"/>
          <w:sz w:val="18"/>
        </w:rPr>
        <w:footnoteRef/>
      </w:r>
      <w:r w:rsidRPr="00E71FF2">
        <w:rPr>
          <w:rFonts w:cs="Arial"/>
          <w:sz w:val="18"/>
        </w:rPr>
        <w:t xml:space="preserve"> https://oes.dk/statsregnskab/finanslov-og-udgiftsopfoelgning/indeks/pris-og-loenforudsaetninger</w:t>
      </w:r>
    </w:p>
  </w:footnote>
  <w:footnote w:id="3">
    <w:p w14:paraId="3DA919CD" w14:textId="77777777" w:rsidR="007A6E2E" w:rsidRPr="001742ED" w:rsidRDefault="007A6E2E" w:rsidP="00E71FF2">
      <w:pPr>
        <w:pStyle w:val="FootnoteText"/>
        <w:rPr>
          <w:rFonts w:cs="Arial"/>
          <w:lang w:val="en-US"/>
        </w:rPr>
      </w:pPr>
      <w:r w:rsidRPr="00E71FF2">
        <w:rPr>
          <w:rStyle w:val="FootnoteReference"/>
          <w:rFonts w:cs="Arial"/>
          <w:sz w:val="18"/>
        </w:rPr>
        <w:footnoteRef/>
      </w:r>
      <w:r w:rsidRPr="00E71FF2">
        <w:rPr>
          <w:rFonts w:cs="Arial"/>
          <w:sz w:val="18"/>
          <w:lang w:val="en-US"/>
        </w:rPr>
        <w:t xml:space="preserve"> The key figures catalogue is regularly updated by the Ministry of Finance. The key figures catalogue was last updated in February 2024 and this version can be found in Danish on </w:t>
      </w:r>
      <w:hyperlink r:id="rId1" w:history="1">
        <w:r w:rsidRPr="00E71FF2">
          <w:rPr>
            <w:rStyle w:val="Hyperlink"/>
            <w:rFonts w:cs="Arial"/>
            <w:sz w:val="18"/>
            <w:lang w:val="en-US"/>
          </w:rPr>
          <w:t>https://fm.dk/media/27419/noegletalskatalog_februar-2024.pdf</w:t>
        </w:r>
      </w:hyperlink>
      <w:r w:rsidRPr="00E71FF2">
        <w:rPr>
          <w:rFonts w:cs="Arial"/>
          <w:sz w:val="18"/>
          <w:lang w:val="en-US"/>
        </w:rPr>
        <w:t xml:space="preserve">. </w:t>
      </w:r>
    </w:p>
  </w:footnote>
  <w:footnote w:id="4">
    <w:p w14:paraId="1B4FAD89" w14:textId="77777777" w:rsidR="007A6E2E" w:rsidRPr="00D400D9" w:rsidRDefault="007A6E2E" w:rsidP="00E71FF2">
      <w:pPr>
        <w:rPr>
          <w:szCs w:val="20"/>
          <w:lang w:val="en-US"/>
        </w:rPr>
      </w:pPr>
      <w:r>
        <w:rPr>
          <w:rStyle w:val="FootnoteReference"/>
        </w:rPr>
        <w:footnoteRef/>
      </w:r>
      <w:r w:rsidRPr="00FA2009">
        <w:rPr>
          <w:lang w:val="en-US"/>
        </w:rPr>
        <w:t xml:space="preserve"> </w:t>
      </w:r>
      <w:r w:rsidRPr="00E71FF2">
        <w:rPr>
          <w:sz w:val="18"/>
          <w:lang w:val="en-US"/>
        </w:rPr>
        <w:t>P</w:t>
      </w:r>
      <w:r w:rsidRPr="00D400D9">
        <w:rPr>
          <w:rFonts w:cs="Arial"/>
          <w:sz w:val="18"/>
          <w:szCs w:val="20"/>
          <w:lang w:val="en-US"/>
        </w:rPr>
        <w:t>ublished until the DEA’s calculation of the Subsidy Rate, see paragraph 1.9.</w:t>
      </w:r>
      <w:r w:rsidRPr="00D400D9">
        <w:rPr>
          <w:szCs w:val="20"/>
          <w:lang w:val="en-US"/>
        </w:rPr>
        <w:t xml:space="preserve"> </w:t>
      </w:r>
    </w:p>
    <w:p w14:paraId="5AC10F00" w14:textId="77777777" w:rsidR="007A6E2E" w:rsidRPr="00FA2009" w:rsidRDefault="007A6E2E" w:rsidP="00E71FF2">
      <w:pPr>
        <w:pStyle w:val="FootnoteText"/>
        <w:rPr>
          <w:lang w:val="en-US"/>
        </w:rPr>
      </w:pPr>
    </w:p>
  </w:footnote>
  <w:footnote w:id="5">
    <w:p w14:paraId="3B694F9D" w14:textId="77777777" w:rsidR="007A6E2E" w:rsidRPr="00E71FF2" w:rsidRDefault="007A6E2E" w:rsidP="00E71FF2">
      <w:pPr>
        <w:pStyle w:val="FootnoteText"/>
        <w:rPr>
          <w:rFonts w:cs="Arial"/>
          <w:sz w:val="18"/>
        </w:rPr>
      </w:pPr>
      <w:r w:rsidRPr="00E71FF2">
        <w:rPr>
          <w:rStyle w:val="FootnoteReference"/>
          <w:rFonts w:cs="Arial"/>
          <w:sz w:val="18"/>
        </w:rPr>
        <w:footnoteRef/>
      </w:r>
      <w:r w:rsidRPr="00E71FF2">
        <w:rPr>
          <w:rFonts w:cs="Arial"/>
          <w:sz w:val="18"/>
        </w:rPr>
        <w:t xml:space="preserve"> In Danish: </w:t>
      </w:r>
      <w:r w:rsidRPr="00E71FF2">
        <w:rPr>
          <w:rFonts w:cs="Arial"/>
          <w:i/>
          <w:iCs/>
          <w:sz w:val="18"/>
        </w:rPr>
        <w:t>Lov om afgift af CO2e-emissioner fra kvoteomfattede sektorer (emissionsafgiftsloven).</w:t>
      </w:r>
    </w:p>
  </w:footnote>
  <w:footnote w:id="6">
    <w:p w14:paraId="522000FE" w14:textId="77777777" w:rsidR="007A6E2E" w:rsidRPr="00E71FF2" w:rsidRDefault="007A6E2E" w:rsidP="00E71FF2">
      <w:pPr>
        <w:pStyle w:val="FootnoteText"/>
        <w:rPr>
          <w:rFonts w:cs="Arial"/>
          <w:sz w:val="18"/>
        </w:rPr>
      </w:pPr>
      <w:r w:rsidRPr="00E71FF2">
        <w:rPr>
          <w:rStyle w:val="FootnoteReference"/>
          <w:sz w:val="18"/>
        </w:rPr>
        <w:footnoteRef/>
      </w:r>
      <w:r w:rsidRPr="00E71FF2">
        <w:rPr>
          <w:sz w:val="18"/>
        </w:rPr>
        <w:t xml:space="preserve"> </w:t>
      </w:r>
      <w:r w:rsidRPr="00E71FF2">
        <w:rPr>
          <w:rFonts w:cs="Arial"/>
          <w:sz w:val="18"/>
        </w:rPr>
        <w:t xml:space="preserve">In Danish: </w:t>
      </w:r>
      <w:r w:rsidRPr="00E71FF2">
        <w:rPr>
          <w:rFonts w:cs="Arial"/>
          <w:i/>
          <w:iCs/>
          <w:sz w:val="18"/>
        </w:rPr>
        <w:t>Lov om kuldioxidafgift af visse energiprodukter, jf. lovbekendtgørelse nr. 1353 af 2. september 2020</w:t>
      </w:r>
    </w:p>
  </w:footnote>
  <w:footnote w:id="7">
    <w:p w14:paraId="30D2EAA3" w14:textId="77777777" w:rsidR="007A6E2E" w:rsidRPr="00B2794A" w:rsidRDefault="007A6E2E" w:rsidP="00E71FF2">
      <w:pPr>
        <w:pStyle w:val="FootnoteText"/>
        <w:rPr>
          <w:i/>
          <w:iCs/>
        </w:rPr>
      </w:pPr>
      <w:r w:rsidRPr="00E71FF2">
        <w:rPr>
          <w:rStyle w:val="FootnoteReference"/>
          <w:rFonts w:cs="Arial"/>
          <w:sz w:val="18"/>
        </w:rPr>
        <w:footnoteRef/>
      </w:r>
      <w:r w:rsidRPr="00E71FF2">
        <w:rPr>
          <w:rFonts w:cs="Arial"/>
          <w:sz w:val="18"/>
        </w:rPr>
        <w:t xml:space="preserve"> In Danish: </w:t>
      </w:r>
      <w:r w:rsidRPr="00E71FF2">
        <w:rPr>
          <w:rFonts w:cs="Arial"/>
          <w:i/>
          <w:iCs/>
          <w:sz w:val="18"/>
        </w:rPr>
        <w:t>Lov om ændring af lov om kuldioxidafgift af visse energiprodukter, lov om energiafgift af mineralolieprodukter m.v., lov om afgift af naturgas og bygas m.v., lov om afgift af stenkul, brunkul og koks m.v. og forskellige andre love.</w:t>
      </w:r>
    </w:p>
  </w:footnote>
  <w:footnote w:id="8">
    <w:p w14:paraId="26804B4E" w14:textId="4852ACEC" w:rsidR="007A6E2E" w:rsidRPr="00B0175C" w:rsidRDefault="007A6E2E" w:rsidP="00E71FF2">
      <w:pPr>
        <w:pStyle w:val="FootnoteText"/>
        <w:rPr>
          <w:rFonts w:cs="Arial"/>
          <w:lang w:val="en-US"/>
        </w:rPr>
      </w:pPr>
      <w:r w:rsidRPr="00B0175C">
        <w:rPr>
          <w:rStyle w:val="FootnoteReference"/>
          <w:rFonts w:cs="Arial"/>
        </w:rPr>
        <w:footnoteRef/>
      </w:r>
      <w:r w:rsidRPr="00B0175C">
        <w:rPr>
          <w:rFonts w:cs="Arial"/>
          <w:lang w:val="en-US"/>
        </w:rPr>
        <w:t xml:space="preserve"> </w:t>
      </w:r>
      <w:r w:rsidRPr="00E71FF2">
        <w:rPr>
          <w:rFonts w:cs="Arial"/>
          <w:sz w:val="18"/>
          <w:lang w:val="en-US"/>
        </w:rPr>
        <w:t>Published until the DEA’s calculation of the Subsidy Rate, see paragraph 1.</w:t>
      </w:r>
      <w:r>
        <w:rPr>
          <w:rFonts w:cs="Arial"/>
          <w:sz w:val="18"/>
          <w:lang w:val="en-US"/>
        </w:rPr>
        <w:t>8</w:t>
      </w:r>
      <w:r w:rsidRPr="00E71FF2">
        <w:rPr>
          <w:rFonts w:cs="Arial"/>
          <w:sz w:val="18"/>
          <w:lang w:val="en-US"/>
        </w:rPr>
        <w:t>.</w:t>
      </w:r>
    </w:p>
  </w:footnote>
  <w:footnote w:id="9">
    <w:p w14:paraId="22D5ABE1" w14:textId="77777777" w:rsidR="007A6E2E" w:rsidRPr="001742ED" w:rsidRDefault="007A6E2E" w:rsidP="00E71FF2">
      <w:pPr>
        <w:pStyle w:val="FootnoteText"/>
        <w:rPr>
          <w:rFonts w:cs="Arial"/>
          <w:lang w:val="en-US"/>
        </w:rPr>
      </w:pPr>
      <w:r w:rsidRPr="00E71FF2">
        <w:rPr>
          <w:rStyle w:val="FootnoteReference"/>
          <w:rFonts w:cs="Arial"/>
          <w:sz w:val="18"/>
        </w:rPr>
        <w:footnoteRef/>
      </w:r>
      <w:r w:rsidRPr="00E71FF2">
        <w:rPr>
          <w:rFonts w:cs="Arial"/>
          <w:sz w:val="18"/>
          <w:lang w:val="en-US"/>
        </w:rPr>
        <w:t xml:space="preserve"> The price is converted from EUR to DKK based on </w:t>
      </w:r>
      <w:proofErr w:type="spellStart"/>
      <w:r w:rsidRPr="00E71FF2">
        <w:rPr>
          <w:rFonts w:cs="Arial"/>
          <w:sz w:val="18"/>
          <w:lang w:val="en-US"/>
        </w:rPr>
        <w:t>Danmarks</w:t>
      </w:r>
      <w:proofErr w:type="spellEnd"/>
      <w:r w:rsidRPr="00E71FF2">
        <w:rPr>
          <w:rFonts w:cs="Arial"/>
          <w:sz w:val="18"/>
          <w:lang w:val="en-US"/>
        </w:rPr>
        <w:t xml:space="preserve"> </w:t>
      </w:r>
      <w:proofErr w:type="spellStart"/>
      <w:r w:rsidRPr="00E71FF2">
        <w:rPr>
          <w:rFonts w:cs="Arial"/>
          <w:sz w:val="18"/>
          <w:lang w:val="en-US"/>
        </w:rPr>
        <w:t>Nationalbank’s</w:t>
      </w:r>
      <w:proofErr w:type="spellEnd"/>
      <w:r w:rsidRPr="00E71FF2">
        <w:rPr>
          <w:rFonts w:cs="Arial"/>
          <w:sz w:val="18"/>
          <w:lang w:val="en-US"/>
        </w:rPr>
        <w:t xml:space="preserve"> daily exchange rate, which is obtained from the European Central Bank at 4pm CET, for each day when the futures price of the allowance is obtained.</w:t>
      </w:r>
    </w:p>
  </w:footnote>
  <w:footnote w:id="10">
    <w:p w14:paraId="7A2FA795" w14:textId="77777777" w:rsidR="007A6E2E" w:rsidRPr="00E71FF2" w:rsidRDefault="007A6E2E" w:rsidP="00E71FF2">
      <w:pPr>
        <w:pStyle w:val="FootnoteText"/>
        <w:rPr>
          <w:rFonts w:cs="Arial"/>
          <w:sz w:val="18"/>
          <w:lang w:val="en-US"/>
        </w:rPr>
      </w:pPr>
      <w:r w:rsidRPr="00E71FF2">
        <w:rPr>
          <w:rStyle w:val="FootnoteReference"/>
          <w:rFonts w:cs="Arial"/>
          <w:sz w:val="18"/>
        </w:rPr>
        <w:footnoteRef/>
      </w:r>
      <w:r w:rsidRPr="00E71FF2">
        <w:rPr>
          <w:rFonts w:cs="Arial"/>
          <w:sz w:val="18"/>
          <w:lang w:val="en-US"/>
        </w:rPr>
        <w:t xml:space="preserve"> Calculated as: Annual Quantity x Baseline Fossil EUA Fraction </w:t>
      </w:r>
      <w:proofErr w:type="gramStart"/>
      <w:r w:rsidRPr="00E71FF2">
        <w:rPr>
          <w:rFonts w:cs="Arial"/>
          <w:sz w:val="18"/>
          <w:lang w:val="en-US"/>
        </w:rPr>
        <w:t>x</w:t>
      </w:r>
      <w:proofErr w:type="gramEnd"/>
      <w:r w:rsidRPr="00E71FF2">
        <w:rPr>
          <w:rFonts w:cs="Arial"/>
          <w:sz w:val="18"/>
          <w:lang w:val="en-US"/>
        </w:rPr>
        <w:t xml:space="preserve"> Baseline EUA prices/ Annual Quantity. </w:t>
      </w:r>
      <w:bookmarkStart w:id="15" w:name="_Hlk169602695"/>
      <w:r w:rsidRPr="00E71FF2">
        <w:rPr>
          <w:rFonts w:cs="Arial"/>
          <w:sz w:val="18"/>
          <w:lang w:val="en-US"/>
        </w:rPr>
        <w:t>For 2029, if relevant, the calculation of the Baseline EUA Savings is based on the 2029 Quantity instead of the Annual Quantity.</w:t>
      </w:r>
    </w:p>
    <w:bookmarkEnd w:id="15"/>
  </w:footnote>
  <w:footnote w:id="11">
    <w:p w14:paraId="113CFEF6" w14:textId="77777777" w:rsidR="007A6E2E" w:rsidRPr="00237DA1" w:rsidRDefault="007A6E2E" w:rsidP="00E71FF2">
      <w:pPr>
        <w:pStyle w:val="FootnoteText"/>
        <w:rPr>
          <w:lang w:val="en-US"/>
        </w:rPr>
      </w:pPr>
      <w:r w:rsidRPr="00E71FF2">
        <w:rPr>
          <w:rStyle w:val="FootnoteReference"/>
          <w:rFonts w:cs="Arial"/>
          <w:sz w:val="18"/>
        </w:rPr>
        <w:footnoteRef/>
      </w:r>
      <w:r w:rsidRPr="00E71FF2">
        <w:rPr>
          <w:rFonts w:cs="Arial"/>
          <w:sz w:val="18"/>
          <w:lang w:val="en-US"/>
        </w:rPr>
        <w:t xml:space="preserve"> Calculated as: (Annual Quantity x Baseline Fossil Tax Fraction x tax rate for emission tax/ Annual Quantity) + (Annual Quantity x Baseline Fossil Tax Fraction x tax rate for CO2 tax/ Annual Quantity). For 2029, if relevant, the calculations are based on the 2029 Quantity instead of the Annual Quantity.</w:t>
      </w:r>
    </w:p>
  </w:footnote>
  <w:footnote w:id="12">
    <w:p w14:paraId="6C0DD258" w14:textId="77777777" w:rsidR="007A6E2E" w:rsidRPr="00E71FF2" w:rsidRDefault="007A6E2E" w:rsidP="00E71FF2">
      <w:pPr>
        <w:pStyle w:val="FootnoteText"/>
        <w:rPr>
          <w:rFonts w:cs="Arial"/>
          <w:sz w:val="18"/>
          <w:lang w:val="en-US"/>
        </w:rPr>
      </w:pPr>
      <w:r w:rsidRPr="001742ED">
        <w:rPr>
          <w:rStyle w:val="FootnoteReference"/>
          <w:rFonts w:cs="Arial"/>
        </w:rPr>
        <w:footnoteRef/>
      </w:r>
      <w:r w:rsidRPr="00FA2009">
        <w:rPr>
          <w:rFonts w:cs="Arial"/>
          <w:lang w:val="en-US"/>
        </w:rPr>
        <w:t xml:space="preserve"> </w:t>
      </w:r>
      <w:r w:rsidRPr="00E71FF2">
        <w:rPr>
          <w:rFonts w:cs="Arial"/>
          <w:sz w:val="18"/>
          <w:lang w:val="en-US"/>
        </w:rPr>
        <w:t>Calculated as: EUA savings based on the market value of EUA - Baseline EUA Savings.</w:t>
      </w:r>
    </w:p>
  </w:footnote>
  <w:footnote w:id="13">
    <w:p w14:paraId="694B75E6" w14:textId="77777777" w:rsidR="007A6E2E" w:rsidRPr="00E71FF2" w:rsidRDefault="007A6E2E" w:rsidP="00E71FF2">
      <w:pPr>
        <w:pStyle w:val="FootnoteText"/>
        <w:rPr>
          <w:rFonts w:cs="Arial"/>
          <w:sz w:val="18"/>
          <w:lang w:val="en-US"/>
        </w:rPr>
      </w:pPr>
      <w:r w:rsidRPr="00E71FF2">
        <w:rPr>
          <w:rStyle w:val="FootnoteReference"/>
          <w:rFonts w:cs="Arial"/>
          <w:sz w:val="18"/>
        </w:rPr>
        <w:footnoteRef/>
      </w:r>
      <w:r w:rsidRPr="00E71FF2">
        <w:rPr>
          <w:rFonts w:cs="Arial"/>
          <w:sz w:val="18"/>
          <w:lang w:val="en-US"/>
        </w:rPr>
        <w:t xml:space="preserve"> </w:t>
      </w:r>
      <w:r w:rsidRPr="00E71FF2">
        <w:rPr>
          <w:rFonts w:cs="Arial"/>
          <w:iCs/>
          <w:sz w:val="18"/>
          <w:lang w:val="en-US"/>
        </w:rPr>
        <w:t xml:space="preserve">In the calculation of </w:t>
      </w:r>
      <w:r w:rsidRPr="00E71FF2">
        <w:rPr>
          <w:rFonts w:cs="Arial"/>
          <w:sz w:val="18"/>
          <w:lang w:val="en-US"/>
        </w:rPr>
        <w:t xml:space="preserve">EUA savings based on the market value of EUA, the Annual Forecast Quantity, </w:t>
      </w:r>
      <w:r w:rsidRPr="00E71FF2">
        <w:rPr>
          <w:rFonts w:cs="Arial"/>
          <w:iCs/>
          <w:sz w:val="18"/>
          <w:lang w:val="en-US"/>
        </w:rPr>
        <w:t xml:space="preserve">Forecast Fossil EUA Fraction and </w:t>
      </w:r>
      <w:r w:rsidRPr="00E71FF2">
        <w:rPr>
          <w:rFonts w:cs="Arial"/>
          <w:sz w:val="18"/>
          <w:lang w:val="en-US"/>
        </w:rPr>
        <w:t xml:space="preserve">market value of EUA in the given quarter </w:t>
      </w:r>
      <w:r w:rsidRPr="00E71FF2">
        <w:rPr>
          <w:rFonts w:cs="Arial"/>
          <w:iCs/>
          <w:sz w:val="18"/>
          <w:lang w:val="en-US"/>
        </w:rPr>
        <w:t xml:space="preserve">will be used. Thus, </w:t>
      </w:r>
      <w:r w:rsidRPr="00E71FF2">
        <w:rPr>
          <w:rFonts w:cs="Arial"/>
          <w:sz w:val="18"/>
          <w:lang w:val="en-US"/>
        </w:rPr>
        <w:t>EUA savings based on the market value of EUA will be calculated as</w:t>
      </w:r>
      <w:r w:rsidRPr="00E71FF2">
        <w:rPr>
          <w:rFonts w:cs="Arial"/>
          <w:iCs/>
          <w:sz w:val="18"/>
          <w:lang w:val="en-US"/>
        </w:rPr>
        <w:t xml:space="preserve"> </w:t>
      </w:r>
      <w:r w:rsidRPr="00E71FF2">
        <w:rPr>
          <w:rFonts w:cs="Arial"/>
          <w:sz w:val="18"/>
          <w:lang w:val="en-US"/>
        </w:rPr>
        <w:t xml:space="preserve">Annual Forecast Quantity </w:t>
      </w:r>
      <w:proofErr w:type="gramStart"/>
      <w:r w:rsidRPr="00E71FF2">
        <w:rPr>
          <w:rFonts w:cs="Arial"/>
          <w:sz w:val="18"/>
          <w:lang w:val="en-US"/>
        </w:rPr>
        <w:t>x</w:t>
      </w:r>
      <w:proofErr w:type="gramEnd"/>
      <w:r w:rsidRPr="00E71FF2">
        <w:rPr>
          <w:rFonts w:cs="Arial"/>
          <w:sz w:val="18"/>
          <w:lang w:val="en-US"/>
        </w:rPr>
        <w:t xml:space="preserve"> Forecast Fossil EUA Fraction x market value of EUA/Annual Forecast Quantity. </w:t>
      </w:r>
      <w:bookmarkStart w:id="20" w:name="_Hlk169606368"/>
      <w:r w:rsidRPr="00E71FF2">
        <w:rPr>
          <w:rFonts w:cs="Arial"/>
          <w:sz w:val="18"/>
          <w:lang w:val="en-US"/>
        </w:rPr>
        <w:t>For 2029, if relevant, the calculations are based on the relevant 2029 Forecast.</w:t>
      </w:r>
    </w:p>
    <w:bookmarkEnd w:id="20"/>
  </w:footnote>
  <w:footnote w:id="14">
    <w:p w14:paraId="0EF6E32E" w14:textId="77777777" w:rsidR="007A6E2E" w:rsidRPr="00FA2009" w:rsidRDefault="007A6E2E" w:rsidP="00E71FF2">
      <w:pPr>
        <w:pStyle w:val="FootnoteText"/>
        <w:rPr>
          <w:rFonts w:cs="Arial"/>
          <w:lang w:val="en-US"/>
        </w:rPr>
      </w:pPr>
      <w:r w:rsidRPr="00E71FF2">
        <w:rPr>
          <w:rStyle w:val="FootnoteReference"/>
          <w:rFonts w:cs="Arial"/>
          <w:sz w:val="18"/>
        </w:rPr>
        <w:footnoteRef/>
      </w:r>
      <w:r w:rsidRPr="00E71FF2">
        <w:rPr>
          <w:rFonts w:cs="Arial"/>
          <w:sz w:val="18"/>
          <w:lang w:val="en-US"/>
        </w:rPr>
        <w:t xml:space="preserve"> Calculated as: Annual Quantity x Baseline Fossil EUA Fraction </w:t>
      </w:r>
      <w:proofErr w:type="gramStart"/>
      <w:r w:rsidRPr="00E71FF2">
        <w:rPr>
          <w:rFonts w:cs="Arial"/>
          <w:sz w:val="18"/>
          <w:lang w:val="en-US"/>
        </w:rPr>
        <w:t>x</w:t>
      </w:r>
      <w:proofErr w:type="gramEnd"/>
      <w:r w:rsidRPr="00E71FF2">
        <w:rPr>
          <w:rFonts w:cs="Arial"/>
          <w:sz w:val="18"/>
          <w:lang w:val="en-US"/>
        </w:rPr>
        <w:t xml:space="preserve"> Baseline EUA price/Annual Quantity. For 2029, if relevant, the calculations are based on the 2029 Quantity instead of the Annual Quantity.</w:t>
      </w:r>
    </w:p>
  </w:footnote>
  <w:footnote w:id="15">
    <w:p w14:paraId="30762165" w14:textId="77777777" w:rsidR="007A6E2E" w:rsidRPr="00E71FF2" w:rsidRDefault="007A6E2E" w:rsidP="00E71FF2">
      <w:pPr>
        <w:pStyle w:val="FootnoteText"/>
        <w:rPr>
          <w:rFonts w:cs="Arial"/>
          <w:sz w:val="18"/>
          <w:lang w:val="en-US"/>
        </w:rPr>
      </w:pPr>
      <w:r w:rsidRPr="001742ED">
        <w:rPr>
          <w:rStyle w:val="FootnoteReference"/>
          <w:rFonts w:cs="Arial"/>
        </w:rPr>
        <w:footnoteRef/>
      </w:r>
      <w:r w:rsidRPr="00FA2009">
        <w:rPr>
          <w:rFonts w:cs="Arial"/>
          <w:lang w:val="en-US"/>
        </w:rPr>
        <w:t xml:space="preserve"> </w:t>
      </w:r>
      <w:r w:rsidRPr="00E71FF2">
        <w:rPr>
          <w:rFonts w:cs="Arial"/>
          <w:sz w:val="18"/>
          <w:lang w:val="en-US"/>
        </w:rPr>
        <w:t>Calculated as: CO</w:t>
      </w:r>
      <w:r w:rsidRPr="00346834">
        <w:rPr>
          <w:rFonts w:cs="Arial"/>
          <w:sz w:val="18"/>
          <w:vertAlign w:val="subscript"/>
          <w:lang w:val="en-US"/>
        </w:rPr>
        <w:t>2</w:t>
      </w:r>
      <w:r w:rsidRPr="00E71FF2">
        <w:rPr>
          <w:rFonts w:cs="Arial"/>
          <w:sz w:val="18"/>
          <w:lang w:val="en-US"/>
        </w:rPr>
        <w:t xml:space="preserve"> related tax savings based on the tax rate according to the legislation applicable at the time of invoicing</w:t>
      </w:r>
      <w:r w:rsidRPr="00E71FF2">
        <w:rPr>
          <w:rStyle w:val="FootnoteReference"/>
          <w:rFonts w:cs="Arial"/>
          <w:sz w:val="18"/>
          <w:lang w:val="en-US"/>
        </w:rPr>
        <w:t xml:space="preserve"> </w:t>
      </w:r>
      <w:r w:rsidRPr="00E71FF2">
        <w:rPr>
          <w:rFonts w:cs="Arial"/>
          <w:sz w:val="18"/>
          <w:lang w:val="en-US"/>
        </w:rPr>
        <w:t xml:space="preserve">- Baseline Tax Savings. </w:t>
      </w:r>
    </w:p>
  </w:footnote>
  <w:footnote w:id="16">
    <w:p w14:paraId="3EEBF6AF" w14:textId="77777777" w:rsidR="007A6E2E" w:rsidRPr="00E71FF2" w:rsidRDefault="007A6E2E" w:rsidP="00E71FF2">
      <w:pPr>
        <w:pStyle w:val="FootnoteText"/>
        <w:rPr>
          <w:rFonts w:cs="Arial"/>
          <w:sz w:val="18"/>
          <w:lang w:val="en-US"/>
        </w:rPr>
      </w:pPr>
      <w:r w:rsidRPr="00E71FF2">
        <w:rPr>
          <w:rStyle w:val="FootnoteReference"/>
          <w:rFonts w:cs="Arial"/>
          <w:sz w:val="18"/>
        </w:rPr>
        <w:footnoteRef/>
      </w:r>
      <w:r w:rsidRPr="00E71FF2">
        <w:rPr>
          <w:rFonts w:cs="Arial"/>
          <w:sz w:val="18"/>
          <w:lang w:val="en-US"/>
        </w:rPr>
        <w:t xml:space="preserve"> </w:t>
      </w:r>
      <w:r w:rsidRPr="00E71FF2">
        <w:rPr>
          <w:rFonts w:cs="Arial"/>
          <w:iCs/>
          <w:sz w:val="18"/>
          <w:lang w:val="en-US"/>
        </w:rPr>
        <w:t xml:space="preserve">In the calculation of </w:t>
      </w:r>
      <w:r w:rsidRPr="00E71FF2">
        <w:rPr>
          <w:rFonts w:cs="Arial"/>
          <w:sz w:val="18"/>
          <w:lang w:val="en-US"/>
        </w:rPr>
        <w:t xml:space="preserve">tax savings at the time of invoicing, the Annual Forecast Quantity, Forecast Fossil Tax Fraction </w:t>
      </w:r>
      <w:r w:rsidRPr="00E71FF2">
        <w:rPr>
          <w:rFonts w:cs="Arial"/>
          <w:iCs/>
          <w:sz w:val="18"/>
          <w:lang w:val="en-US"/>
        </w:rPr>
        <w:t xml:space="preserve">and </w:t>
      </w:r>
      <w:r w:rsidRPr="00E71FF2">
        <w:rPr>
          <w:rFonts w:cs="Arial"/>
          <w:sz w:val="18"/>
          <w:lang w:val="en-US"/>
        </w:rPr>
        <w:t>tax rates according to the legislation applicable at the time of invoicing will be used</w:t>
      </w:r>
      <w:r w:rsidRPr="00E71FF2">
        <w:rPr>
          <w:rFonts w:cs="Arial"/>
          <w:iCs/>
          <w:sz w:val="18"/>
          <w:lang w:val="en-US"/>
        </w:rPr>
        <w:t xml:space="preserve">. Thus, </w:t>
      </w:r>
      <w:r w:rsidRPr="00E71FF2">
        <w:rPr>
          <w:rFonts w:cs="Arial"/>
          <w:sz w:val="18"/>
          <w:lang w:val="en-US"/>
        </w:rPr>
        <w:t>tax savings at the time of invoicing will be calculated as</w:t>
      </w:r>
      <w:r w:rsidRPr="00E71FF2">
        <w:rPr>
          <w:rFonts w:cs="Arial"/>
          <w:iCs/>
          <w:sz w:val="18"/>
          <w:lang w:val="en-US"/>
        </w:rPr>
        <w:t xml:space="preserve"> </w:t>
      </w:r>
      <w:r w:rsidRPr="00E71FF2">
        <w:rPr>
          <w:rFonts w:cs="Arial"/>
          <w:sz w:val="18"/>
          <w:lang w:val="en-US"/>
        </w:rPr>
        <w:t xml:space="preserve">(Annual Forecast Quantity </w:t>
      </w:r>
      <w:proofErr w:type="gramStart"/>
      <w:r w:rsidRPr="00E71FF2">
        <w:rPr>
          <w:rFonts w:cs="Arial"/>
          <w:sz w:val="18"/>
          <w:lang w:val="en-US"/>
        </w:rPr>
        <w:t>x</w:t>
      </w:r>
      <w:proofErr w:type="gramEnd"/>
      <w:r w:rsidRPr="00E71FF2">
        <w:rPr>
          <w:rFonts w:cs="Arial"/>
          <w:sz w:val="18"/>
          <w:lang w:val="en-US"/>
        </w:rPr>
        <w:t xml:space="preserve"> Forecast Fossil Tax Fraction x tax rate for emission tax at time of invoicing/ Annual Forecast Quantity) + (Annual Forecast Quantity x Forecast Fossil Tax Fraction x tax rate for CO</w:t>
      </w:r>
      <w:r w:rsidRPr="00346834">
        <w:rPr>
          <w:rFonts w:cs="Arial"/>
          <w:sz w:val="18"/>
          <w:vertAlign w:val="subscript"/>
          <w:lang w:val="en-US"/>
        </w:rPr>
        <w:t>2</w:t>
      </w:r>
      <w:r w:rsidRPr="00E71FF2">
        <w:rPr>
          <w:rFonts w:cs="Arial"/>
          <w:sz w:val="18"/>
          <w:lang w:val="en-US"/>
        </w:rPr>
        <w:t xml:space="preserve"> tax at time of invoicing/ Annual Forecast Quantity).</w:t>
      </w:r>
      <w:r w:rsidRPr="00E71FF2">
        <w:rPr>
          <w:sz w:val="18"/>
          <w:lang w:val="en-US"/>
        </w:rPr>
        <w:t xml:space="preserve"> </w:t>
      </w:r>
      <w:r w:rsidRPr="00E71FF2">
        <w:rPr>
          <w:rFonts w:cs="Arial"/>
          <w:sz w:val="18"/>
          <w:lang w:val="en-US"/>
        </w:rPr>
        <w:t>For 2029, if relevant, the calculations are based on the relevant 2029 Forecast.</w:t>
      </w:r>
    </w:p>
  </w:footnote>
  <w:footnote w:id="17">
    <w:p w14:paraId="7D636CFD" w14:textId="77777777" w:rsidR="007A6E2E" w:rsidRPr="00E71FF2" w:rsidRDefault="007A6E2E" w:rsidP="00E71FF2">
      <w:pPr>
        <w:pStyle w:val="FootnoteText"/>
        <w:rPr>
          <w:sz w:val="18"/>
          <w:lang w:val="en-US"/>
        </w:rPr>
      </w:pPr>
      <w:r w:rsidRPr="00E71FF2">
        <w:rPr>
          <w:rStyle w:val="FootnoteReference"/>
          <w:rFonts w:cs="Arial"/>
          <w:sz w:val="18"/>
        </w:rPr>
        <w:footnoteRef/>
      </w:r>
      <w:r w:rsidRPr="00E71FF2">
        <w:rPr>
          <w:rFonts w:cs="Arial"/>
          <w:sz w:val="18"/>
          <w:lang w:val="en-US"/>
        </w:rPr>
        <w:t xml:space="preserve"> Calculated as: (Annual Quantity x Baseline Fossil Tax Fraction x tax rate for emission tax) + (Annual Quantity x Baseline Fossil Tax Fraction x tax rate for CO</w:t>
      </w:r>
      <w:r w:rsidRPr="00346834">
        <w:rPr>
          <w:rFonts w:cs="Arial"/>
          <w:sz w:val="18"/>
          <w:vertAlign w:val="subscript"/>
          <w:lang w:val="en-US"/>
        </w:rPr>
        <w:t>2</w:t>
      </w:r>
      <w:r w:rsidRPr="00E71FF2">
        <w:rPr>
          <w:rFonts w:cs="Arial"/>
          <w:sz w:val="18"/>
          <w:lang w:val="en-US"/>
        </w:rPr>
        <w:t xml:space="preserve"> tax)/ Annual Quantity</w:t>
      </w:r>
    </w:p>
  </w:footnote>
  <w:footnote w:id="18">
    <w:p w14:paraId="6A5928CF" w14:textId="77777777" w:rsidR="007A6E2E" w:rsidRPr="001742ED" w:rsidRDefault="007A6E2E" w:rsidP="00E71FF2">
      <w:pPr>
        <w:pStyle w:val="FootnoteText"/>
        <w:rPr>
          <w:rFonts w:cs="Arial"/>
          <w:lang w:val="en-US"/>
        </w:rPr>
      </w:pPr>
      <w:r w:rsidRPr="00E71FF2">
        <w:rPr>
          <w:rStyle w:val="FootnoteReference"/>
          <w:rFonts w:cs="Arial"/>
          <w:sz w:val="18"/>
        </w:rPr>
        <w:footnoteRef/>
      </w:r>
      <w:r w:rsidRPr="00E71FF2">
        <w:rPr>
          <w:rFonts w:cs="Arial"/>
          <w:sz w:val="18"/>
          <w:lang w:val="en-US"/>
        </w:rPr>
        <w:t xml:space="preserve"> The calculation will for each quarter be made with ¼ of the total Baseline Carbon Credits Income for the year in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89692" w14:textId="77777777" w:rsidR="007A6E2E" w:rsidRDefault="007A6E2E">
    <w:pPr>
      <w:pStyle w:val="Header"/>
    </w:pPr>
    <w:r>
      <w:rPr>
        <w:noProof/>
        <w:lang w:eastAsia="da-DK"/>
      </w:rPr>
      <w:drawing>
        <wp:anchor distT="0" distB="0" distL="114300" distR="114300" simplePos="0" relativeHeight="251658241" behindDoc="0" locked="0" layoutInCell="1" allowOverlap="1" wp14:anchorId="4322ADF6" wp14:editId="676B4698">
          <wp:simplePos x="0" y="0"/>
          <wp:positionH relativeFrom="margin">
            <wp:posOffset>-25726</wp:posOffset>
          </wp:positionH>
          <wp:positionV relativeFrom="paragraph">
            <wp:posOffset>96367</wp:posOffset>
          </wp:positionV>
          <wp:extent cx="1882800" cy="510426"/>
          <wp:effectExtent l="0" t="0" r="3175" b="4445"/>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stretch>
                    <a:fillRect/>
                  </a:stretch>
                </pic:blipFill>
                <pic:spPr>
                  <a:xfrm>
                    <a:off x="0" y="0"/>
                    <a:ext cx="1882800" cy="51042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A734" w14:textId="77777777" w:rsidR="007A6E2E" w:rsidRDefault="007A6E2E">
    <w:pPr>
      <w:pStyle w:val="Header"/>
    </w:pPr>
  </w:p>
  <w:p w14:paraId="7A3C3FEB" w14:textId="64897F14" w:rsidR="007A6E2E" w:rsidRPr="005E3FC3" w:rsidRDefault="002D79E3">
    <w:pPr>
      <w:pStyle w:val="Header"/>
      <w:rPr>
        <w:b/>
      </w:rPr>
    </w:pPr>
    <w:r>
      <w:rPr>
        <w:b/>
        <w:noProof/>
        <w:lang w:eastAsia="da-DK"/>
      </w:rPr>
      <w:drawing>
        <wp:anchor distT="0" distB="0" distL="114300" distR="114300" simplePos="0" relativeHeight="251660289" behindDoc="0" locked="0" layoutInCell="1" allowOverlap="1" wp14:anchorId="09DD17D5" wp14:editId="01E7F9A2">
          <wp:simplePos x="0" y="0"/>
          <wp:positionH relativeFrom="margin">
            <wp:posOffset>0</wp:posOffset>
          </wp:positionH>
          <wp:positionV relativeFrom="paragraph">
            <wp:posOffset>147955</wp:posOffset>
          </wp:positionV>
          <wp:extent cx="2386800" cy="648000"/>
          <wp:effectExtent l="0" t="0" r="0" b="0"/>
          <wp:wrapSquare wrapText="bothSides"/>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2386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CA5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D9D7E02"/>
    <w:multiLevelType w:val="multilevel"/>
    <w:tmpl w:val="D70A301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0" w15:restartNumberingAfterBreak="0">
    <w:nsid w:val="1DB72F35"/>
    <w:multiLevelType w:val="hybridMultilevel"/>
    <w:tmpl w:val="74D6CD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B11F7A"/>
    <w:multiLevelType w:val="multilevel"/>
    <w:tmpl w:val="D170628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2" w15:restartNumberingAfterBreak="0">
    <w:nsid w:val="28575914"/>
    <w:multiLevelType w:val="multilevel"/>
    <w:tmpl w:val="F9164B9A"/>
    <w:lvl w:ilvl="0">
      <w:start w:val="1"/>
      <w:numFmt w:val="bullet"/>
      <w:pStyle w:val="ListBullet"/>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3"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35D43BC"/>
    <w:multiLevelType w:val="hybridMultilevel"/>
    <w:tmpl w:val="70A619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5E64DC"/>
    <w:multiLevelType w:val="multilevel"/>
    <w:tmpl w:val="F9C81FF8"/>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B771AC"/>
    <w:multiLevelType w:val="hybridMultilevel"/>
    <w:tmpl w:val="4320A9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1B278F1"/>
    <w:multiLevelType w:val="hybridMultilevel"/>
    <w:tmpl w:val="311452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3F24C5F"/>
    <w:multiLevelType w:val="hybridMultilevel"/>
    <w:tmpl w:val="464641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A06B01"/>
    <w:multiLevelType w:val="hybridMultilevel"/>
    <w:tmpl w:val="095EB6CC"/>
    <w:lvl w:ilvl="0" w:tplc="9C6ED96E">
      <w:numFmt w:val="bullet"/>
      <w:lvlText w:val=""/>
      <w:lvlJc w:val="left"/>
      <w:pPr>
        <w:ind w:left="720" w:hanging="360"/>
      </w:pPr>
      <w:rPr>
        <w:rFonts w:ascii="Symbol" w:eastAsiaTheme="minorHAnsi" w:hAnsi="Symbol"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9074DC"/>
    <w:multiLevelType w:val="hybridMultilevel"/>
    <w:tmpl w:val="8ECEED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FE5971"/>
    <w:multiLevelType w:val="multilevel"/>
    <w:tmpl w:val="2D5A4596"/>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22" w15:restartNumberingAfterBreak="0">
    <w:nsid w:val="67D51A47"/>
    <w:multiLevelType w:val="hybridMultilevel"/>
    <w:tmpl w:val="2A16D992"/>
    <w:lvl w:ilvl="0" w:tplc="41E09EA4">
      <w:start w:val="1"/>
      <w:numFmt w:val="lowerLetter"/>
      <w:lvlText w:val="%1)"/>
      <w:lvlJc w:val="left"/>
      <w:pPr>
        <w:ind w:left="720" w:hanging="360"/>
      </w:pPr>
      <w:rPr>
        <w:rFonts w:hint="default"/>
        <w:b/>
        <w:bCs/>
      </w:rPr>
    </w:lvl>
    <w:lvl w:ilvl="1" w:tplc="384C05EE">
      <w:start w:val="1"/>
      <w:numFmt w:val="lowerRoman"/>
      <w:lvlText w:val="%2)"/>
      <w:lvlJc w:val="right"/>
      <w:pPr>
        <w:ind w:left="1440" w:hanging="360"/>
      </w:pPr>
      <w:rPr>
        <w:rFonts w:ascii="Century Schoolbook" w:eastAsiaTheme="minorHAnsi" w:hAnsi="Century Schoolbook" w:cs="Verdana"/>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CC52278"/>
    <w:multiLevelType w:val="hybridMultilevel"/>
    <w:tmpl w:val="55D077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13D714E"/>
    <w:multiLevelType w:val="hybridMultilevel"/>
    <w:tmpl w:val="F518213E"/>
    <w:lvl w:ilvl="0" w:tplc="AD785E30">
      <w:start w:val="1"/>
      <w:numFmt w:val="lowerLetter"/>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79FA363D"/>
    <w:multiLevelType w:val="hybridMultilevel"/>
    <w:tmpl w:val="ED1C0F8E"/>
    <w:lvl w:ilvl="0" w:tplc="04060011">
      <w:start w:val="1"/>
      <w:numFmt w:val="decimal"/>
      <w:pStyle w:val="Punktafsnit1"/>
      <w:lvlText w:val="%1)"/>
      <w:lvlJc w:val="left"/>
      <w:pPr>
        <w:ind w:left="720" w:hanging="360"/>
      </w:pPr>
      <w:rPr>
        <w:rFonts w:hint="default"/>
      </w:rPr>
    </w:lvl>
    <w:lvl w:ilvl="1" w:tplc="04060019" w:tentative="1">
      <w:start w:val="1"/>
      <w:numFmt w:val="lowerLetter"/>
      <w:pStyle w:val="Punktafsnit2"/>
      <w:lvlText w:val="%2."/>
      <w:lvlJc w:val="left"/>
      <w:pPr>
        <w:ind w:left="1440" w:hanging="360"/>
      </w:pPr>
    </w:lvl>
    <w:lvl w:ilvl="2" w:tplc="0406001B" w:tentative="1">
      <w:start w:val="1"/>
      <w:numFmt w:val="lowerRoman"/>
      <w:pStyle w:val="Punktafsnit3"/>
      <w:lvlText w:val="%3."/>
      <w:lvlJc w:val="right"/>
      <w:pPr>
        <w:ind w:left="2160" w:hanging="180"/>
      </w:pPr>
    </w:lvl>
    <w:lvl w:ilvl="3" w:tplc="0406000F" w:tentative="1">
      <w:start w:val="1"/>
      <w:numFmt w:val="decimal"/>
      <w:pStyle w:val="Punktafsnit4"/>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BAA79FE"/>
    <w:multiLevelType w:val="hybridMultilevel"/>
    <w:tmpl w:val="80F81BFC"/>
    <w:lvl w:ilvl="0" w:tplc="D92045F6">
      <w:start w:val="1"/>
      <w:numFmt w:val="lowerLetter"/>
      <w:lvlText w:val="%1)"/>
      <w:lvlJc w:val="left"/>
      <w:pPr>
        <w:ind w:left="720" w:hanging="360"/>
      </w:pPr>
      <w:rPr>
        <w:rFonts w:hint="default"/>
        <w:b/>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D754519"/>
    <w:multiLevelType w:val="hybridMultilevel"/>
    <w:tmpl w:val="8ECEED3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E20588C"/>
    <w:multiLevelType w:val="multilevel"/>
    <w:tmpl w:val="3B386694"/>
    <w:lvl w:ilvl="0">
      <w:start w:val="1"/>
      <w:numFmt w:val="decimal"/>
      <w:pStyle w:val="ListNumber"/>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abstractNumId w:val="7"/>
  </w:num>
  <w:num w:numId="2">
    <w:abstractNumId w:val="6"/>
  </w:num>
  <w:num w:numId="3">
    <w:abstractNumId w:val="5"/>
  </w:num>
  <w:num w:numId="4">
    <w:abstractNumId w:val="4"/>
  </w:num>
  <w:num w:numId="5">
    <w:abstractNumId w:val="28"/>
  </w:num>
  <w:num w:numId="6">
    <w:abstractNumId w:val="3"/>
  </w:num>
  <w:num w:numId="7">
    <w:abstractNumId w:val="2"/>
  </w:num>
  <w:num w:numId="8">
    <w:abstractNumId w:val="1"/>
  </w:num>
  <w:num w:numId="9">
    <w:abstractNumId w:val="0"/>
  </w:num>
  <w:num w:numId="10">
    <w:abstractNumId w:val="9"/>
  </w:num>
  <w:num w:numId="11">
    <w:abstractNumId w:val="13"/>
  </w:num>
  <w:num w:numId="12">
    <w:abstractNumId w:val="11"/>
  </w:num>
  <w:num w:numId="13">
    <w:abstractNumId w:val="12"/>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19"/>
  </w:num>
  <w:num w:numId="19">
    <w:abstractNumId w:val="26"/>
  </w:num>
  <w:num w:numId="20">
    <w:abstractNumId w:val="10"/>
  </w:num>
  <w:num w:numId="21">
    <w:abstractNumId w:val="23"/>
  </w:num>
  <w:num w:numId="22">
    <w:abstractNumId w:val="24"/>
  </w:num>
  <w:num w:numId="23">
    <w:abstractNumId w:val="22"/>
  </w:num>
  <w:num w:numId="24">
    <w:abstractNumId w:val="25"/>
  </w:num>
  <w:num w:numId="25">
    <w:abstractNumId w:val="18"/>
  </w:num>
  <w:num w:numId="26">
    <w:abstractNumId w:val="16"/>
  </w:num>
  <w:num w:numId="27">
    <w:abstractNumId w:val="27"/>
  </w:num>
  <w:num w:numId="28">
    <w:abstractNumId w:val="20"/>
  </w:num>
  <w:num w:numId="29">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da-DK" w:vendorID="64" w:dllVersion="6" w:nlCheck="1" w:checkStyle="0"/>
  <w:activeWritingStyle w:appName="MSWord" w:lang="en-US" w:vendorID="64" w:dllVersion="6" w:nlCheck="1" w:checkStyle="1"/>
  <w:activeWritingStyle w:appName="MSWord" w:lang="en-US" w:vendorID="64" w:dllVersion="4096" w:nlCheck="1" w:checkStyle="0"/>
  <w:activeWritingStyle w:appName="MSWord" w:lang="da-DK" w:vendorID="64" w:dllVersion="4096" w:nlCheck="1" w:checkStyle="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CBC"/>
    <w:rsid w:val="00003807"/>
    <w:rsid w:val="0000660D"/>
    <w:rsid w:val="000102B5"/>
    <w:rsid w:val="00012D9C"/>
    <w:rsid w:val="00022817"/>
    <w:rsid w:val="00036061"/>
    <w:rsid w:val="0005799C"/>
    <w:rsid w:val="00065C74"/>
    <w:rsid w:val="00073490"/>
    <w:rsid w:val="00074FF0"/>
    <w:rsid w:val="000827E0"/>
    <w:rsid w:val="00086163"/>
    <w:rsid w:val="000A08E2"/>
    <w:rsid w:val="000C7E0C"/>
    <w:rsid w:val="000D1D6D"/>
    <w:rsid w:val="000D40BA"/>
    <w:rsid w:val="000D7BA0"/>
    <w:rsid w:val="000E2636"/>
    <w:rsid w:val="000E3AC9"/>
    <w:rsid w:val="00107405"/>
    <w:rsid w:val="00110084"/>
    <w:rsid w:val="00112C34"/>
    <w:rsid w:val="00121467"/>
    <w:rsid w:val="00135FA2"/>
    <w:rsid w:val="00136323"/>
    <w:rsid w:val="00140C61"/>
    <w:rsid w:val="00141089"/>
    <w:rsid w:val="00164D3D"/>
    <w:rsid w:val="001748CE"/>
    <w:rsid w:val="001906DB"/>
    <w:rsid w:val="00193547"/>
    <w:rsid w:val="00195058"/>
    <w:rsid w:val="001C2F18"/>
    <w:rsid w:val="001F26C9"/>
    <w:rsid w:val="001F2CFC"/>
    <w:rsid w:val="00223CD4"/>
    <w:rsid w:val="002276E8"/>
    <w:rsid w:val="00241882"/>
    <w:rsid w:val="002600BF"/>
    <w:rsid w:val="002611C9"/>
    <w:rsid w:val="002615D7"/>
    <w:rsid w:val="00265C6A"/>
    <w:rsid w:val="0027148D"/>
    <w:rsid w:val="0027768F"/>
    <w:rsid w:val="002861AB"/>
    <w:rsid w:val="0029648B"/>
    <w:rsid w:val="00296E6F"/>
    <w:rsid w:val="002A4878"/>
    <w:rsid w:val="002A4EDA"/>
    <w:rsid w:val="002C135B"/>
    <w:rsid w:val="002D79E3"/>
    <w:rsid w:val="002E522E"/>
    <w:rsid w:val="00306FEF"/>
    <w:rsid w:val="00307F3B"/>
    <w:rsid w:val="0034007A"/>
    <w:rsid w:val="00346834"/>
    <w:rsid w:val="00347BCC"/>
    <w:rsid w:val="00352DBE"/>
    <w:rsid w:val="00354DAB"/>
    <w:rsid w:val="003B31EC"/>
    <w:rsid w:val="003B5DBB"/>
    <w:rsid w:val="003B7D18"/>
    <w:rsid w:val="003D1C0D"/>
    <w:rsid w:val="003D2954"/>
    <w:rsid w:val="003E0D36"/>
    <w:rsid w:val="003E6C3A"/>
    <w:rsid w:val="003F6EC1"/>
    <w:rsid w:val="004129C4"/>
    <w:rsid w:val="00413E19"/>
    <w:rsid w:val="00417728"/>
    <w:rsid w:val="004235BC"/>
    <w:rsid w:val="004456A7"/>
    <w:rsid w:val="004462CE"/>
    <w:rsid w:val="00460DCE"/>
    <w:rsid w:val="004704DA"/>
    <w:rsid w:val="00471375"/>
    <w:rsid w:val="004A0CFD"/>
    <w:rsid w:val="004B3ACF"/>
    <w:rsid w:val="004B53D4"/>
    <w:rsid w:val="004C2FF7"/>
    <w:rsid w:val="004C4DF2"/>
    <w:rsid w:val="004D574B"/>
    <w:rsid w:val="004D5CFB"/>
    <w:rsid w:val="004E4964"/>
    <w:rsid w:val="004F5C81"/>
    <w:rsid w:val="00502AFB"/>
    <w:rsid w:val="00514DEB"/>
    <w:rsid w:val="00527652"/>
    <w:rsid w:val="005340A7"/>
    <w:rsid w:val="00554537"/>
    <w:rsid w:val="0055562C"/>
    <w:rsid w:val="005557CE"/>
    <w:rsid w:val="00556827"/>
    <w:rsid w:val="00583115"/>
    <w:rsid w:val="005C31F3"/>
    <w:rsid w:val="005E3FC3"/>
    <w:rsid w:val="005F51E6"/>
    <w:rsid w:val="006202F5"/>
    <w:rsid w:val="00621E91"/>
    <w:rsid w:val="00624B08"/>
    <w:rsid w:val="00665F29"/>
    <w:rsid w:val="00667FF1"/>
    <w:rsid w:val="00674D05"/>
    <w:rsid w:val="006803EB"/>
    <w:rsid w:val="00681C07"/>
    <w:rsid w:val="006A3B21"/>
    <w:rsid w:val="006D6210"/>
    <w:rsid w:val="006E691D"/>
    <w:rsid w:val="006F2E92"/>
    <w:rsid w:val="006F5B70"/>
    <w:rsid w:val="0070743B"/>
    <w:rsid w:val="00714E51"/>
    <w:rsid w:val="00721870"/>
    <w:rsid w:val="00744282"/>
    <w:rsid w:val="007636C2"/>
    <w:rsid w:val="007963EA"/>
    <w:rsid w:val="007A6E2E"/>
    <w:rsid w:val="007B14D3"/>
    <w:rsid w:val="007B1B11"/>
    <w:rsid w:val="007B28A2"/>
    <w:rsid w:val="007B75E6"/>
    <w:rsid w:val="007D7217"/>
    <w:rsid w:val="007E05CF"/>
    <w:rsid w:val="007E650F"/>
    <w:rsid w:val="007F3283"/>
    <w:rsid w:val="00800E2B"/>
    <w:rsid w:val="00802C9E"/>
    <w:rsid w:val="00804D82"/>
    <w:rsid w:val="00811FF2"/>
    <w:rsid w:val="008176EC"/>
    <w:rsid w:val="00817DCE"/>
    <w:rsid w:val="00835DC0"/>
    <w:rsid w:val="00850DEC"/>
    <w:rsid w:val="008951A3"/>
    <w:rsid w:val="008959BC"/>
    <w:rsid w:val="008969C1"/>
    <w:rsid w:val="008B7FCD"/>
    <w:rsid w:val="008E5D1A"/>
    <w:rsid w:val="008F2666"/>
    <w:rsid w:val="008F69E9"/>
    <w:rsid w:val="00907AB8"/>
    <w:rsid w:val="00912C05"/>
    <w:rsid w:val="00916B8C"/>
    <w:rsid w:val="00922CBC"/>
    <w:rsid w:val="00923F35"/>
    <w:rsid w:val="0092771B"/>
    <w:rsid w:val="00941A73"/>
    <w:rsid w:val="00961FCA"/>
    <w:rsid w:val="00962A4B"/>
    <w:rsid w:val="00971513"/>
    <w:rsid w:val="00974FD7"/>
    <w:rsid w:val="009803B3"/>
    <w:rsid w:val="009A3541"/>
    <w:rsid w:val="009A4974"/>
    <w:rsid w:val="009B115C"/>
    <w:rsid w:val="009C525B"/>
    <w:rsid w:val="009D3FB5"/>
    <w:rsid w:val="009F125A"/>
    <w:rsid w:val="00A01238"/>
    <w:rsid w:val="00A36030"/>
    <w:rsid w:val="00A366E1"/>
    <w:rsid w:val="00A45CC8"/>
    <w:rsid w:val="00A46851"/>
    <w:rsid w:val="00A53376"/>
    <w:rsid w:val="00A53C43"/>
    <w:rsid w:val="00A854AD"/>
    <w:rsid w:val="00A9284C"/>
    <w:rsid w:val="00A97EC2"/>
    <w:rsid w:val="00AA0BDC"/>
    <w:rsid w:val="00AB4885"/>
    <w:rsid w:val="00AB614D"/>
    <w:rsid w:val="00AC60EA"/>
    <w:rsid w:val="00AD3433"/>
    <w:rsid w:val="00B12E08"/>
    <w:rsid w:val="00B1566A"/>
    <w:rsid w:val="00B21CB7"/>
    <w:rsid w:val="00B536E9"/>
    <w:rsid w:val="00B655B8"/>
    <w:rsid w:val="00B75D0D"/>
    <w:rsid w:val="00B80EA0"/>
    <w:rsid w:val="00B8636D"/>
    <w:rsid w:val="00BA0FCB"/>
    <w:rsid w:val="00BB210F"/>
    <w:rsid w:val="00BC0B2C"/>
    <w:rsid w:val="00BC1C56"/>
    <w:rsid w:val="00BD2772"/>
    <w:rsid w:val="00BD2A74"/>
    <w:rsid w:val="00BD371C"/>
    <w:rsid w:val="00BD71E5"/>
    <w:rsid w:val="00C1028A"/>
    <w:rsid w:val="00C15CEE"/>
    <w:rsid w:val="00C20E5C"/>
    <w:rsid w:val="00C4750C"/>
    <w:rsid w:val="00C6018B"/>
    <w:rsid w:val="00C651CC"/>
    <w:rsid w:val="00C65F95"/>
    <w:rsid w:val="00C7553F"/>
    <w:rsid w:val="00C76EC2"/>
    <w:rsid w:val="00CA0B80"/>
    <w:rsid w:val="00CA2474"/>
    <w:rsid w:val="00CB3A7C"/>
    <w:rsid w:val="00CB3BEA"/>
    <w:rsid w:val="00CC040C"/>
    <w:rsid w:val="00CD48B3"/>
    <w:rsid w:val="00CF34A1"/>
    <w:rsid w:val="00CF7F4A"/>
    <w:rsid w:val="00D1257F"/>
    <w:rsid w:val="00D12E7B"/>
    <w:rsid w:val="00D1317C"/>
    <w:rsid w:val="00D33BD4"/>
    <w:rsid w:val="00D357CF"/>
    <w:rsid w:val="00D400D9"/>
    <w:rsid w:val="00D41DCE"/>
    <w:rsid w:val="00D45C3C"/>
    <w:rsid w:val="00D64775"/>
    <w:rsid w:val="00D76677"/>
    <w:rsid w:val="00D93447"/>
    <w:rsid w:val="00DA7419"/>
    <w:rsid w:val="00DC2214"/>
    <w:rsid w:val="00DD1186"/>
    <w:rsid w:val="00DE0419"/>
    <w:rsid w:val="00DE32ED"/>
    <w:rsid w:val="00DF0312"/>
    <w:rsid w:val="00E035F6"/>
    <w:rsid w:val="00E362AB"/>
    <w:rsid w:val="00E42DCB"/>
    <w:rsid w:val="00E452E8"/>
    <w:rsid w:val="00E467D9"/>
    <w:rsid w:val="00E5470A"/>
    <w:rsid w:val="00E65202"/>
    <w:rsid w:val="00E678D2"/>
    <w:rsid w:val="00E711C2"/>
    <w:rsid w:val="00E71FF2"/>
    <w:rsid w:val="00E71FF8"/>
    <w:rsid w:val="00E843D5"/>
    <w:rsid w:val="00E8632C"/>
    <w:rsid w:val="00E96EBA"/>
    <w:rsid w:val="00EB2DE5"/>
    <w:rsid w:val="00EB6E23"/>
    <w:rsid w:val="00ED066E"/>
    <w:rsid w:val="00EF1187"/>
    <w:rsid w:val="00EF2AFC"/>
    <w:rsid w:val="00EF2CE4"/>
    <w:rsid w:val="00F126B7"/>
    <w:rsid w:val="00F21AA2"/>
    <w:rsid w:val="00F30F09"/>
    <w:rsid w:val="00F3314C"/>
    <w:rsid w:val="00F714AB"/>
    <w:rsid w:val="00F9570F"/>
    <w:rsid w:val="00FB4361"/>
    <w:rsid w:val="00FC0CD9"/>
    <w:rsid w:val="00FE047E"/>
    <w:rsid w:val="00FE4A6A"/>
    <w:rsid w:val="00FF20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D106BA"/>
  <w15:docId w15:val="{FAF79CED-6000-4E29-B05F-74538115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8" w:unhideWhenUsed="1" w:qFormat="1"/>
    <w:lsdException w:name="heading 3" w:semiHidden="1" w:uiPriority="8"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7" w:unhideWhenUsed="1"/>
    <w:lsdException w:name="toc 2" w:semiHidden="1" w:uiPriority="17" w:unhideWhenUsed="1"/>
    <w:lsdException w:name="toc 3" w:semiHidden="1" w:uiPriority="17" w:unhideWhenUsed="1"/>
    <w:lsdException w:name="toc 4" w:semiHidden="1" w:uiPriority="17"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6"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39" w:unhideWhenUsed="1"/>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1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C4"/>
    <w:pPr>
      <w:spacing w:after="0" w:line="280" w:lineRule="atLeast"/>
    </w:pPr>
    <w:rPr>
      <w:rFonts w:ascii="Arial" w:hAnsi="Arial"/>
      <w:sz w:val="20"/>
    </w:rPr>
  </w:style>
  <w:style w:type="paragraph" w:styleId="Heading1">
    <w:name w:val="heading 1"/>
    <w:basedOn w:val="Title"/>
    <w:next w:val="Normal"/>
    <w:link w:val="Heading1Char"/>
    <w:uiPriority w:val="8"/>
    <w:qFormat/>
    <w:rsid w:val="00E96EBA"/>
    <w:pPr>
      <w:outlineLvl w:val="0"/>
    </w:pPr>
  </w:style>
  <w:style w:type="paragraph" w:styleId="Heading2">
    <w:name w:val="heading 2"/>
    <w:basedOn w:val="Normal"/>
    <w:next w:val="Normal"/>
    <w:link w:val="Heading2Char"/>
    <w:uiPriority w:val="8"/>
    <w:unhideWhenUsed/>
    <w:qFormat/>
    <w:rsid w:val="00E96EBA"/>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Heading3">
    <w:name w:val="heading 3"/>
    <w:basedOn w:val="Normal"/>
    <w:next w:val="Normal"/>
    <w:link w:val="Heading3Char"/>
    <w:uiPriority w:val="8"/>
    <w:unhideWhenUsed/>
    <w:qFormat/>
    <w:rsid w:val="00E96EBA"/>
    <w:pPr>
      <w:keepNext/>
      <w:keepLines/>
      <w:spacing w:before="200"/>
      <w:outlineLvl w:val="2"/>
    </w:pPr>
    <w:rPr>
      <w:rFonts w:asciiTheme="majorHAnsi" w:eastAsiaTheme="majorEastAsia" w:hAnsiTheme="majorHAnsi" w:cstheme="majorBidi"/>
      <w:b/>
      <w:bCs/>
      <w:color w:val="0097A7" w:themeColor="accent1"/>
      <w:sz w:val="26"/>
    </w:rPr>
  </w:style>
  <w:style w:type="paragraph" w:styleId="Heading4">
    <w:name w:val="heading 4"/>
    <w:basedOn w:val="Normal"/>
    <w:next w:val="Normal"/>
    <w:link w:val="Heading4Char"/>
    <w:uiPriority w:val="8"/>
    <w:unhideWhenUsed/>
    <w:qFormat/>
    <w:rsid w:val="00E96EBA"/>
    <w:pPr>
      <w:keepNext/>
      <w:keepLines/>
      <w:spacing w:before="40"/>
      <w:outlineLvl w:val="3"/>
    </w:pPr>
    <w:rPr>
      <w:rFonts w:asciiTheme="majorHAnsi" w:eastAsiaTheme="majorEastAsia" w:hAnsiTheme="majorHAnsi" w:cstheme="majorBidi"/>
      <w:b/>
      <w:iCs/>
      <w:color w:val="00707D" w:themeColor="accent1" w:themeShade="BF"/>
    </w:rPr>
  </w:style>
  <w:style w:type="paragraph" w:styleId="Heading5">
    <w:name w:val="heading 5"/>
    <w:basedOn w:val="Normal"/>
    <w:next w:val="Normal"/>
    <w:link w:val="Heading5Char"/>
    <w:uiPriority w:val="9"/>
    <w:unhideWhenUsed/>
    <w:qFormat/>
    <w:rsid w:val="00E96EBA"/>
    <w:pPr>
      <w:keepNext/>
      <w:keepLines/>
      <w:spacing w:before="40"/>
      <w:outlineLvl w:val="4"/>
    </w:pPr>
    <w:rPr>
      <w:rFonts w:asciiTheme="majorHAnsi" w:eastAsiaTheme="majorEastAsia" w:hAnsiTheme="majorHAnsi" w:cstheme="majorBidi"/>
      <w:i/>
      <w:color w:val="00707D" w:themeColor="accent1" w:themeShade="BF"/>
    </w:rPr>
  </w:style>
  <w:style w:type="paragraph" w:styleId="Heading6">
    <w:name w:val="heading 6"/>
    <w:basedOn w:val="Heading2"/>
    <w:next w:val="Normal"/>
    <w:link w:val="Heading6Char"/>
    <w:uiPriority w:val="9"/>
    <w:rsid w:val="00E71FF2"/>
    <w:pPr>
      <w:keepLines w:val="0"/>
      <w:tabs>
        <w:tab w:val="left" w:pos="709"/>
      </w:tabs>
      <w:overflowPunct w:val="0"/>
      <w:autoSpaceDE w:val="0"/>
      <w:autoSpaceDN w:val="0"/>
      <w:adjustRightInd w:val="0"/>
      <w:spacing w:before="0" w:after="300" w:line="312" w:lineRule="auto"/>
      <w:jc w:val="both"/>
      <w:textAlignment w:val="baseline"/>
      <w:outlineLvl w:val="5"/>
    </w:pPr>
    <w:rPr>
      <w:rFonts w:ascii="Century Schoolbook" w:eastAsia="Times New Roman" w:hAnsi="Century Schoolbook" w:cs="Times New Roman"/>
      <w:iCs/>
      <w:color w:val="auto"/>
      <w:sz w:val="20"/>
      <w:szCs w:val="22"/>
    </w:rPr>
  </w:style>
  <w:style w:type="paragraph" w:styleId="Heading7">
    <w:name w:val="heading 7"/>
    <w:basedOn w:val="Heading3"/>
    <w:next w:val="Normal"/>
    <w:link w:val="Heading7Char"/>
    <w:uiPriority w:val="9"/>
    <w:rsid w:val="00E71FF2"/>
    <w:pPr>
      <w:keepLines w:val="0"/>
      <w:tabs>
        <w:tab w:val="left" w:pos="851"/>
      </w:tabs>
      <w:overflowPunct w:val="0"/>
      <w:autoSpaceDE w:val="0"/>
      <w:autoSpaceDN w:val="0"/>
      <w:adjustRightInd w:val="0"/>
      <w:spacing w:before="0" w:after="300" w:line="312" w:lineRule="auto"/>
      <w:jc w:val="both"/>
      <w:textAlignment w:val="baseline"/>
      <w:outlineLvl w:val="6"/>
    </w:pPr>
    <w:rPr>
      <w:rFonts w:ascii="Century Schoolbook" w:eastAsia="Times New Roman" w:hAnsi="Century Schoolbook" w:cs="Times New Roman"/>
      <w:bCs w:val="0"/>
      <w:i/>
      <w:color w:val="auto"/>
      <w:sz w:val="20"/>
      <w:szCs w:val="24"/>
    </w:rPr>
  </w:style>
  <w:style w:type="paragraph" w:styleId="Heading8">
    <w:name w:val="heading 8"/>
    <w:basedOn w:val="Heading4"/>
    <w:next w:val="Normal"/>
    <w:link w:val="Heading8Char"/>
    <w:uiPriority w:val="9"/>
    <w:rsid w:val="00E71FF2"/>
    <w:pPr>
      <w:keepLines w:val="0"/>
      <w:tabs>
        <w:tab w:val="left" w:pos="992"/>
      </w:tabs>
      <w:overflowPunct w:val="0"/>
      <w:autoSpaceDE w:val="0"/>
      <w:autoSpaceDN w:val="0"/>
      <w:adjustRightInd w:val="0"/>
      <w:spacing w:before="0" w:after="300" w:line="312" w:lineRule="auto"/>
      <w:jc w:val="both"/>
      <w:textAlignment w:val="baseline"/>
      <w:outlineLvl w:val="7"/>
    </w:pPr>
    <w:rPr>
      <w:rFonts w:ascii="Century Schoolbook" w:eastAsia="Times New Roman" w:hAnsi="Century Schoolbook" w:cs="Times New Roman"/>
      <w:b w:val="0"/>
      <w:bCs/>
      <w:i/>
      <w:color w:val="auto"/>
      <w:szCs w:val="24"/>
    </w:rPr>
  </w:style>
  <w:style w:type="paragraph" w:styleId="Heading9">
    <w:name w:val="heading 9"/>
    <w:basedOn w:val="Normal"/>
    <w:next w:val="Normal"/>
    <w:link w:val="Heading9Char"/>
    <w:uiPriority w:val="10"/>
    <w:rsid w:val="00E71FF2"/>
    <w:pPr>
      <w:keepNext/>
      <w:overflowPunct w:val="0"/>
      <w:autoSpaceDE w:val="0"/>
      <w:autoSpaceDN w:val="0"/>
      <w:adjustRightInd w:val="0"/>
      <w:spacing w:after="300" w:line="312" w:lineRule="auto"/>
      <w:textAlignment w:val="baseline"/>
      <w:outlineLvl w:val="8"/>
    </w:pPr>
    <w:rPr>
      <w:rFonts w:ascii="Century Schoolbook" w:eastAsia="Times New Roman" w:hAnsi="Century Schoolbook" w:cs="Arial"/>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unhideWhenUsed/>
    <w:rsid w:val="008969C1"/>
    <w:pPr>
      <w:tabs>
        <w:tab w:val="center" w:pos="4819"/>
        <w:tab w:val="right" w:pos="9638"/>
      </w:tabs>
      <w:spacing w:line="240" w:lineRule="auto"/>
    </w:pPr>
  </w:style>
  <w:style w:type="character" w:customStyle="1" w:styleId="HeaderChar">
    <w:name w:val="Header Char"/>
    <w:basedOn w:val="DefaultParagraphFont"/>
    <w:link w:val="Header"/>
    <w:uiPriority w:val="21"/>
    <w:rsid w:val="008969C1"/>
  </w:style>
  <w:style w:type="paragraph" w:styleId="Footer">
    <w:name w:val="footer"/>
    <w:basedOn w:val="Normal"/>
    <w:link w:val="FooterChar"/>
    <w:uiPriority w:val="99"/>
    <w:unhideWhenUsed/>
    <w:rsid w:val="008969C1"/>
    <w:pPr>
      <w:tabs>
        <w:tab w:val="center" w:pos="4819"/>
        <w:tab w:val="right" w:pos="9638"/>
      </w:tabs>
      <w:spacing w:line="240" w:lineRule="auto"/>
    </w:pPr>
  </w:style>
  <w:style w:type="character" w:customStyle="1" w:styleId="FooterChar">
    <w:name w:val="Footer Char"/>
    <w:basedOn w:val="DefaultParagraphFont"/>
    <w:link w:val="Footer"/>
    <w:uiPriority w:val="99"/>
    <w:rsid w:val="008969C1"/>
  </w:style>
  <w:style w:type="paragraph" w:styleId="BalloonText">
    <w:name w:val="Balloon Text"/>
    <w:basedOn w:val="Normal"/>
    <w:link w:val="BalloonTextChar"/>
    <w:uiPriority w:val="99"/>
    <w:semiHidden/>
    <w:unhideWhenUsed/>
    <w:rsid w:val="008969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9C1"/>
    <w:rPr>
      <w:rFonts w:ascii="Tahoma" w:hAnsi="Tahoma" w:cs="Tahoma"/>
      <w:sz w:val="16"/>
      <w:szCs w:val="16"/>
    </w:rPr>
  </w:style>
  <w:style w:type="table" w:styleId="TableGrid">
    <w:name w:val="Table Grid"/>
    <w:basedOn w:val="Table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4885"/>
    <w:rPr>
      <w:color w:val="4BB3C4" w:themeColor="hyperlink"/>
      <w:u w:val="single"/>
    </w:rPr>
  </w:style>
  <w:style w:type="character" w:customStyle="1" w:styleId="Heading2Char">
    <w:name w:val="Heading 2 Char"/>
    <w:basedOn w:val="DefaultParagraphFont"/>
    <w:link w:val="Heading2"/>
    <w:uiPriority w:val="8"/>
    <w:rsid w:val="00E96EBA"/>
    <w:rPr>
      <w:rFonts w:asciiTheme="majorHAnsi" w:eastAsiaTheme="majorEastAsia" w:hAnsiTheme="majorHAnsi" w:cstheme="majorBidi"/>
      <w:b/>
      <w:bCs/>
      <w:color w:val="004B53" w:themeColor="text2"/>
      <w:sz w:val="28"/>
      <w:szCs w:val="26"/>
    </w:rPr>
  </w:style>
  <w:style w:type="character" w:customStyle="1" w:styleId="Heading3Char">
    <w:name w:val="Heading 3 Char"/>
    <w:basedOn w:val="DefaultParagraphFont"/>
    <w:link w:val="Heading3"/>
    <w:uiPriority w:val="8"/>
    <w:rsid w:val="00E96EBA"/>
    <w:rPr>
      <w:rFonts w:asciiTheme="majorHAnsi" w:eastAsiaTheme="majorEastAsia" w:hAnsiTheme="majorHAnsi" w:cstheme="majorBidi"/>
      <w:b/>
      <w:bCs/>
      <w:color w:val="0097A7" w:themeColor="accent1"/>
      <w:sz w:val="26"/>
    </w:rPr>
  </w:style>
  <w:style w:type="character" w:customStyle="1" w:styleId="Heading1Char">
    <w:name w:val="Heading 1 Char"/>
    <w:basedOn w:val="DefaultParagraphFont"/>
    <w:link w:val="Heading1"/>
    <w:uiPriority w:val="8"/>
    <w:rsid w:val="00E96EBA"/>
    <w:rPr>
      <w:rFonts w:asciiTheme="majorHAnsi" w:eastAsiaTheme="majorEastAsia" w:hAnsiTheme="majorHAnsi" w:cstheme="majorBidi"/>
      <w:b/>
      <w:color w:val="0097A7" w:themeColor="accent1"/>
      <w:sz w:val="26"/>
      <w:szCs w:val="56"/>
    </w:rPr>
  </w:style>
  <w:style w:type="paragraph" w:styleId="Title">
    <w:name w:val="Title"/>
    <w:basedOn w:val="Normal"/>
    <w:next w:val="Normal"/>
    <w:link w:val="TitleChar"/>
    <w:autoRedefine/>
    <w:uiPriority w:val="11"/>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leChar">
    <w:name w:val="Title Char"/>
    <w:basedOn w:val="DefaultParagraphFont"/>
    <w:link w:val="Title"/>
    <w:uiPriority w:val="11"/>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DefaultParagraphFont"/>
    <w:link w:val="Normalfed"/>
    <w:rsid w:val="00EB6E23"/>
    <w:rPr>
      <w:rFonts w:ascii="Arial" w:hAnsi="Arial" w:cs="Arial"/>
      <w:b/>
      <w:iCs/>
      <w:sz w:val="20"/>
      <w:szCs w:val="20"/>
    </w:rPr>
  </w:style>
  <w:style w:type="character" w:customStyle="1" w:styleId="Heading4Char">
    <w:name w:val="Heading 4 Char"/>
    <w:basedOn w:val="DefaultParagraphFont"/>
    <w:link w:val="Heading4"/>
    <w:uiPriority w:val="8"/>
    <w:rsid w:val="00E96EBA"/>
    <w:rPr>
      <w:rFonts w:asciiTheme="majorHAnsi" w:eastAsiaTheme="majorEastAsia" w:hAnsiTheme="majorHAnsi" w:cstheme="majorBidi"/>
      <w:b/>
      <w:iCs/>
      <w:color w:val="00707D" w:themeColor="accent1" w:themeShade="BF"/>
      <w:sz w:val="20"/>
    </w:rPr>
  </w:style>
  <w:style w:type="character" w:customStyle="1" w:styleId="Heading5Char">
    <w:name w:val="Heading 5 Char"/>
    <w:basedOn w:val="DefaultParagraphFont"/>
    <w:link w:val="Heading5"/>
    <w:uiPriority w:val="9"/>
    <w:rsid w:val="00E96EBA"/>
    <w:rPr>
      <w:rFonts w:asciiTheme="majorHAnsi" w:eastAsiaTheme="majorEastAsia" w:hAnsiTheme="majorHAnsi" w:cstheme="majorBidi"/>
      <w:i/>
      <w:color w:val="00707D" w:themeColor="accent1" w:themeShade="BF"/>
      <w:sz w:val="20"/>
    </w:rPr>
  </w:style>
  <w:style w:type="paragraph" w:styleId="NoSpacing">
    <w:name w:val="No Spacing"/>
    <w:uiPriority w:val="99"/>
    <w:qFormat/>
    <w:rsid w:val="000102B5"/>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0102B5"/>
    <w:rPr>
      <w:sz w:val="16"/>
      <w:szCs w:val="16"/>
    </w:rPr>
  </w:style>
  <w:style w:type="paragraph" w:styleId="CommentText">
    <w:name w:val="annotation text"/>
    <w:basedOn w:val="Normal"/>
    <w:link w:val="CommentTextChar"/>
    <w:uiPriority w:val="99"/>
    <w:unhideWhenUsed/>
    <w:rsid w:val="000102B5"/>
    <w:pPr>
      <w:spacing w:line="240" w:lineRule="auto"/>
    </w:pPr>
    <w:rPr>
      <w:szCs w:val="20"/>
    </w:rPr>
  </w:style>
  <w:style w:type="character" w:customStyle="1" w:styleId="CommentTextChar">
    <w:name w:val="Comment Text Char"/>
    <w:basedOn w:val="DefaultParagraphFont"/>
    <w:link w:val="CommentText"/>
    <w:uiPriority w:val="99"/>
    <w:rsid w:val="000102B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102B5"/>
    <w:rPr>
      <w:b/>
      <w:bCs/>
    </w:rPr>
  </w:style>
  <w:style w:type="character" w:customStyle="1" w:styleId="CommentSubjectChar">
    <w:name w:val="Comment Subject Char"/>
    <w:basedOn w:val="CommentTextChar"/>
    <w:link w:val="CommentSubject"/>
    <w:uiPriority w:val="99"/>
    <w:semiHidden/>
    <w:rsid w:val="000102B5"/>
    <w:rPr>
      <w:rFonts w:ascii="Arial" w:hAnsi="Arial"/>
      <w:b/>
      <w:bCs/>
      <w:sz w:val="20"/>
      <w:szCs w:val="20"/>
    </w:rPr>
  </w:style>
  <w:style w:type="paragraph" w:styleId="ListParagraph">
    <w:name w:val="List Paragraph"/>
    <w:basedOn w:val="Normal"/>
    <w:uiPriority w:val="99"/>
    <w:qFormat/>
    <w:rsid w:val="00D64775"/>
    <w:pPr>
      <w:ind w:left="720"/>
      <w:contextualSpacing/>
    </w:pPr>
  </w:style>
  <w:style w:type="paragraph" w:styleId="FootnoteText">
    <w:name w:val="footnote text"/>
    <w:basedOn w:val="Normal"/>
    <w:link w:val="FootnoteTextChar"/>
    <w:uiPriority w:val="21"/>
    <w:semiHidden/>
    <w:unhideWhenUsed/>
    <w:rsid w:val="00D64775"/>
    <w:pPr>
      <w:spacing w:line="240" w:lineRule="auto"/>
    </w:pPr>
    <w:rPr>
      <w:szCs w:val="20"/>
    </w:rPr>
  </w:style>
  <w:style w:type="character" w:customStyle="1" w:styleId="FootnoteTextChar">
    <w:name w:val="Footnote Text Char"/>
    <w:basedOn w:val="DefaultParagraphFont"/>
    <w:link w:val="FootnoteText"/>
    <w:uiPriority w:val="21"/>
    <w:semiHidden/>
    <w:rsid w:val="00D64775"/>
    <w:rPr>
      <w:rFonts w:ascii="Arial" w:hAnsi="Arial"/>
      <w:sz w:val="20"/>
      <w:szCs w:val="20"/>
    </w:rPr>
  </w:style>
  <w:style w:type="character" w:styleId="FootnoteReference">
    <w:name w:val="footnote reference"/>
    <w:basedOn w:val="DefaultParagraphFont"/>
    <w:uiPriority w:val="21"/>
    <w:semiHidden/>
    <w:unhideWhenUsed/>
    <w:rsid w:val="00D64775"/>
    <w:rPr>
      <w:vertAlign w:val="superscript"/>
    </w:rPr>
  </w:style>
  <w:style w:type="paragraph" w:customStyle="1" w:styleId="CM1">
    <w:name w:val="CM1"/>
    <w:basedOn w:val="Normal"/>
    <w:next w:val="Normal"/>
    <w:uiPriority w:val="99"/>
    <w:rsid w:val="00D64775"/>
    <w:pPr>
      <w:autoSpaceDE w:val="0"/>
      <w:autoSpaceDN w:val="0"/>
      <w:adjustRightInd w:val="0"/>
      <w:spacing w:line="240" w:lineRule="auto"/>
    </w:pPr>
    <w:rPr>
      <w:rFonts w:ascii="EU Albertina" w:hAnsi="EU Albertina"/>
      <w:sz w:val="24"/>
      <w:szCs w:val="24"/>
    </w:rPr>
  </w:style>
  <w:style w:type="table" w:styleId="TableGridLight">
    <w:name w:val="Grid Table Light"/>
    <w:basedOn w:val="TableNormal"/>
    <w:uiPriority w:val="40"/>
    <w:rsid w:val="007B14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rsid w:val="00E71FF2"/>
    <w:rPr>
      <w:rFonts w:ascii="Century Schoolbook" w:eastAsia="Times New Roman" w:hAnsi="Century Schoolbook" w:cs="Times New Roman"/>
      <w:b/>
      <w:bCs/>
      <w:iCs/>
      <w:sz w:val="20"/>
    </w:rPr>
  </w:style>
  <w:style w:type="character" w:customStyle="1" w:styleId="Heading7Char">
    <w:name w:val="Heading 7 Char"/>
    <w:basedOn w:val="DefaultParagraphFont"/>
    <w:link w:val="Heading7"/>
    <w:uiPriority w:val="9"/>
    <w:rsid w:val="00E71FF2"/>
    <w:rPr>
      <w:rFonts w:ascii="Century Schoolbook" w:eastAsia="Times New Roman" w:hAnsi="Century Schoolbook" w:cs="Times New Roman"/>
      <w:b/>
      <w:i/>
      <w:sz w:val="20"/>
      <w:szCs w:val="24"/>
    </w:rPr>
  </w:style>
  <w:style w:type="character" w:customStyle="1" w:styleId="Heading8Char">
    <w:name w:val="Heading 8 Char"/>
    <w:basedOn w:val="DefaultParagraphFont"/>
    <w:link w:val="Heading8"/>
    <w:uiPriority w:val="9"/>
    <w:rsid w:val="00E71FF2"/>
    <w:rPr>
      <w:rFonts w:ascii="Century Schoolbook" w:eastAsia="Times New Roman" w:hAnsi="Century Schoolbook" w:cs="Times New Roman"/>
      <w:bCs/>
      <w:i/>
      <w:iCs/>
      <w:sz w:val="20"/>
      <w:szCs w:val="24"/>
    </w:rPr>
  </w:style>
  <w:style w:type="character" w:customStyle="1" w:styleId="Heading9Char">
    <w:name w:val="Heading 9 Char"/>
    <w:basedOn w:val="DefaultParagraphFont"/>
    <w:link w:val="Heading9"/>
    <w:uiPriority w:val="10"/>
    <w:rsid w:val="00E71FF2"/>
    <w:rPr>
      <w:rFonts w:ascii="Century Schoolbook" w:eastAsia="Times New Roman" w:hAnsi="Century Schoolbook" w:cs="Arial"/>
      <w:b/>
      <w:bCs/>
      <w:sz w:val="30"/>
      <w:szCs w:val="28"/>
    </w:rPr>
  </w:style>
  <w:style w:type="paragraph" w:styleId="Subtitle">
    <w:name w:val="Subtitle"/>
    <w:basedOn w:val="Normal"/>
    <w:next w:val="Normal"/>
    <w:link w:val="SubtitleChar"/>
    <w:uiPriority w:val="19"/>
    <w:rsid w:val="00E71FF2"/>
    <w:pPr>
      <w:numPr>
        <w:ilvl w:val="1"/>
      </w:numPr>
      <w:spacing w:before="400" w:after="400" w:line="400" w:lineRule="atLeast"/>
      <w:contextualSpacing/>
      <w:jc w:val="both"/>
    </w:pPr>
    <w:rPr>
      <w:rFonts w:ascii="Century Schoolbook" w:eastAsiaTheme="majorEastAsia" w:hAnsi="Century Schoolbook" w:cstheme="majorBidi"/>
      <w:b/>
      <w:iCs/>
      <w:sz w:val="36"/>
      <w:szCs w:val="24"/>
    </w:rPr>
  </w:style>
  <w:style w:type="character" w:customStyle="1" w:styleId="SubtitleChar">
    <w:name w:val="Subtitle Char"/>
    <w:basedOn w:val="DefaultParagraphFont"/>
    <w:link w:val="Subtitle"/>
    <w:uiPriority w:val="19"/>
    <w:rsid w:val="00E71FF2"/>
    <w:rPr>
      <w:rFonts w:ascii="Century Schoolbook" w:eastAsiaTheme="majorEastAsia" w:hAnsi="Century Schoolbook" w:cstheme="majorBidi"/>
      <w:b/>
      <w:iCs/>
      <w:sz w:val="36"/>
      <w:szCs w:val="24"/>
    </w:rPr>
  </w:style>
  <w:style w:type="character" w:styleId="SubtleEmphasis">
    <w:name w:val="Subtle Emphasis"/>
    <w:basedOn w:val="DefaultParagraphFont"/>
    <w:uiPriority w:val="99"/>
    <w:qFormat/>
    <w:rsid w:val="00E71FF2"/>
    <w:rPr>
      <w:i/>
      <w:iCs/>
      <w:color w:val="808080" w:themeColor="text1" w:themeTint="7F"/>
      <w:lang w:val="da-DK"/>
    </w:rPr>
  </w:style>
  <w:style w:type="character" w:styleId="IntenseEmphasis">
    <w:name w:val="Intense Emphasis"/>
    <w:basedOn w:val="DefaultParagraphFont"/>
    <w:uiPriority w:val="19"/>
    <w:rsid w:val="00E71FF2"/>
    <w:rPr>
      <w:b/>
      <w:bCs/>
      <w:i/>
      <w:iCs/>
      <w:color w:val="auto"/>
      <w:lang w:val="da-DK"/>
    </w:rPr>
  </w:style>
  <w:style w:type="character" w:styleId="Strong">
    <w:name w:val="Strong"/>
    <w:basedOn w:val="DefaultParagraphFont"/>
    <w:uiPriority w:val="19"/>
    <w:rsid w:val="00E71FF2"/>
    <w:rPr>
      <w:b/>
      <w:bCs/>
      <w:lang w:val="da-DK"/>
    </w:rPr>
  </w:style>
  <w:style w:type="paragraph" w:styleId="IntenseQuote">
    <w:name w:val="Intense Quote"/>
    <w:basedOn w:val="Normal"/>
    <w:next w:val="Normal"/>
    <w:link w:val="IntenseQuoteChar"/>
    <w:uiPriority w:val="19"/>
    <w:rsid w:val="00E71FF2"/>
    <w:pPr>
      <w:spacing w:before="260" w:after="260" w:line="312" w:lineRule="auto"/>
      <w:ind w:left="851" w:right="851"/>
      <w:jc w:val="both"/>
    </w:pPr>
    <w:rPr>
      <w:rFonts w:ascii="Century Schoolbook" w:hAnsi="Century Schoolbook" w:cs="Verdana"/>
      <w:b/>
      <w:bCs/>
      <w:i/>
      <w:iCs/>
      <w:szCs w:val="20"/>
    </w:rPr>
  </w:style>
  <w:style w:type="character" w:customStyle="1" w:styleId="IntenseQuoteChar">
    <w:name w:val="Intense Quote Char"/>
    <w:basedOn w:val="DefaultParagraphFont"/>
    <w:link w:val="IntenseQuote"/>
    <w:uiPriority w:val="19"/>
    <w:rsid w:val="00E71FF2"/>
    <w:rPr>
      <w:rFonts w:ascii="Century Schoolbook" w:hAnsi="Century Schoolbook" w:cs="Verdana"/>
      <w:b/>
      <w:bCs/>
      <w:i/>
      <w:iCs/>
      <w:sz w:val="20"/>
      <w:szCs w:val="20"/>
    </w:rPr>
  </w:style>
  <w:style w:type="character" w:styleId="SubtleReference">
    <w:name w:val="Subtle Reference"/>
    <w:basedOn w:val="DefaultParagraphFont"/>
    <w:uiPriority w:val="99"/>
    <w:qFormat/>
    <w:rsid w:val="00E71FF2"/>
    <w:rPr>
      <w:caps w:val="0"/>
      <w:smallCaps w:val="0"/>
      <w:color w:val="auto"/>
      <w:u w:val="single"/>
      <w:lang w:val="da-DK"/>
    </w:rPr>
  </w:style>
  <w:style w:type="character" w:styleId="IntenseReference">
    <w:name w:val="Intense Reference"/>
    <w:basedOn w:val="DefaultParagraphFont"/>
    <w:uiPriority w:val="99"/>
    <w:qFormat/>
    <w:rsid w:val="00E71FF2"/>
    <w:rPr>
      <w:b/>
      <w:bCs/>
      <w:caps w:val="0"/>
      <w:smallCaps w:val="0"/>
      <w:color w:val="auto"/>
      <w:spacing w:val="5"/>
      <w:u w:val="single"/>
      <w:lang w:val="da-DK"/>
    </w:rPr>
  </w:style>
  <w:style w:type="paragraph" w:styleId="Caption">
    <w:name w:val="caption"/>
    <w:basedOn w:val="Normal"/>
    <w:next w:val="Normal"/>
    <w:uiPriority w:val="6"/>
    <w:semiHidden/>
    <w:rsid w:val="00E71FF2"/>
    <w:pPr>
      <w:spacing w:line="312" w:lineRule="auto"/>
      <w:jc w:val="both"/>
    </w:pPr>
    <w:rPr>
      <w:rFonts w:ascii="Century Schoolbook" w:hAnsi="Century Schoolbook" w:cs="Verdana"/>
      <w:b/>
      <w:bCs/>
      <w:sz w:val="16"/>
      <w:szCs w:val="20"/>
    </w:rPr>
  </w:style>
  <w:style w:type="paragraph" w:styleId="TOC1">
    <w:name w:val="toc 1"/>
    <w:basedOn w:val="Normal"/>
    <w:next w:val="Normal"/>
    <w:uiPriority w:val="17"/>
    <w:rsid w:val="00E71FF2"/>
    <w:pPr>
      <w:tabs>
        <w:tab w:val="right" w:pos="9633"/>
      </w:tabs>
      <w:overflowPunct w:val="0"/>
      <w:autoSpaceDE w:val="0"/>
      <w:autoSpaceDN w:val="0"/>
      <w:adjustRightInd w:val="0"/>
      <w:spacing w:line="348" w:lineRule="auto"/>
      <w:ind w:left="567" w:right="567" w:hanging="567"/>
      <w:textAlignment w:val="baseline"/>
    </w:pPr>
    <w:rPr>
      <w:rFonts w:ascii="Century Schoolbook" w:eastAsia="Times New Roman" w:hAnsi="Century Schoolbook" w:cs="Times New Roman"/>
      <w:bCs/>
      <w:caps/>
      <w:noProof/>
      <w:sz w:val="18"/>
      <w:szCs w:val="20"/>
    </w:rPr>
  </w:style>
  <w:style w:type="paragraph" w:styleId="TOC2">
    <w:name w:val="toc 2"/>
    <w:basedOn w:val="Normal"/>
    <w:next w:val="Normal"/>
    <w:uiPriority w:val="17"/>
    <w:rsid w:val="00E71FF2"/>
    <w:pPr>
      <w:tabs>
        <w:tab w:val="left" w:pos="1276"/>
        <w:tab w:val="right" w:pos="9633"/>
      </w:tabs>
      <w:spacing w:line="348" w:lineRule="auto"/>
      <w:ind w:left="1276" w:right="567" w:hanging="709"/>
    </w:pPr>
    <w:rPr>
      <w:rFonts w:ascii="Century Schoolbook" w:hAnsi="Century Schoolbook" w:cs="Verdana"/>
      <w:sz w:val="18"/>
      <w:szCs w:val="18"/>
    </w:rPr>
  </w:style>
  <w:style w:type="paragraph" w:styleId="TOC3">
    <w:name w:val="toc 3"/>
    <w:basedOn w:val="Normal"/>
    <w:next w:val="Normal"/>
    <w:uiPriority w:val="17"/>
    <w:rsid w:val="00E71FF2"/>
    <w:pPr>
      <w:tabs>
        <w:tab w:val="left" w:pos="2126"/>
        <w:tab w:val="right" w:pos="9633"/>
      </w:tabs>
      <w:overflowPunct w:val="0"/>
      <w:autoSpaceDE w:val="0"/>
      <w:autoSpaceDN w:val="0"/>
      <w:adjustRightInd w:val="0"/>
      <w:spacing w:line="348" w:lineRule="auto"/>
      <w:ind w:left="2127" w:right="567" w:hanging="851"/>
      <w:textAlignment w:val="baseline"/>
    </w:pPr>
    <w:rPr>
      <w:rFonts w:ascii="Century Schoolbook" w:eastAsia="Times New Roman" w:hAnsi="Century Schoolbook" w:cs="Times New Roman"/>
      <w:bCs/>
      <w:noProof/>
      <w:sz w:val="18"/>
      <w:szCs w:val="20"/>
    </w:rPr>
  </w:style>
  <w:style w:type="paragraph" w:styleId="TOC4">
    <w:name w:val="toc 4"/>
    <w:basedOn w:val="Normal"/>
    <w:next w:val="Normal"/>
    <w:uiPriority w:val="17"/>
    <w:rsid w:val="00E71FF2"/>
    <w:pPr>
      <w:tabs>
        <w:tab w:val="left" w:pos="3119"/>
        <w:tab w:val="right" w:pos="9633"/>
      </w:tabs>
      <w:overflowPunct w:val="0"/>
      <w:autoSpaceDE w:val="0"/>
      <w:autoSpaceDN w:val="0"/>
      <w:adjustRightInd w:val="0"/>
      <w:spacing w:line="348" w:lineRule="auto"/>
      <w:ind w:left="3118" w:right="567" w:hanging="992"/>
      <w:textAlignment w:val="baseline"/>
    </w:pPr>
    <w:rPr>
      <w:rFonts w:ascii="Century Schoolbook" w:eastAsia="Times New Roman" w:hAnsi="Century Schoolbook" w:cs="Times New Roman"/>
      <w:bCs/>
      <w:noProof/>
      <w:sz w:val="18"/>
      <w:szCs w:val="20"/>
    </w:rPr>
  </w:style>
  <w:style w:type="paragraph" w:styleId="TOC5">
    <w:name w:val="toc 5"/>
    <w:basedOn w:val="Normal"/>
    <w:next w:val="Normal"/>
    <w:uiPriority w:val="39"/>
    <w:semiHidden/>
    <w:rsid w:val="00E71FF2"/>
    <w:pPr>
      <w:overflowPunct w:val="0"/>
      <w:autoSpaceDE w:val="0"/>
      <w:autoSpaceDN w:val="0"/>
      <w:adjustRightInd w:val="0"/>
      <w:spacing w:line="372" w:lineRule="auto"/>
      <w:ind w:left="720"/>
      <w:textAlignment w:val="baseline"/>
    </w:pPr>
    <w:rPr>
      <w:rFonts w:ascii="Century Schoolbook" w:eastAsia="Times New Roman" w:hAnsi="Century Schoolbook" w:cs="Times New Roman"/>
      <w:bCs/>
      <w:sz w:val="18"/>
      <w:szCs w:val="20"/>
    </w:rPr>
  </w:style>
  <w:style w:type="paragraph" w:styleId="TOC6">
    <w:name w:val="toc 6"/>
    <w:basedOn w:val="Normal"/>
    <w:next w:val="Normal"/>
    <w:uiPriority w:val="39"/>
    <w:semiHidden/>
    <w:rsid w:val="00E71FF2"/>
    <w:pPr>
      <w:overflowPunct w:val="0"/>
      <w:autoSpaceDE w:val="0"/>
      <w:autoSpaceDN w:val="0"/>
      <w:adjustRightInd w:val="0"/>
      <w:spacing w:line="372" w:lineRule="auto"/>
      <w:ind w:left="900"/>
      <w:textAlignment w:val="baseline"/>
    </w:pPr>
    <w:rPr>
      <w:rFonts w:ascii="Century Schoolbook" w:eastAsia="Times New Roman" w:hAnsi="Century Schoolbook" w:cs="Times New Roman"/>
      <w:bCs/>
      <w:sz w:val="18"/>
      <w:szCs w:val="20"/>
    </w:rPr>
  </w:style>
  <w:style w:type="paragraph" w:styleId="TOC7">
    <w:name w:val="toc 7"/>
    <w:basedOn w:val="Normal"/>
    <w:next w:val="Normal"/>
    <w:uiPriority w:val="39"/>
    <w:semiHidden/>
    <w:rsid w:val="00E71FF2"/>
    <w:pPr>
      <w:overflowPunct w:val="0"/>
      <w:autoSpaceDE w:val="0"/>
      <w:autoSpaceDN w:val="0"/>
      <w:adjustRightInd w:val="0"/>
      <w:spacing w:line="372" w:lineRule="auto"/>
      <w:ind w:left="1080"/>
      <w:textAlignment w:val="baseline"/>
    </w:pPr>
    <w:rPr>
      <w:rFonts w:ascii="Century Schoolbook" w:eastAsia="Times New Roman" w:hAnsi="Century Schoolbook" w:cs="Times New Roman"/>
      <w:bCs/>
      <w:sz w:val="18"/>
      <w:szCs w:val="20"/>
    </w:rPr>
  </w:style>
  <w:style w:type="paragraph" w:styleId="TOC8">
    <w:name w:val="toc 8"/>
    <w:basedOn w:val="Normal"/>
    <w:next w:val="Normal"/>
    <w:uiPriority w:val="39"/>
    <w:semiHidden/>
    <w:rsid w:val="00E71FF2"/>
    <w:pPr>
      <w:overflowPunct w:val="0"/>
      <w:autoSpaceDE w:val="0"/>
      <w:autoSpaceDN w:val="0"/>
      <w:adjustRightInd w:val="0"/>
      <w:spacing w:line="372" w:lineRule="auto"/>
      <w:ind w:left="1260"/>
      <w:textAlignment w:val="baseline"/>
    </w:pPr>
    <w:rPr>
      <w:rFonts w:ascii="Century Schoolbook" w:eastAsia="Times New Roman" w:hAnsi="Century Schoolbook" w:cs="Times New Roman"/>
      <w:bCs/>
      <w:sz w:val="18"/>
      <w:szCs w:val="20"/>
    </w:rPr>
  </w:style>
  <w:style w:type="paragraph" w:styleId="TOC9">
    <w:name w:val="toc 9"/>
    <w:basedOn w:val="Normal"/>
    <w:next w:val="Normal"/>
    <w:uiPriority w:val="39"/>
    <w:semiHidden/>
    <w:rsid w:val="00E71FF2"/>
    <w:pPr>
      <w:overflowPunct w:val="0"/>
      <w:autoSpaceDE w:val="0"/>
      <w:autoSpaceDN w:val="0"/>
      <w:adjustRightInd w:val="0"/>
      <w:spacing w:line="372" w:lineRule="auto"/>
      <w:ind w:left="1440"/>
      <w:textAlignment w:val="baseline"/>
    </w:pPr>
    <w:rPr>
      <w:rFonts w:ascii="Century Schoolbook" w:eastAsia="Times New Roman" w:hAnsi="Century Schoolbook" w:cs="Times New Roman"/>
      <w:bCs/>
      <w:sz w:val="18"/>
      <w:szCs w:val="20"/>
    </w:rPr>
  </w:style>
  <w:style w:type="paragraph" w:styleId="TOCHeading">
    <w:name w:val="TOC Heading"/>
    <w:next w:val="Normal"/>
    <w:uiPriority w:val="16"/>
    <w:rsid w:val="00E71FF2"/>
    <w:pPr>
      <w:keepLines/>
      <w:spacing w:after="0" w:line="312" w:lineRule="auto"/>
      <w:jc w:val="both"/>
    </w:pPr>
    <w:rPr>
      <w:rFonts w:ascii="Century Schoolbook" w:eastAsiaTheme="majorEastAsia" w:hAnsi="Century Schoolbook" w:cstheme="majorBidi"/>
      <w:sz w:val="32"/>
      <w:szCs w:val="32"/>
    </w:rPr>
  </w:style>
  <w:style w:type="paragraph" w:styleId="BlockText">
    <w:name w:val="Block Text"/>
    <w:basedOn w:val="Normal"/>
    <w:uiPriority w:val="99"/>
    <w:semiHidden/>
    <w:rsid w:val="00E71FF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line="312" w:lineRule="auto"/>
      <w:ind w:left="1151" w:right="1151"/>
      <w:jc w:val="both"/>
    </w:pPr>
    <w:rPr>
      <w:rFonts w:ascii="Century Schoolbook" w:eastAsiaTheme="minorEastAsia" w:hAnsi="Century Schoolbook" w:cs="Verdana"/>
      <w:i/>
      <w:iCs/>
      <w:szCs w:val="20"/>
    </w:rPr>
  </w:style>
  <w:style w:type="paragraph" w:styleId="EndnoteText">
    <w:name w:val="endnote text"/>
    <w:basedOn w:val="Normal"/>
    <w:link w:val="EndnoteTextChar"/>
    <w:uiPriority w:val="21"/>
    <w:semiHidden/>
    <w:rsid w:val="00E71FF2"/>
    <w:pPr>
      <w:spacing w:after="120" w:line="240" w:lineRule="atLeast"/>
      <w:ind w:left="85" w:hanging="85"/>
      <w:jc w:val="both"/>
    </w:pPr>
    <w:rPr>
      <w:rFonts w:ascii="Century Schoolbook" w:hAnsi="Century Schoolbook" w:cs="Verdana"/>
      <w:sz w:val="16"/>
      <w:szCs w:val="20"/>
    </w:rPr>
  </w:style>
  <w:style w:type="character" w:customStyle="1" w:styleId="EndnoteTextChar">
    <w:name w:val="Endnote Text Char"/>
    <w:basedOn w:val="DefaultParagraphFont"/>
    <w:link w:val="EndnoteText"/>
    <w:uiPriority w:val="21"/>
    <w:semiHidden/>
    <w:rsid w:val="00E71FF2"/>
    <w:rPr>
      <w:rFonts w:ascii="Century Schoolbook" w:hAnsi="Century Schoolbook" w:cs="Verdana"/>
      <w:sz w:val="16"/>
      <w:szCs w:val="20"/>
    </w:rPr>
  </w:style>
  <w:style w:type="character" w:styleId="EndnoteReference">
    <w:name w:val="endnote reference"/>
    <w:basedOn w:val="DefaultParagraphFont"/>
    <w:uiPriority w:val="21"/>
    <w:semiHidden/>
    <w:rsid w:val="00E71FF2"/>
    <w:rPr>
      <w:vertAlign w:val="superscript"/>
      <w:lang w:val="da-DK"/>
    </w:rPr>
  </w:style>
  <w:style w:type="paragraph" w:styleId="ListBullet">
    <w:name w:val="List Bullet"/>
    <w:basedOn w:val="Normal"/>
    <w:uiPriority w:val="2"/>
    <w:semiHidden/>
    <w:rsid w:val="00E71FF2"/>
    <w:pPr>
      <w:numPr>
        <w:numId w:val="13"/>
      </w:numPr>
      <w:overflowPunct w:val="0"/>
      <w:autoSpaceDE w:val="0"/>
      <w:autoSpaceDN w:val="0"/>
      <w:adjustRightInd w:val="0"/>
      <w:spacing w:line="312" w:lineRule="auto"/>
      <w:jc w:val="both"/>
      <w:textAlignment w:val="baseline"/>
    </w:pPr>
    <w:rPr>
      <w:rFonts w:ascii="Century Schoolbook" w:eastAsia="Times New Roman" w:hAnsi="Century Schoolbook" w:cs="Times New Roman"/>
      <w:bCs/>
      <w:szCs w:val="20"/>
    </w:rPr>
  </w:style>
  <w:style w:type="paragraph" w:styleId="ListNumber">
    <w:name w:val="List Number"/>
    <w:basedOn w:val="Normal"/>
    <w:uiPriority w:val="2"/>
    <w:rsid w:val="00E71FF2"/>
    <w:pPr>
      <w:numPr>
        <w:numId w:val="5"/>
      </w:numPr>
      <w:spacing w:before="300" w:after="300" w:line="312" w:lineRule="auto"/>
      <w:contextualSpacing/>
    </w:pPr>
    <w:rPr>
      <w:rFonts w:ascii="Century Schoolbook" w:hAnsi="Century Schoolbook" w:cs="Verdana"/>
      <w:szCs w:val="18"/>
    </w:rPr>
  </w:style>
  <w:style w:type="character" w:styleId="PageNumber">
    <w:name w:val="page number"/>
    <w:basedOn w:val="DefaultParagraphFont"/>
    <w:uiPriority w:val="21"/>
    <w:semiHidden/>
    <w:rsid w:val="00E71FF2"/>
    <w:rPr>
      <w:rFonts w:ascii="Arial" w:hAnsi="Arial"/>
      <w:spacing w:val="8"/>
      <w:sz w:val="12"/>
      <w:lang w:val="da-DK"/>
    </w:rPr>
  </w:style>
  <w:style w:type="paragraph" w:customStyle="1" w:styleId="Template">
    <w:name w:val="Template"/>
    <w:uiPriority w:val="8"/>
    <w:semiHidden/>
    <w:rsid w:val="00E71FF2"/>
    <w:pPr>
      <w:spacing w:after="0" w:line="372" w:lineRule="auto"/>
      <w:jc w:val="both"/>
    </w:pPr>
    <w:rPr>
      <w:rFonts w:ascii="Arial" w:hAnsi="Arial" w:cs="Verdana"/>
      <w:noProof/>
      <w:sz w:val="12"/>
      <w:szCs w:val="20"/>
    </w:rPr>
  </w:style>
  <w:style w:type="paragraph" w:customStyle="1" w:styleId="Template-Adresse">
    <w:name w:val="Template - Adresse"/>
    <w:basedOn w:val="Template"/>
    <w:uiPriority w:val="8"/>
    <w:semiHidden/>
    <w:rsid w:val="00E71FF2"/>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E71FF2"/>
    <w:pPr>
      <w:spacing w:before="260"/>
    </w:pPr>
    <w:rPr>
      <w:b/>
    </w:rPr>
  </w:style>
  <w:style w:type="paragraph" w:styleId="TOAHeading">
    <w:name w:val="toa heading"/>
    <w:basedOn w:val="Normal"/>
    <w:next w:val="Normal"/>
    <w:uiPriority w:val="39"/>
    <w:semiHidden/>
    <w:rsid w:val="00E71FF2"/>
    <w:pPr>
      <w:spacing w:after="520" w:line="360" w:lineRule="atLeast"/>
    </w:pPr>
    <w:rPr>
      <w:rFonts w:ascii="Century Schoolbook" w:eastAsiaTheme="majorEastAsia" w:hAnsi="Century Schoolbook" w:cstheme="majorBidi"/>
      <w:b/>
      <w:bCs/>
      <w:sz w:val="28"/>
      <w:szCs w:val="24"/>
    </w:rPr>
  </w:style>
  <w:style w:type="paragraph" w:styleId="TableofFigures">
    <w:name w:val="table of figures"/>
    <w:basedOn w:val="Normal"/>
    <w:next w:val="Normal"/>
    <w:uiPriority w:val="10"/>
    <w:semiHidden/>
    <w:rsid w:val="00E71FF2"/>
    <w:pPr>
      <w:spacing w:line="312" w:lineRule="auto"/>
      <w:ind w:right="567"/>
      <w:jc w:val="both"/>
    </w:pPr>
    <w:rPr>
      <w:rFonts w:ascii="Century Schoolbook" w:hAnsi="Century Schoolbook" w:cs="Verdana"/>
      <w:szCs w:val="20"/>
    </w:rPr>
  </w:style>
  <w:style w:type="paragraph" w:styleId="Signature">
    <w:name w:val="Signature"/>
    <w:basedOn w:val="Normal"/>
    <w:link w:val="SignatureChar"/>
    <w:uiPriority w:val="99"/>
    <w:semiHidden/>
    <w:rsid w:val="00E71FF2"/>
    <w:pPr>
      <w:spacing w:line="240" w:lineRule="auto"/>
      <w:ind w:left="4252"/>
      <w:jc w:val="both"/>
    </w:pPr>
    <w:rPr>
      <w:rFonts w:ascii="Century Schoolbook" w:hAnsi="Century Schoolbook" w:cs="Verdana"/>
      <w:szCs w:val="20"/>
    </w:rPr>
  </w:style>
  <w:style w:type="character" w:customStyle="1" w:styleId="SignatureChar">
    <w:name w:val="Signature Char"/>
    <w:basedOn w:val="DefaultParagraphFont"/>
    <w:link w:val="Signature"/>
    <w:uiPriority w:val="99"/>
    <w:semiHidden/>
    <w:rsid w:val="00E71FF2"/>
    <w:rPr>
      <w:rFonts w:ascii="Century Schoolbook" w:hAnsi="Century Schoolbook" w:cs="Verdana"/>
      <w:sz w:val="20"/>
      <w:szCs w:val="20"/>
    </w:rPr>
  </w:style>
  <w:style w:type="character" w:styleId="PlaceholderText">
    <w:name w:val="Placeholder Text"/>
    <w:basedOn w:val="DefaultParagraphFont"/>
    <w:uiPriority w:val="99"/>
    <w:semiHidden/>
    <w:rsid w:val="00E71FF2"/>
    <w:rPr>
      <w:color w:val="auto"/>
      <w:lang w:val="da-DK"/>
    </w:rPr>
  </w:style>
  <w:style w:type="paragraph" w:customStyle="1" w:styleId="Tabel">
    <w:name w:val="Tabel"/>
    <w:uiPriority w:val="4"/>
    <w:semiHidden/>
    <w:rsid w:val="00E71FF2"/>
    <w:pPr>
      <w:spacing w:before="40" w:after="40" w:line="240" w:lineRule="atLeast"/>
      <w:ind w:left="57" w:right="57"/>
      <w:jc w:val="both"/>
    </w:pPr>
    <w:rPr>
      <w:rFonts w:ascii="Century Schoolbook" w:hAnsi="Century Schoolbook" w:cs="Verdana"/>
      <w:sz w:val="16"/>
      <w:szCs w:val="20"/>
    </w:rPr>
  </w:style>
  <w:style w:type="paragraph" w:customStyle="1" w:styleId="Tabel-Tekst">
    <w:name w:val="Tabel - Tekst"/>
    <w:basedOn w:val="Tabel"/>
    <w:uiPriority w:val="4"/>
    <w:semiHidden/>
    <w:rsid w:val="00E71FF2"/>
  </w:style>
  <w:style w:type="paragraph" w:customStyle="1" w:styleId="Tabel-TekstTotal">
    <w:name w:val="Tabel - Tekst Total"/>
    <w:basedOn w:val="Tabel-Tekst"/>
    <w:uiPriority w:val="4"/>
    <w:semiHidden/>
    <w:rsid w:val="00E71FF2"/>
    <w:rPr>
      <w:b/>
    </w:rPr>
  </w:style>
  <w:style w:type="paragraph" w:customStyle="1" w:styleId="Tabel-Tal">
    <w:name w:val="Tabel - Tal"/>
    <w:basedOn w:val="Tabel"/>
    <w:uiPriority w:val="4"/>
    <w:semiHidden/>
    <w:rsid w:val="00E71FF2"/>
    <w:pPr>
      <w:jc w:val="right"/>
    </w:pPr>
  </w:style>
  <w:style w:type="paragraph" w:customStyle="1" w:styleId="Tabel-TalTotal">
    <w:name w:val="Tabel - Tal Total"/>
    <w:basedOn w:val="Tabel-Tal"/>
    <w:uiPriority w:val="4"/>
    <w:semiHidden/>
    <w:rsid w:val="00E71FF2"/>
    <w:rPr>
      <w:b/>
    </w:rPr>
  </w:style>
  <w:style w:type="paragraph" w:styleId="Quote">
    <w:name w:val="Quote"/>
    <w:basedOn w:val="Normal"/>
    <w:next w:val="Normal"/>
    <w:link w:val="QuoteChar"/>
    <w:uiPriority w:val="1"/>
    <w:rsid w:val="00E71FF2"/>
    <w:pPr>
      <w:spacing w:after="300" w:line="312" w:lineRule="auto"/>
      <w:ind w:left="992"/>
      <w:contextualSpacing/>
      <w:jc w:val="both"/>
    </w:pPr>
    <w:rPr>
      <w:rFonts w:ascii="Century Schoolbook" w:hAnsi="Century Schoolbook" w:cs="Verdana"/>
      <w:i/>
      <w:iCs/>
      <w:color w:val="000000" w:themeColor="text1"/>
      <w:szCs w:val="20"/>
    </w:rPr>
  </w:style>
  <w:style w:type="character" w:customStyle="1" w:styleId="QuoteChar">
    <w:name w:val="Quote Char"/>
    <w:basedOn w:val="DefaultParagraphFont"/>
    <w:link w:val="Quote"/>
    <w:uiPriority w:val="1"/>
    <w:rsid w:val="00E71FF2"/>
    <w:rPr>
      <w:rFonts w:ascii="Century Schoolbook" w:hAnsi="Century Schoolbook" w:cs="Verdana"/>
      <w:i/>
      <w:iCs/>
      <w:color w:val="000000" w:themeColor="text1"/>
      <w:sz w:val="20"/>
      <w:szCs w:val="20"/>
    </w:rPr>
  </w:style>
  <w:style w:type="character" w:styleId="BookTitle">
    <w:name w:val="Book Title"/>
    <w:basedOn w:val="DefaultParagraphFont"/>
    <w:uiPriority w:val="99"/>
    <w:qFormat/>
    <w:rsid w:val="00E71FF2"/>
    <w:rPr>
      <w:b/>
      <w:bCs/>
      <w:caps w:val="0"/>
      <w:smallCaps w:val="0"/>
      <w:spacing w:val="5"/>
      <w:lang w:val="da-DK"/>
    </w:rPr>
  </w:style>
  <w:style w:type="paragraph" w:styleId="TableofAuthorities">
    <w:name w:val="table of authorities"/>
    <w:basedOn w:val="Normal"/>
    <w:next w:val="Normal"/>
    <w:uiPriority w:val="10"/>
    <w:semiHidden/>
    <w:rsid w:val="00E71FF2"/>
    <w:pPr>
      <w:spacing w:line="312" w:lineRule="auto"/>
      <w:ind w:right="567"/>
      <w:jc w:val="both"/>
    </w:pPr>
    <w:rPr>
      <w:rFonts w:ascii="Century Schoolbook" w:hAnsi="Century Schoolbook" w:cs="Verdana"/>
      <w:szCs w:val="20"/>
    </w:rPr>
  </w:style>
  <w:style w:type="paragraph" w:styleId="NormalIndent">
    <w:name w:val="Normal Indent"/>
    <w:basedOn w:val="Normal"/>
    <w:semiHidden/>
    <w:rsid w:val="00E71FF2"/>
    <w:pPr>
      <w:spacing w:line="312" w:lineRule="auto"/>
      <w:ind w:left="1134"/>
      <w:jc w:val="both"/>
    </w:pPr>
    <w:rPr>
      <w:rFonts w:ascii="Century Schoolbook" w:hAnsi="Century Schoolbook" w:cs="Verdana"/>
      <w:szCs w:val="20"/>
    </w:rPr>
  </w:style>
  <w:style w:type="paragraph" w:customStyle="1" w:styleId="DocumentName">
    <w:name w:val="Document Name"/>
    <w:basedOn w:val="Title"/>
    <w:uiPriority w:val="8"/>
    <w:semiHidden/>
    <w:rsid w:val="00E71FF2"/>
    <w:pPr>
      <w:keepNext/>
      <w:overflowPunct w:val="0"/>
      <w:autoSpaceDE w:val="0"/>
      <w:autoSpaceDN w:val="0"/>
      <w:adjustRightInd w:val="0"/>
      <w:spacing w:after="240" w:line="360" w:lineRule="atLeast"/>
      <w:contextualSpacing w:val="0"/>
      <w:textAlignment w:val="baseline"/>
    </w:pPr>
    <w:rPr>
      <w:rFonts w:ascii="Century Schoolbook" w:eastAsia="Times New Roman" w:hAnsi="Century Schoolbook" w:cs="Arial"/>
      <w:b w:val="0"/>
      <w:bCs/>
      <w:caps/>
      <w:color w:val="auto"/>
      <w:sz w:val="28"/>
      <w:szCs w:val="32"/>
    </w:rPr>
  </w:style>
  <w:style w:type="paragraph" w:customStyle="1" w:styleId="Template-Dato">
    <w:name w:val="Template - Dato"/>
    <w:basedOn w:val="Template"/>
    <w:uiPriority w:val="8"/>
    <w:semiHidden/>
    <w:rsid w:val="00E71FF2"/>
    <w:pPr>
      <w:spacing w:after="240" w:line="240" w:lineRule="auto"/>
      <w:ind w:right="-567"/>
      <w:contextualSpacing/>
      <w:jc w:val="right"/>
    </w:pPr>
    <w:rPr>
      <w:b/>
      <w:caps/>
      <w:spacing w:val="10"/>
      <w:sz w:val="14"/>
    </w:rPr>
  </w:style>
  <w:style w:type="table" w:customStyle="1" w:styleId="Blank">
    <w:name w:val="Blank"/>
    <w:basedOn w:val="TableNormal"/>
    <w:uiPriority w:val="99"/>
    <w:rsid w:val="00E71FF2"/>
    <w:pPr>
      <w:spacing w:after="0" w:line="312" w:lineRule="auto"/>
      <w:jc w:val="both"/>
    </w:pPr>
    <w:rPr>
      <w:rFonts w:ascii="Century Schoolbook" w:hAnsi="Century Schoolbook" w:cs="Verdana"/>
      <w:sz w:val="20"/>
      <w:szCs w:val="20"/>
    </w:rPr>
    <w:tblPr>
      <w:tblCellMar>
        <w:left w:w="0" w:type="dxa"/>
        <w:right w:w="0" w:type="dxa"/>
      </w:tblCellMar>
    </w:tblPr>
  </w:style>
  <w:style w:type="paragraph" w:customStyle="1" w:styleId="Modtager">
    <w:name w:val="Modtager"/>
    <w:basedOn w:val="Normal"/>
    <w:uiPriority w:val="14"/>
    <w:rsid w:val="00E71FF2"/>
    <w:pPr>
      <w:spacing w:line="240" w:lineRule="auto"/>
    </w:pPr>
    <w:rPr>
      <w:rFonts w:ascii="Century Schoolbook" w:hAnsi="Century Schoolbook" w:cs="Verdana"/>
      <w:szCs w:val="20"/>
    </w:rPr>
  </w:style>
  <w:style w:type="paragraph" w:customStyle="1" w:styleId="Tabel-Overskrift">
    <w:name w:val="Tabel - Overskrift"/>
    <w:basedOn w:val="Tabel"/>
    <w:uiPriority w:val="4"/>
    <w:semiHidden/>
    <w:rsid w:val="00E71FF2"/>
    <w:rPr>
      <w:b/>
    </w:rPr>
  </w:style>
  <w:style w:type="paragraph" w:customStyle="1" w:styleId="Tabel-OverskriftHjre">
    <w:name w:val="Tabel - Overskrift Højre"/>
    <w:basedOn w:val="Tabel-Overskrift"/>
    <w:uiPriority w:val="4"/>
    <w:semiHidden/>
    <w:rsid w:val="00E71FF2"/>
    <w:pPr>
      <w:jc w:val="right"/>
    </w:pPr>
  </w:style>
  <w:style w:type="paragraph" w:customStyle="1" w:styleId="DocumentHeading">
    <w:name w:val="Document Heading"/>
    <w:basedOn w:val="Heading1"/>
    <w:next w:val="Normal"/>
    <w:uiPriority w:val="15"/>
    <w:rsid w:val="00E71FF2"/>
    <w:pPr>
      <w:keepNext/>
      <w:overflowPunct w:val="0"/>
      <w:autoSpaceDE w:val="0"/>
      <w:autoSpaceDN w:val="0"/>
      <w:adjustRightInd w:val="0"/>
      <w:spacing w:after="300" w:line="312" w:lineRule="auto"/>
      <w:contextualSpacing w:val="0"/>
      <w:textAlignment w:val="baseline"/>
    </w:pPr>
    <w:rPr>
      <w:rFonts w:ascii="Century Schoolbook" w:eastAsia="Times New Roman" w:hAnsi="Century Schoolbook" w:cs="Times New Roman"/>
      <w:bCs/>
      <w:color w:val="auto"/>
      <w:sz w:val="20"/>
      <w:szCs w:val="20"/>
    </w:rPr>
  </w:style>
  <w:style w:type="paragraph" w:customStyle="1" w:styleId="Template-Filsti">
    <w:name w:val="Template - Filsti"/>
    <w:basedOn w:val="Template"/>
    <w:uiPriority w:val="9"/>
    <w:semiHidden/>
    <w:rsid w:val="00E71FF2"/>
    <w:pPr>
      <w:spacing w:after="190"/>
      <w:ind w:left="7938"/>
      <w:contextualSpacing/>
      <w:jc w:val="right"/>
    </w:pPr>
  </w:style>
  <w:style w:type="character" w:customStyle="1" w:styleId="Ulstomtale1">
    <w:name w:val="Uløst omtale1"/>
    <w:basedOn w:val="DefaultParagraphFont"/>
    <w:uiPriority w:val="99"/>
    <w:semiHidden/>
    <w:unhideWhenUsed/>
    <w:rsid w:val="00E71FF2"/>
    <w:rPr>
      <w:color w:val="605E5C"/>
      <w:shd w:val="clear" w:color="auto" w:fill="E1DFDD"/>
      <w:lang w:val="da-DK"/>
    </w:rPr>
  </w:style>
  <w:style w:type="paragraph" w:customStyle="1" w:styleId="Template-Brugeroplysninger">
    <w:name w:val="Template - Brugeroplysninger"/>
    <w:basedOn w:val="Template"/>
    <w:uiPriority w:val="9"/>
    <w:semiHidden/>
    <w:rsid w:val="00E71FF2"/>
    <w:pPr>
      <w:spacing w:before="320" w:line="276" w:lineRule="auto"/>
      <w:ind w:right="-567"/>
      <w:contextualSpacing/>
      <w:jc w:val="right"/>
    </w:pPr>
    <w:rPr>
      <w:spacing w:val="10"/>
      <w:sz w:val="14"/>
    </w:rPr>
  </w:style>
  <w:style w:type="paragraph" w:customStyle="1" w:styleId="Template-Docinfo">
    <w:name w:val="Template - Doc info"/>
    <w:basedOn w:val="Header"/>
    <w:uiPriority w:val="9"/>
    <w:semiHidden/>
    <w:rsid w:val="00E71FF2"/>
    <w:pPr>
      <w:spacing w:after="240"/>
      <w:ind w:left="-567" w:right="-567"/>
      <w:contextualSpacing/>
      <w:jc w:val="right"/>
    </w:pPr>
    <w:rPr>
      <w:rFonts w:cs="Verdana"/>
      <w:caps/>
      <w:noProof/>
      <w:spacing w:val="10"/>
      <w:sz w:val="14"/>
      <w:szCs w:val="20"/>
    </w:rPr>
  </w:style>
  <w:style w:type="paragraph" w:customStyle="1" w:styleId="Flytning">
    <w:name w:val="Flytning"/>
    <w:basedOn w:val="Normal"/>
    <w:uiPriority w:val="29"/>
    <w:semiHidden/>
    <w:rsid w:val="00E71FF2"/>
    <w:pPr>
      <w:overflowPunct w:val="0"/>
      <w:autoSpaceDE w:val="0"/>
      <w:autoSpaceDN w:val="0"/>
      <w:adjustRightInd w:val="0"/>
      <w:spacing w:line="240" w:lineRule="auto"/>
      <w:jc w:val="right"/>
      <w:textAlignment w:val="baseline"/>
    </w:pPr>
    <w:rPr>
      <w:rFonts w:ascii="Century Schoolbook" w:eastAsia="Times New Roman" w:hAnsi="Century Schoolbook" w:cs="Times New Roman"/>
      <w:b/>
      <w:bCs/>
      <w:szCs w:val="20"/>
    </w:rPr>
  </w:style>
  <w:style w:type="paragraph" w:customStyle="1" w:styleId="Flytning2">
    <w:name w:val="Flytning2"/>
    <w:basedOn w:val="Flytning"/>
    <w:uiPriority w:val="29"/>
    <w:semiHidden/>
    <w:rsid w:val="00E71FF2"/>
    <w:pPr>
      <w:spacing w:before="120"/>
    </w:pPr>
    <w:rPr>
      <w:b w:val="0"/>
    </w:rPr>
  </w:style>
  <w:style w:type="paragraph" w:customStyle="1" w:styleId="Direkte">
    <w:name w:val="Direkte"/>
    <w:basedOn w:val="Normal"/>
    <w:next w:val="Normal"/>
    <w:uiPriority w:val="5"/>
    <w:semiHidden/>
    <w:rsid w:val="00E71FF2"/>
    <w:pPr>
      <w:framePr w:w="2466" w:hSpace="142" w:vSpace="142" w:wrap="around" w:vAnchor="page" w:hAnchor="page" w:x="9413" w:y="2581" w:anchorLock="1"/>
      <w:suppressAutoHyphens/>
      <w:overflowPunct w:val="0"/>
      <w:autoSpaceDE w:val="0"/>
      <w:autoSpaceDN w:val="0"/>
      <w:adjustRightInd w:val="0"/>
      <w:spacing w:line="240" w:lineRule="auto"/>
      <w:jc w:val="both"/>
      <w:textAlignment w:val="baseline"/>
    </w:pPr>
    <w:rPr>
      <w:rFonts w:ascii="Century Schoolbook" w:eastAsia="MS Mincho" w:hAnsi="Century Schoolbook" w:cs="Tahoma"/>
      <w:spacing w:val="-1"/>
      <w:sz w:val="14"/>
      <w:szCs w:val="20"/>
    </w:rPr>
  </w:style>
  <w:style w:type="paragraph" w:customStyle="1" w:styleId="DirekteOplysninger">
    <w:name w:val="DirekteOplysninger"/>
    <w:basedOn w:val="Normal"/>
    <w:uiPriority w:val="5"/>
    <w:semiHidden/>
    <w:qFormat/>
    <w:rsid w:val="00E71FF2"/>
    <w:pPr>
      <w:overflowPunct w:val="0"/>
      <w:autoSpaceDE w:val="0"/>
      <w:autoSpaceDN w:val="0"/>
      <w:adjustRightInd w:val="0"/>
      <w:spacing w:line="240" w:lineRule="auto"/>
      <w:jc w:val="both"/>
      <w:textAlignment w:val="baseline"/>
    </w:pPr>
    <w:rPr>
      <w:rFonts w:ascii="Century Schoolbook" w:eastAsia="Times New Roman" w:hAnsi="Century Schoolbook" w:cs="Times New Roman"/>
      <w:bCs/>
      <w:sz w:val="16"/>
      <w:szCs w:val="16"/>
    </w:rPr>
  </w:style>
  <w:style w:type="paragraph" w:customStyle="1" w:styleId="Indlg">
    <w:name w:val="Indlæg"/>
    <w:basedOn w:val="Normal"/>
    <w:uiPriority w:val="13"/>
    <w:rsid w:val="00E71FF2"/>
    <w:pPr>
      <w:numPr>
        <w:numId w:val="10"/>
      </w:numPr>
      <w:spacing w:after="300" w:line="312" w:lineRule="auto"/>
      <w:jc w:val="both"/>
    </w:pPr>
    <w:rPr>
      <w:rFonts w:ascii="Century Schoolbook" w:eastAsia="Times New Roman" w:hAnsi="Century Schoolbook" w:cs="Times New Roman"/>
      <w:szCs w:val="23"/>
    </w:rPr>
  </w:style>
  <w:style w:type="paragraph" w:customStyle="1" w:styleId="Indlgafsnit">
    <w:name w:val="Indlæg afsnit"/>
    <w:basedOn w:val="Indlg"/>
    <w:uiPriority w:val="13"/>
    <w:rsid w:val="00E71FF2"/>
    <w:pPr>
      <w:numPr>
        <w:ilvl w:val="1"/>
      </w:numPr>
    </w:pPr>
  </w:style>
  <w:style w:type="paragraph" w:customStyle="1" w:styleId="notaoplysninger">
    <w:name w:val="notaoplysninger"/>
    <w:basedOn w:val="Normal"/>
    <w:uiPriority w:val="29"/>
    <w:semiHidden/>
    <w:rsid w:val="00E71FF2"/>
    <w:pPr>
      <w:tabs>
        <w:tab w:val="left" w:pos="1080"/>
      </w:tabs>
      <w:overflowPunct w:val="0"/>
      <w:autoSpaceDE w:val="0"/>
      <w:autoSpaceDN w:val="0"/>
      <w:adjustRightInd w:val="0"/>
      <w:spacing w:line="240" w:lineRule="auto"/>
      <w:ind w:left="1077" w:hanging="1077"/>
      <w:jc w:val="both"/>
      <w:textAlignment w:val="baseline"/>
    </w:pPr>
    <w:rPr>
      <w:rFonts w:ascii="Century Schoolbook" w:eastAsia="Times New Roman" w:hAnsi="Century Schoolbook" w:cs="Tahoma"/>
      <w:bCs/>
      <w:sz w:val="17"/>
      <w:szCs w:val="20"/>
    </w:rPr>
  </w:style>
  <w:style w:type="paragraph" w:customStyle="1" w:styleId="notaoverskrift">
    <w:name w:val="notaoverskrift"/>
    <w:basedOn w:val="Normal"/>
    <w:next w:val="Normal"/>
    <w:uiPriority w:val="29"/>
    <w:semiHidden/>
    <w:rsid w:val="00E71FF2"/>
    <w:pPr>
      <w:overflowPunct w:val="0"/>
      <w:autoSpaceDE w:val="0"/>
      <w:autoSpaceDN w:val="0"/>
      <w:adjustRightInd w:val="0"/>
      <w:spacing w:before="200" w:after="300" w:line="312" w:lineRule="auto"/>
      <w:jc w:val="both"/>
      <w:textAlignment w:val="baseline"/>
    </w:pPr>
    <w:rPr>
      <w:rFonts w:ascii="Century Schoolbook" w:eastAsia="Times New Roman" w:hAnsi="Century Schoolbook" w:cs="Times New Roman"/>
      <w:b/>
      <w:szCs w:val="20"/>
    </w:rPr>
  </w:style>
  <w:style w:type="paragraph" w:customStyle="1" w:styleId="Punktafsnit1">
    <w:name w:val="Punktafsnit 1"/>
    <w:basedOn w:val="Heading1"/>
    <w:uiPriority w:val="7"/>
    <w:semiHidden/>
    <w:rsid w:val="00E71FF2"/>
    <w:pPr>
      <w:numPr>
        <w:numId w:val="24"/>
      </w:numPr>
      <w:overflowPunct w:val="0"/>
      <w:autoSpaceDE w:val="0"/>
      <w:autoSpaceDN w:val="0"/>
      <w:adjustRightInd w:val="0"/>
      <w:spacing w:after="300" w:line="312" w:lineRule="auto"/>
      <w:contextualSpacing w:val="0"/>
      <w:jc w:val="both"/>
      <w:textAlignment w:val="baseline"/>
      <w:outlineLvl w:val="9"/>
    </w:pPr>
    <w:rPr>
      <w:rFonts w:ascii="Century Schoolbook" w:eastAsia="Times New Roman" w:hAnsi="Century Schoolbook" w:cs="Times New Roman"/>
      <w:bCs/>
      <w:caps/>
      <w:color w:val="auto"/>
      <w:sz w:val="20"/>
      <w:szCs w:val="20"/>
    </w:rPr>
  </w:style>
  <w:style w:type="paragraph" w:customStyle="1" w:styleId="Punktafsnit2">
    <w:name w:val="Punktafsnit 2"/>
    <w:basedOn w:val="Heading2"/>
    <w:uiPriority w:val="7"/>
    <w:rsid w:val="00E71FF2"/>
    <w:pPr>
      <w:keepNext w:val="0"/>
      <w:keepLines w:val="0"/>
      <w:numPr>
        <w:ilvl w:val="1"/>
        <w:numId w:val="24"/>
      </w:numPr>
      <w:overflowPunct w:val="0"/>
      <w:autoSpaceDE w:val="0"/>
      <w:autoSpaceDN w:val="0"/>
      <w:adjustRightInd w:val="0"/>
      <w:spacing w:before="0" w:after="300" w:line="312" w:lineRule="auto"/>
      <w:ind w:left="7088"/>
      <w:jc w:val="both"/>
      <w:textAlignment w:val="baseline"/>
      <w:outlineLvl w:val="9"/>
    </w:pPr>
    <w:rPr>
      <w:rFonts w:ascii="Century Schoolbook" w:eastAsia="Times New Roman" w:hAnsi="Century Schoolbook" w:cs="Times New Roman"/>
      <w:b w:val="0"/>
      <w:bCs w:val="0"/>
      <w:iCs/>
      <w:color w:val="auto"/>
      <w:sz w:val="20"/>
      <w:szCs w:val="28"/>
    </w:rPr>
  </w:style>
  <w:style w:type="paragraph" w:customStyle="1" w:styleId="Punktafsnit3">
    <w:name w:val="Punktafsnit 3"/>
    <w:basedOn w:val="Heading3"/>
    <w:uiPriority w:val="7"/>
    <w:rsid w:val="00E71FF2"/>
    <w:pPr>
      <w:keepNext w:val="0"/>
      <w:keepLines w:val="0"/>
      <w:numPr>
        <w:ilvl w:val="2"/>
        <w:numId w:val="24"/>
      </w:numPr>
      <w:overflowPunct w:val="0"/>
      <w:autoSpaceDE w:val="0"/>
      <w:autoSpaceDN w:val="0"/>
      <w:adjustRightInd w:val="0"/>
      <w:spacing w:before="0" w:after="300" w:line="312" w:lineRule="auto"/>
      <w:jc w:val="both"/>
      <w:textAlignment w:val="baseline"/>
      <w:outlineLvl w:val="9"/>
    </w:pPr>
    <w:rPr>
      <w:rFonts w:ascii="Century Schoolbook" w:eastAsia="Times New Roman" w:hAnsi="Century Schoolbook" w:cs="Times New Roman"/>
      <w:b w:val="0"/>
      <w:bCs w:val="0"/>
      <w:color w:val="auto"/>
      <w:sz w:val="20"/>
      <w:szCs w:val="26"/>
    </w:rPr>
  </w:style>
  <w:style w:type="paragraph" w:customStyle="1" w:styleId="Punktafsnit4">
    <w:name w:val="Punktafsnit 4"/>
    <w:basedOn w:val="Heading4"/>
    <w:uiPriority w:val="7"/>
    <w:rsid w:val="00E71FF2"/>
    <w:pPr>
      <w:keepNext w:val="0"/>
      <w:keepLines w:val="0"/>
      <w:numPr>
        <w:ilvl w:val="3"/>
        <w:numId w:val="24"/>
      </w:numPr>
      <w:overflowPunct w:val="0"/>
      <w:autoSpaceDE w:val="0"/>
      <w:autoSpaceDN w:val="0"/>
      <w:adjustRightInd w:val="0"/>
      <w:spacing w:before="0" w:after="300" w:line="312" w:lineRule="auto"/>
      <w:jc w:val="both"/>
      <w:textAlignment w:val="baseline"/>
      <w:outlineLvl w:val="9"/>
    </w:pPr>
    <w:rPr>
      <w:rFonts w:ascii="Century Schoolbook" w:eastAsia="Times New Roman" w:hAnsi="Century Schoolbook" w:cs="Times New Roman"/>
      <w:b w:val="0"/>
      <w:bCs/>
      <w:iCs w:val="0"/>
      <w:color w:val="auto"/>
      <w:szCs w:val="28"/>
    </w:rPr>
  </w:style>
  <w:style w:type="paragraph" w:customStyle="1" w:styleId="Punktafsnita">
    <w:name w:val="Punktafsnit a)"/>
    <w:basedOn w:val="Normal"/>
    <w:uiPriority w:val="3"/>
    <w:rsid w:val="00E71FF2"/>
    <w:pPr>
      <w:numPr>
        <w:numId w:val="16"/>
      </w:numPr>
      <w:overflowPunct w:val="0"/>
      <w:autoSpaceDE w:val="0"/>
      <w:autoSpaceDN w:val="0"/>
      <w:adjustRightInd w:val="0"/>
      <w:spacing w:after="300" w:line="300" w:lineRule="exact"/>
      <w:jc w:val="both"/>
      <w:textAlignment w:val="baseline"/>
    </w:pPr>
    <w:rPr>
      <w:rFonts w:ascii="Century Schoolbook" w:eastAsia="Times New Roman" w:hAnsi="Century Schoolbook" w:cs="Times New Roman"/>
      <w:iCs/>
      <w:szCs w:val="28"/>
    </w:rPr>
  </w:style>
  <w:style w:type="paragraph" w:customStyle="1" w:styleId="PunktafsnitA0">
    <w:name w:val="Punktafsnit A)"/>
    <w:basedOn w:val="Punktafsnita"/>
    <w:uiPriority w:val="5"/>
    <w:rsid w:val="00E71FF2"/>
    <w:pPr>
      <w:numPr>
        <w:ilvl w:val="2"/>
      </w:numPr>
    </w:pPr>
  </w:style>
  <w:style w:type="paragraph" w:customStyle="1" w:styleId="Punktafsniti">
    <w:name w:val="Punktafsnit i)"/>
    <w:basedOn w:val="Punktafsnita"/>
    <w:uiPriority w:val="4"/>
    <w:rsid w:val="00E71FF2"/>
    <w:pPr>
      <w:numPr>
        <w:ilvl w:val="1"/>
      </w:numPr>
    </w:pPr>
  </w:style>
  <w:style w:type="numbering" w:customStyle="1" w:styleId="PunktfsnitNumbering">
    <w:name w:val="Punktfsnit Numbering"/>
    <w:uiPriority w:val="99"/>
    <w:rsid w:val="00E71FF2"/>
    <w:pPr>
      <w:numPr>
        <w:numId w:val="11"/>
      </w:numPr>
    </w:pPr>
  </w:style>
  <w:style w:type="paragraph" w:customStyle="1" w:styleId="Punktopstilling">
    <w:name w:val="Punktopstilling"/>
    <w:basedOn w:val="Normal"/>
    <w:uiPriority w:val="2"/>
    <w:rsid w:val="00E71FF2"/>
    <w:pPr>
      <w:numPr>
        <w:numId w:val="12"/>
      </w:numPr>
      <w:tabs>
        <w:tab w:val="clear" w:pos="964"/>
      </w:tabs>
      <w:overflowPunct w:val="0"/>
      <w:autoSpaceDE w:val="0"/>
      <w:autoSpaceDN w:val="0"/>
      <w:adjustRightInd w:val="0"/>
      <w:spacing w:after="300" w:line="312" w:lineRule="auto"/>
      <w:ind w:left="1417" w:hanging="425"/>
      <w:contextualSpacing/>
      <w:jc w:val="both"/>
      <w:textAlignment w:val="baseline"/>
    </w:pPr>
    <w:rPr>
      <w:rFonts w:ascii="Century Schoolbook" w:eastAsia="Times New Roman" w:hAnsi="Century Schoolbook" w:cs="Times New Roman"/>
      <w:bCs/>
      <w:szCs w:val="20"/>
    </w:rPr>
  </w:style>
  <w:style w:type="paragraph" w:customStyle="1" w:styleId="SagsnrFelt">
    <w:name w:val="SagsnrFelt"/>
    <w:basedOn w:val="Normal"/>
    <w:next w:val="DirekteOplysninger"/>
    <w:uiPriority w:val="29"/>
    <w:semiHidden/>
    <w:rsid w:val="00E71FF2"/>
    <w:pPr>
      <w:overflowPunct w:val="0"/>
      <w:autoSpaceDE w:val="0"/>
      <w:autoSpaceDN w:val="0"/>
      <w:adjustRightInd w:val="0"/>
      <w:spacing w:after="200" w:line="220" w:lineRule="exact"/>
      <w:jc w:val="both"/>
      <w:textAlignment w:val="baseline"/>
    </w:pPr>
    <w:rPr>
      <w:rFonts w:ascii="Century Schoolbook" w:eastAsia="Times New Roman" w:hAnsi="Century Schoolbook" w:cs="Times New Roman"/>
      <w:bCs/>
      <w:sz w:val="16"/>
      <w:szCs w:val="16"/>
    </w:rPr>
  </w:style>
  <w:style w:type="character" w:customStyle="1" w:styleId="Stilling">
    <w:name w:val="Stilling"/>
    <w:uiPriority w:val="29"/>
    <w:semiHidden/>
    <w:rsid w:val="00E71FF2"/>
    <w:rPr>
      <w:i/>
      <w:color w:val="auto"/>
      <w:szCs w:val="23"/>
      <w:lang w:val="da-DK"/>
    </w:rPr>
  </w:style>
  <w:style w:type="paragraph" w:styleId="ListBullet2">
    <w:name w:val="List Bullet 2"/>
    <w:basedOn w:val="Normal"/>
    <w:uiPriority w:val="2"/>
    <w:semiHidden/>
    <w:rsid w:val="00E71FF2"/>
    <w:pPr>
      <w:numPr>
        <w:numId w:val="1"/>
      </w:numPr>
      <w:overflowPunct w:val="0"/>
      <w:autoSpaceDE w:val="0"/>
      <w:autoSpaceDN w:val="0"/>
      <w:adjustRightInd w:val="0"/>
      <w:spacing w:line="312" w:lineRule="auto"/>
      <w:jc w:val="both"/>
      <w:textAlignment w:val="baseline"/>
    </w:pPr>
    <w:rPr>
      <w:rFonts w:ascii="Century Schoolbook" w:eastAsia="Times New Roman" w:hAnsi="Century Schoolbook" w:cs="Times New Roman"/>
      <w:bCs/>
      <w:szCs w:val="20"/>
    </w:rPr>
  </w:style>
  <w:style w:type="paragraph" w:styleId="ListBullet3">
    <w:name w:val="List Bullet 3"/>
    <w:basedOn w:val="Normal"/>
    <w:uiPriority w:val="2"/>
    <w:semiHidden/>
    <w:rsid w:val="00E71FF2"/>
    <w:pPr>
      <w:numPr>
        <w:numId w:val="2"/>
      </w:numPr>
      <w:overflowPunct w:val="0"/>
      <w:autoSpaceDE w:val="0"/>
      <w:autoSpaceDN w:val="0"/>
      <w:adjustRightInd w:val="0"/>
      <w:spacing w:line="312" w:lineRule="auto"/>
      <w:jc w:val="both"/>
      <w:textAlignment w:val="baseline"/>
    </w:pPr>
    <w:rPr>
      <w:rFonts w:ascii="Century Schoolbook" w:eastAsia="Times New Roman" w:hAnsi="Century Schoolbook" w:cs="Times New Roman"/>
      <w:bCs/>
      <w:szCs w:val="20"/>
    </w:rPr>
  </w:style>
  <w:style w:type="paragraph" w:styleId="ListBullet4">
    <w:name w:val="List Bullet 4"/>
    <w:basedOn w:val="Normal"/>
    <w:uiPriority w:val="2"/>
    <w:semiHidden/>
    <w:rsid w:val="00E71FF2"/>
    <w:pPr>
      <w:numPr>
        <w:numId w:val="3"/>
      </w:numPr>
      <w:overflowPunct w:val="0"/>
      <w:autoSpaceDE w:val="0"/>
      <w:autoSpaceDN w:val="0"/>
      <w:adjustRightInd w:val="0"/>
      <w:spacing w:line="312" w:lineRule="auto"/>
      <w:jc w:val="both"/>
      <w:textAlignment w:val="baseline"/>
    </w:pPr>
    <w:rPr>
      <w:rFonts w:ascii="Century Schoolbook" w:eastAsia="Times New Roman" w:hAnsi="Century Schoolbook" w:cs="Times New Roman"/>
      <w:bCs/>
      <w:szCs w:val="20"/>
    </w:rPr>
  </w:style>
  <w:style w:type="paragraph" w:styleId="ListBullet5">
    <w:name w:val="List Bullet 5"/>
    <w:basedOn w:val="Normal"/>
    <w:uiPriority w:val="2"/>
    <w:semiHidden/>
    <w:rsid w:val="00E71FF2"/>
    <w:pPr>
      <w:numPr>
        <w:numId w:val="4"/>
      </w:numPr>
      <w:overflowPunct w:val="0"/>
      <w:autoSpaceDE w:val="0"/>
      <w:autoSpaceDN w:val="0"/>
      <w:adjustRightInd w:val="0"/>
      <w:spacing w:line="312" w:lineRule="auto"/>
      <w:jc w:val="both"/>
      <w:textAlignment w:val="baseline"/>
    </w:pPr>
    <w:rPr>
      <w:rFonts w:ascii="Century Schoolbook" w:eastAsia="Times New Roman" w:hAnsi="Century Schoolbook" w:cs="Times New Roman"/>
      <w:bCs/>
      <w:szCs w:val="20"/>
    </w:rPr>
  </w:style>
  <w:style w:type="paragraph" w:styleId="ListNumber2">
    <w:name w:val="List Number 2"/>
    <w:basedOn w:val="Normal"/>
    <w:uiPriority w:val="2"/>
    <w:semiHidden/>
    <w:rsid w:val="00E71FF2"/>
    <w:pPr>
      <w:numPr>
        <w:numId w:val="6"/>
      </w:numPr>
      <w:overflowPunct w:val="0"/>
      <w:autoSpaceDE w:val="0"/>
      <w:autoSpaceDN w:val="0"/>
      <w:adjustRightInd w:val="0"/>
      <w:spacing w:line="312" w:lineRule="auto"/>
      <w:jc w:val="both"/>
      <w:textAlignment w:val="baseline"/>
    </w:pPr>
    <w:rPr>
      <w:rFonts w:ascii="Century Schoolbook" w:eastAsia="Times New Roman" w:hAnsi="Century Schoolbook" w:cs="Times New Roman"/>
      <w:bCs/>
      <w:szCs w:val="20"/>
    </w:rPr>
  </w:style>
  <w:style w:type="paragraph" w:styleId="ListNumber3">
    <w:name w:val="List Number 3"/>
    <w:basedOn w:val="Normal"/>
    <w:uiPriority w:val="2"/>
    <w:semiHidden/>
    <w:rsid w:val="00E71FF2"/>
    <w:pPr>
      <w:numPr>
        <w:numId w:val="7"/>
      </w:numPr>
      <w:overflowPunct w:val="0"/>
      <w:autoSpaceDE w:val="0"/>
      <w:autoSpaceDN w:val="0"/>
      <w:adjustRightInd w:val="0"/>
      <w:spacing w:line="312" w:lineRule="auto"/>
      <w:jc w:val="both"/>
      <w:textAlignment w:val="baseline"/>
    </w:pPr>
    <w:rPr>
      <w:rFonts w:ascii="Century Schoolbook" w:eastAsia="Times New Roman" w:hAnsi="Century Schoolbook" w:cs="Times New Roman"/>
      <w:bCs/>
      <w:szCs w:val="20"/>
    </w:rPr>
  </w:style>
  <w:style w:type="paragraph" w:styleId="ListNumber4">
    <w:name w:val="List Number 4"/>
    <w:basedOn w:val="Normal"/>
    <w:uiPriority w:val="2"/>
    <w:semiHidden/>
    <w:rsid w:val="00E71FF2"/>
    <w:pPr>
      <w:numPr>
        <w:numId w:val="8"/>
      </w:numPr>
      <w:overflowPunct w:val="0"/>
      <w:autoSpaceDE w:val="0"/>
      <w:autoSpaceDN w:val="0"/>
      <w:adjustRightInd w:val="0"/>
      <w:spacing w:line="312" w:lineRule="auto"/>
      <w:jc w:val="both"/>
      <w:textAlignment w:val="baseline"/>
    </w:pPr>
    <w:rPr>
      <w:rFonts w:ascii="Century Schoolbook" w:eastAsia="Times New Roman" w:hAnsi="Century Schoolbook" w:cs="Times New Roman"/>
      <w:bCs/>
      <w:szCs w:val="20"/>
    </w:rPr>
  </w:style>
  <w:style w:type="paragraph" w:styleId="ListNumber5">
    <w:name w:val="List Number 5"/>
    <w:basedOn w:val="Normal"/>
    <w:uiPriority w:val="2"/>
    <w:semiHidden/>
    <w:rsid w:val="00E71FF2"/>
    <w:pPr>
      <w:numPr>
        <w:numId w:val="9"/>
      </w:numPr>
      <w:overflowPunct w:val="0"/>
      <w:autoSpaceDE w:val="0"/>
      <w:autoSpaceDN w:val="0"/>
      <w:adjustRightInd w:val="0"/>
      <w:spacing w:line="312" w:lineRule="auto"/>
      <w:jc w:val="both"/>
      <w:textAlignment w:val="baseline"/>
    </w:pPr>
    <w:rPr>
      <w:rFonts w:ascii="Century Schoolbook" w:eastAsia="Times New Roman" w:hAnsi="Century Schoolbook" w:cs="Times New Roman"/>
      <w:bCs/>
      <w:szCs w:val="20"/>
    </w:rPr>
  </w:style>
  <w:style w:type="paragraph" w:customStyle="1" w:styleId="Parter">
    <w:name w:val="Parter"/>
    <w:basedOn w:val="Normal"/>
    <w:uiPriority w:val="12"/>
    <w:rsid w:val="00E71FF2"/>
    <w:pPr>
      <w:numPr>
        <w:numId w:val="14"/>
      </w:numPr>
      <w:tabs>
        <w:tab w:val="left" w:pos="992"/>
      </w:tabs>
      <w:overflowPunct w:val="0"/>
      <w:autoSpaceDE w:val="0"/>
      <w:autoSpaceDN w:val="0"/>
      <w:adjustRightInd w:val="0"/>
      <w:spacing w:after="300" w:line="312" w:lineRule="auto"/>
      <w:jc w:val="both"/>
      <w:textAlignment w:val="baseline"/>
    </w:pPr>
    <w:rPr>
      <w:rFonts w:ascii="Century Schoolbook" w:eastAsia="Times New Roman" w:hAnsi="Century Schoolbook" w:cs="Times New Roman"/>
      <w:bCs/>
      <w:szCs w:val="20"/>
    </w:rPr>
  </w:style>
  <w:style w:type="paragraph" w:styleId="Bibliography">
    <w:name w:val="Bibliography"/>
    <w:basedOn w:val="Normal"/>
    <w:next w:val="Normal"/>
    <w:uiPriority w:val="99"/>
    <w:semiHidden/>
    <w:unhideWhenUsed/>
    <w:rsid w:val="00E71FF2"/>
    <w:pPr>
      <w:spacing w:line="312" w:lineRule="auto"/>
      <w:jc w:val="both"/>
    </w:pPr>
    <w:rPr>
      <w:rFonts w:ascii="Century Schoolbook" w:hAnsi="Century Schoolbook" w:cs="Verdana"/>
      <w:szCs w:val="20"/>
    </w:rPr>
  </w:style>
  <w:style w:type="paragraph" w:styleId="BodyText">
    <w:name w:val="Body Text"/>
    <w:basedOn w:val="Normal"/>
    <w:link w:val="BodyTextChar"/>
    <w:uiPriority w:val="99"/>
    <w:semiHidden/>
    <w:rsid w:val="00E71FF2"/>
    <w:pPr>
      <w:spacing w:after="120" w:line="312" w:lineRule="auto"/>
      <w:jc w:val="both"/>
    </w:pPr>
    <w:rPr>
      <w:rFonts w:ascii="Century Schoolbook" w:hAnsi="Century Schoolbook" w:cs="Verdana"/>
      <w:szCs w:val="20"/>
    </w:rPr>
  </w:style>
  <w:style w:type="character" w:customStyle="1" w:styleId="BodyTextChar">
    <w:name w:val="Body Text Char"/>
    <w:basedOn w:val="DefaultParagraphFont"/>
    <w:link w:val="BodyText"/>
    <w:uiPriority w:val="99"/>
    <w:semiHidden/>
    <w:rsid w:val="00E71FF2"/>
    <w:rPr>
      <w:rFonts w:ascii="Century Schoolbook" w:hAnsi="Century Schoolbook" w:cs="Verdana"/>
      <w:sz w:val="20"/>
      <w:szCs w:val="20"/>
    </w:rPr>
  </w:style>
  <w:style w:type="paragraph" w:styleId="BodyText2">
    <w:name w:val="Body Text 2"/>
    <w:basedOn w:val="Normal"/>
    <w:link w:val="BodyText2Char"/>
    <w:uiPriority w:val="99"/>
    <w:semiHidden/>
    <w:rsid w:val="00E71FF2"/>
    <w:pPr>
      <w:spacing w:after="120" w:line="480" w:lineRule="auto"/>
      <w:jc w:val="both"/>
    </w:pPr>
    <w:rPr>
      <w:rFonts w:ascii="Century Schoolbook" w:hAnsi="Century Schoolbook" w:cs="Verdana"/>
      <w:szCs w:val="20"/>
    </w:rPr>
  </w:style>
  <w:style w:type="character" w:customStyle="1" w:styleId="BodyText2Char">
    <w:name w:val="Body Text 2 Char"/>
    <w:basedOn w:val="DefaultParagraphFont"/>
    <w:link w:val="BodyText2"/>
    <w:uiPriority w:val="99"/>
    <w:semiHidden/>
    <w:rsid w:val="00E71FF2"/>
    <w:rPr>
      <w:rFonts w:ascii="Century Schoolbook" w:hAnsi="Century Schoolbook" w:cs="Verdana"/>
      <w:sz w:val="20"/>
      <w:szCs w:val="20"/>
    </w:rPr>
  </w:style>
  <w:style w:type="paragraph" w:styleId="BodyText3">
    <w:name w:val="Body Text 3"/>
    <w:basedOn w:val="Normal"/>
    <w:link w:val="BodyText3Char"/>
    <w:uiPriority w:val="99"/>
    <w:semiHidden/>
    <w:rsid w:val="00E71FF2"/>
    <w:pPr>
      <w:spacing w:after="120" w:line="312" w:lineRule="auto"/>
      <w:jc w:val="both"/>
    </w:pPr>
    <w:rPr>
      <w:rFonts w:ascii="Century Schoolbook" w:hAnsi="Century Schoolbook" w:cs="Verdana"/>
      <w:sz w:val="16"/>
      <w:szCs w:val="16"/>
    </w:rPr>
  </w:style>
  <w:style w:type="character" w:customStyle="1" w:styleId="BodyText3Char">
    <w:name w:val="Body Text 3 Char"/>
    <w:basedOn w:val="DefaultParagraphFont"/>
    <w:link w:val="BodyText3"/>
    <w:uiPriority w:val="99"/>
    <w:semiHidden/>
    <w:rsid w:val="00E71FF2"/>
    <w:rPr>
      <w:rFonts w:ascii="Century Schoolbook" w:hAnsi="Century Schoolbook" w:cs="Verdana"/>
      <w:sz w:val="16"/>
      <w:szCs w:val="16"/>
    </w:rPr>
  </w:style>
  <w:style w:type="paragraph" w:styleId="BodyTextFirstIndent">
    <w:name w:val="Body Text First Indent"/>
    <w:basedOn w:val="BodyText"/>
    <w:link w:val="BodyTextFirstIndentChar"/>
    <w:uiPriority w:val="99"/>
    <w:semiHidden/>
    <w:rsid w:val="00E71FF2"/>
    <w:pPr>
      <w:spacing w:after="0"/>
      <w:ind w:firstLine="360"/>
    </w:pPr>
  </w:style>
  <w:style w:type="character" w:customStyle="1" w:styleId="BodyTextFirstIndentChar">
    <w:name w:val="Body Text First Indent Char"/>
    <w:basedOn w:val="BodyTextChar"/>
    <w:link w:val="BodyTextFirstIndent"/>
    <w:uiPriority w:val="99"/>
    <w:semiHidden/>
    <w:rsid w:val="00E71FF2"/>
    <w:rPr>
      <w:rFonts w:ascii="Century Schoolbook" w:hAnsi="Century Schoolbook" w:cs="Verdana"/>
      <w:sz w:val="20"/>
      <w:szCs w:val="20"/>
    </w:rPr>
  </w:style>
  <w:style w:type="paragraph" w:styleId="BodyTextIndent">
    <w:name w:val="Body Text Indent"/>
    <w:basedOn w:val="Normal"/>
    <w:link w:val="BodyTextIndentChar"/>
    <w:uiPriority w:val="99"/>
    <w:semiHidden/>
    <w:rsid w:val="00E71FF2"/>
    <w:pPr>
      <w:spacing w:after="120" w:line="312" w:lineRule="auto"/>
      <w:ind w:left="283"/>
      <w:jc w:val="both"/>
    </w:pPr>
    <w:rPr>
      <w:rFonts w:ascii="Century Schoolbook" w:hAnsi="Century Schoolbook" w:cs="Verdana"/>
      <w:szCs w:val="20"/>
    </w:rPr>
  </w:style>
  <w:style w:type="character" w:customStyle="1" w:styleId="BodyTextIndentChar">
    <w:name w:val="Body Text Indent Char"/>
    <w:basedOn w:val="DefaultParagraphFont"/>
    <w:link w:val="BodyTextIndent"/>
    <w:uiPriority w:val="99"/>
    <w:semiHidden/>
    <w:rsid w:val="00E71FF2"/>
    <w:rPr>
      <w:rFonts w:ascii="Century Schoolbook" w:hAnsi="Century Schoolbook" w:cs="Verdana"/>
      <w:sz w:val="20"/>
      <w:szCs w:val="20"/>
    </w:rPr>
  </w:style>
  <w:style w:type="paragraph" w:styleId="BodyTextFirstIndent2">
    <w:name w:val="Body Text First Indent 2"/>
    <w:basedOn w:val="BodyTextIndent"/>
    <w:link w:val="BodyTextFirstIndent2Char"/>
    <w:uiPriority w:val="99"/>
    <w:semiHidden/>
    <w:rsid w:val="00E71FF2"/>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1FF2"/>
    <w:rPr>
      <w:rFonts w:ascii="Century Schoolbook" w:hAnsi="Century Schoolbook" w:cs="Verdana"/>
      <w:sz w:val="20"/>
      <w:szCs w:val="20"/>
    </w:rPr>
  </w:style>
  <w:style w:type="paragraph" w:styleId="BodyTextIndent2">
    <w:name w:val="Body Text Indent 2"/>
    <w:basedOn w:val="Normal"/>
    <w:link w:val="BodyTextIndent2Char"/>
    <w:uiPriority w:val="99"/>
    <w:semiHidden/>
    <w:rsid w:val="00E71FF2"/>
    <w:pPr>
      <w:spacing w:after="120" w:line="480" w:lineRule="auto"/>
      <w:ind w:left="283"/>
      <w:jc w:val="both"/>
    </w:pPr>
    <w:rPr>
      <w:rFonts w:ascii="Century Schoolbook" w:hAnsi="Century Schoolbook" w:cs="Verdana"/>
      <w:szCs w:val="20"/>
    </w:rPr>
  </w:style>
  <w:style w:type="character" w:customStyle="1" w:styleId="BodyTextIndent2Char">
    <w:name w:val="Body Text Indent 2 Char"/>
    <w:basedOn w:val="DefaultParagraphFont"/>
    <w:link w:val="BodyTextIndent2"/>
    <w:uiPriority w:val="99"/>
    <w:semiHidden/>
    <w:rsid w:val="00E71FF2"/>
    <w:rPr>
      <w:rFonts w:ascii="Century Schoolbook" w:hAnsi="Century Schoolbook" w:cs="Verdana"/>
      <w:sz w:val="20"/>
      <w:szCs w:val="20"/>
    </w:rPr>
  </w:style>
  <w:style w:type="paragraph" w:styleId="BodyTextIndent3">
    <w:name w:val="Body Text Indent 3"/>
    <w:basedOn w:val="Normal"/>
    <w:link w:val="BodyTextIndent3Char"/>
    <w:uiPriority w:val="99"/>
    <w:semiHidden/>
    <w:rsid w:val="00E71FF2"/>
    <w:pPr>
      <w:spacing w:after="120" w:line="312" w:lineRule="auto"/>
      <w:ind w:left="283"/>
      <w:jc w:val="both"/>
    </w:pPr>
    <w:rPr>
      <w:rFonts w:ascii="Century Schoolbook" w:hAnsi="Century Schoolbook" w:cs="Verdana"/>
      <w:sz w:val="16"/>
      <w:szCs w:val="16"/>
    </w:rPr>
  </w:style>
  <w:style w:type="character" w:customStyle="1" w:styleId="BodyTextIndent3Char">
    <w:name w:val="Body Text Indent 3 Char"/>
    <w:basedOn w:val="DefaultParagraphFont"/>
    <w:link w:val="BodyTextIndent3"/>
    <w:uiPriority w:val="99"/>
    <w:semiHidden/>
    <w:rsid w:val="00E71FF2"/>
    <w:rPr>
      <w:rFonts w:ascii="Century Schoolbook" w:hAnsi="Century Schoolbook" w:cs="Verdana"/>
      <w:sz w:val="16"/>
      <w:szCs w:val="16"/>
    </w:rPr>
  </w:style>
  <w:style w:type="paragraph" w:styleId="Closing">
    <w:name w:val="Closing"/>
    <w:basedOn w:val="Normal"/>
    <w:link w:val="ClosingChar"/>
    <w:uiPriority w:val="99"/>
    <w:semiHidden/>
    <w:rsid w:val="00E71FF2"/>
    <w:pPr>
      <w:spacing w:line="240" w:lineRule="auto"/>
      <w:ind w:left="4252"/>
      <w:jc w:val="both"/>
    </w:pPr>
    <w:rPr>
      <w:rFonts w:ascii="Century Schoolbook" w:hAnsi="Century Schoolbook" w:cs="Verdana"/>
      <w:szCs w:val="20"/>
    </w:rPr>
  </w:style>
  <w:style w:type="character" w:customStyle="1" w:styleId="ClosingChar">
    <w:name w:val="Closing Char"/>
    <w:basedOn w:val="DefaultParagraphFont"/>
    <w:link w:val="Closing"/>
    <w:uiPriority w:val="99"/>
    <w:semiHidden/>
    <w:rsid w:val="00E71FF2"/>
    <w:rPr>
      <w:rFonts w:ascii="Century Schoolbook" w:hAnsi="Century Schoolbook" w:cs="Verdana"/>
      <w:sz w:val="20"/>
      <w:szCs w:val="20"/>
    </w:rPr>
  </w:style>
  <w:style w:type="table" w:styleId="ColorfulGrid">
    <w:name w:val="Colorful Grid"/>
    <w:basedOn w:val="TableNormal"/>
    <w:uiPriority w:val="73"/>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BAF8FF" w:themeFill="accent1" w:themeFillTint="33"/>
    </w:tcPr>
    <w:tblStylePr w:type="firstRow">
      <w:rPr>
        <w:b/>
        <w:bCs/>
      </w:rPr>
      <w:tblPr/>
      <w:tcPr>
        <w:shd w:val="clear" w:color="auto" w:fill="75F1FF" w:themeFill="accent1" w:themeFillTint="66"/>
      </w:tcPr>
    </w:tblStylePr>
    <w:tblStylePr w:type="lastRow">
      <w:rPr>
        <w:b/>
        <w:bCs/>
        <w:color w:val="000000" w:themeColor="text1"/>
      </w:rPr>
      <w:tblPr/>
      <w:tcPr>
        <w:shd w:val="clear" w:color="auto" w:fill="75F1FF" w:themeFill="accent1" w:themeFillTint="66"/>
      </w:tcPr>
    </w:tblStylePr>
    <w:tblStylePr w:type="firstCol">
      <w:rPr>
        <w:color w:val="FFFFFF" w:themeColor="background1"/>
      </w:rPr>
      <w:tblPr/>
      <w:tcPr>
        <w:shd w:val="clear" w:color="auto" w:fill="00707D" w:themeFill="accent1" w:themeFillShade="BF"/>
      </w:tcPr>
    </w:tblStylePr>
    <w:tblStylePr w:type="lastCol">
      <w:rPr>
        <w:color w:val="FFFFFF" w:themeColor="background1"/>
      </w:rPr>
      <w:tblPr/>
      <w:tcPr>
        <w:shd w:val="clear" w:color="auto" w:fill="00707D" w:themeFill="accent1" w:themeFillShade="BF"/>
      </w:tcPr>
    </w:tblStylePr>
    <w:tblStylePr w:type="band1Vert">
      <w:tblPr/>
      <w:tcPr>
        <w:shd w:val="clear" w:color="auto" w:fill="54EEFF" w:themeFill="accent1" w:themeFillTint="7F"/>
      </w:tcPr>
    </w:tblStylePr>
    <w:tblStylePr w:type="band1Horz">
      <w:tblPr/>
      <w:tcPr>
        <w:shd w:val="clear" w:color="auto" w:fill="54EEFF" w:themeFill="accent1" w:themeFillTint="7F"/>
      </w:tcPr>
    </w:tblStylePr>
  </w:style>
  <w:style w:type="table" w:styleId="ColorfulGrid-Accent2">
    <w:name w:val="Colorful Grid Accent 2"/>
    <w:basedOn w:val="TableNormal"/>
    <w:uiPriority w:val="73"/>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EBF7F8" w:themeFill="accent2" w:themeFillTint="33"/>
    </w:tcPr>
    <w:tblStylePr w:type="firstRow">
      <w:rPr>
        <w:b/>
        <w:bCs/>
      </w:rPr>
      <w:tblPr/>
      <w:tcPr>
        <w:shd w:val="clear" w:color="auto" w:fill="D8F0F1" w:themeFill="accent2" w:themeFillTint="66"/>
      </w:tcPr>
    </w:tblStylePr>
    <w:tblStylePr w:type="lastRow">
      <w:rPr>
        <w:b/>
        <w:bCs/>
        <w:color w:val="000000" w:themeColor="text1"/>
      </w:rPr>
      <w:tblPr/>
      <w:tcPr>
        <w:shd w:val="clear" w:color="auto" w:fill="D8F0F1" w:themeFill="accent2" w:themeFillTint="66"/>
      </w:tcPr>
    </w:tblStylePr>
    <w:tblStylePr w:type="firstCol">
      <w:rPr>
        <w:color w:val="FFFFFF" w:themeColor="background1"/>
      </w:rPr>
      <w:tblPr/>
      <w:tcPr>
        <w:shd w:val="clear" w:color="auto" w:fill="57BEC4" w:themeFill="accent2" w:themeFillShade="BF"/>
      </w:tcPr>
    </w:tblStylePr>
    <w:tblStylePr w:type="lastCol">
      <w:rPr>
        <w:color w:val="FFFFFF" w:themeColor="background1"/>
      </w:rPr>
      <w:tblPr/>
      <w:tcPr>
        <w:shd w:val="clear" w:color="auto" w:fill="57BEC4" w:themeFill="accent2" w:themeFillShade="BF"/>
      </w:tcPr>
    </w:tblStylePr>
    <w:tblStylePr w:type="band1Vert">
      <w:tblPr/>
      <w:tcPr>
        <w:shd w:val="clear" w:color="auto" w:fill="CEECEE" w:themeFill="accent2" w:themeFillTint="7F"/>
      </w:tcPr>
    </w:tblStylePr>
    <w:tblStylePr w:type="band1Horz">
      <w:tblPr/>
      <w:tcPr>
        <w:shd w:val="clear" w:color="auto" w:fill="CEECEE" w:themeFill="accent2" w:themeFillTint="7F"/>
      </w:tcPr>
    </w:tblStylePr>
  </w:style>
  <w:style w:type="table" w:styleId="ColorfulGrid-Accent3">
    <w:name w:val="Colorful Grid Accent 3"/>
    <w:basedOn w:val="TableNormal"/>
    <w:uiPriority w:val="73"/>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EF8D7" w:themeFill="accent3" w:themeFillTint="33"/>
    </w:tcPr>
    <w:tblStylePr w:type="firstRow">
      <w:rPr>
        <w:b/>
        <w:bCs/>
      </w:rPr>
      <w:tblPr/>
      <w:tcPr>
        <w:shd w:val="clear" w:color="auto" w:fill="FEF1B0" w:themeFill="accent3" w:themeFillTint="66"/>
      </w:tcPr>
    </w:tblStylePr>
    <w:tblStylePr w:type="lastRow">
      <w:rPr>
        <w:b/>
        <w:bCs/>
        <w:color w:val="000000" w:themeColor="text1"/>
      </w:rPr>
      <w:tblPr/>
      <w:tcPr>
        <w:shd w:val="clear" w:color="auto" w:fill="FEF1B0" w:themeFill="accent3" w:themeFillTint="66"/>
      </w:tcPr>
    </w:tblStylePr>
    <w:tblStylePr w:type="firstCol">
      <w:rPr>
        <w:color w:val="FFFFFF" w:themeColor="background1"/>
      </w:rPr>
      <w:tblPr/>
      <w:tcPr>
        <w:shd w:val="clear" w:color="auto" w:fill="E6C002" w:themeFill="accent3" w:themeFillShade="BF"/>
      </w:tcPr>
    </w:tblStylePr>
    <w:tblStylePr w:type="lastCol">
      <w:rPr>
        <w:color w:val="FFFFFF" w:themeColor="background1"/>
      </w:rPr>
      <w:tblPr/>
      <w:tcPr>
        <w:shd w:val="clear" w:color="auto" w:fill="E6C002" w:themeFill="accent3" w:themeFillShade="BF"/>
      </w:tcPr>
    </w:tblStylePr>
    <w:tblStylePr w:type="band1Vert">
      <w:tblPr/>
      <w:tcPr>
        <w:shd w:val="clear" w:color="auto" w:fill="FEED9C" w:themeFill="accent3" w:themeFillTint="7F"/>
      </w:tcPr>
    </w:tblStylePr>
    <w:tblStylePr w:type="band1Horz">
      <w:tblPr/>
      <w:tcPr>
        <w:shd w:val="clear" w:color="auto" w:fill="FEED9C" w:themeFill="accent3" w:themeFillTint="7F"/>
      </w:tcPr>
    </w:tblStylePr>
  </w:style>
  <w:style w:type="table" w:styleId="ColorfulGrid-Accent4">
    <w:name w:val="Colorful Grid Accent 4"/>
    <w:basedOn w:val="TableNormal"/>
    <w:uiPriority w:val="73"/>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BDF1F7" w:themeFill="accent4" w:themeFillTint="33"/>
    </w:tcPr>
    <w:tblStylePr w:type="firstRow">
      <w:rPr>
        <w:b/>
        <w:bCs/>
      </w:rPr>
      <w:tblPr/>
      <w:tcPr>
        <w:shd w:val="clear" w:color="auto" w:fill="7CE4F0" w:themeFill="accent4" w:themeFillTint="66"/>
      </w:tcPr>
    </w:tblStylePr>
    <w:tblStylePr w:type="lastRow">
      <w:rPr>
        <w:b/>
        <w:bCs/>
        <w:color w:val="000000" w:themeColor="text1"/>
      </w:rPr>
      <w:tblPr/>
      <w:tcPr>
        <w:shd w:val="clear" w:color="auto" w:fill="7CE4F0" w:themeFill="accent4" w:themeFillTint="66"/>
      </w:tcPr>
    </w:tblStylePr>
    <w:tblStylePr w:type="firstCol">
      <w:rPr>
        <w:color w:val="FFFFFF" w:themeColor="background1"/>
      </w:rPr>
      <w:tblPr/>
      <w:tcPr>
        <w:shd w:val="clear" w:color="auto" w:fill="0B5962" w:themeFill="accent4" w:themeFillShade="BF"/>
      </w:tcPr>
    </w:tblStylePr>
    <w:tblStylePr w:type="lastCol">
      <w:rPr>
        <w:color w:val="FFFFFF" w:themeColor="background1"/>
      </w:rPr>
      <w:tblPr/>
      <w:tcPr>
        <w:shd w:val="clear" w:color="auto" w:fill="0B5962" w:themeFill="accent4" w:themeFillShade="BF"/>
      </w:tcPr>
    </w:tblStylePr>
    <w:tblStylePr w:type="band1Vert">
      <w:tblPr/>
      <w:tcPr>
        <w:shd w:val="clear" w:color="auto" w:fill="5CDEEC" w:themeFill="accent4" w:themeFillTint="7F"/>
      </w:tcPr>
    </w:tblStylePr>
    <w:tblStylePr w:type="band1Horz">
      <w:tblPr/>
      <w:tcPr>
        <w:shd w:val="clear" w:color="auto" w:fill="5CDEEC" w:themeFill="accent4" w:themeFillTint="7F"/>
      </w:tcPr>
    </w:tblStylePr>
  </w:style>
  <w:style w:type="table" w:styleId="ColorfulGrid-Accent5">
    <w:name w:val="Colorful Grid Accent 5"/>
    <w:basedOn w:val="TableNormal"/>
    <w:uiPriority w:val="73"/>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CE4D4" w:themeFill="accent5" w:themeFillTint="33"/>
    </w:tcPr>
    <w:tblStylePr w:type="firstRow">
      <w:rPr>
        <w:b/>
        <w:bCs/>
      </w:rPr>
      <w:tblPr/>
      <w:tcPr>
        <w:shd w:val="clear" w:color="auto" w:fill="FACAA9" w:themeFill="accent5" w:themeFillTint="66"/>
      </w:tcPr>
    </w:tblStylePr>
    <w:tblStylePr w:type="lastRow">
      <w:rPr>
        <w:b/>
        <w:bCs/>
        <w:color w:val="000000" w:themeColor="text1"/>
      </w:rPr>
      <w:tblPr/>
      <w:tcPr>
        <w:shd w:val="clear" w:color="auto" w:fill="FACAA9" w:themeFill="accent5" w:themeFillTint="66"/>
      </w:tcPr>
    </w:tblStylePr>
    <w:tblStylePr w:type="firstCol">
      <w:rPr>
        <w:color w:val="FFFFFF" w:themeColor="background1"/>
      </w:rPr>
      <w:tblPr/>
      <w:tcPr>
        <w:shd w:val="clear" w:color="auto" w:fill="CB590A" w:themeFill="accent5" w:themeFillShade="BF"/>
      </w:tcPr>
    </w:tblStylePr>
    <w:tblStylePr w:type="lastCol">
      <w:rPr>
        <w:color w:val="FFFFFF" w:themeColor="background1"/>
      </w:rPr>
      <w:tblPr/>
      <w:tcPr>
        <w:shd w:val="clear" w:color="auto" w:fill="CB590A" w:themeFill="accent5" w:themeFillShade="BF"/>
      </w:tcPr>
    </w:tblStylePr>
    <w:tblStylePr w:type="band1Vert">
      <w:tblPr/>
      <w:tcPr>
        <w:shd w:val="clear" w:color="auto" w:fill="F9BD94" w:themeFill="accent5" w:themeFillTint="7F"/>
      </w:tcPr>
    </w:tblStylePr>
    <w:tblStylePr w:type="band1Horz">
      <w:tblPr/>
      <w:tcPr>
        <w:shd w:val="clear" w:color="auto" w:fill="F9BD94" w:themeFill="accent5" w:themeFillTint="7F"/>
      </w:tcPr>
    </w:tblStylePr>
  </w:style>
  <w:style w:type="table" w:styleId="ColorfulGrid-Accent6">
    <w:name w:val="Colorful Grid Accent 6"/>
    <w:basedOn w:val="TableNormal"/>
    <w:uiPriority w:val="73"/>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insideH w:val="single" w:sz="4" w:space="0" w:color="FFFFFF" w:themeColor="background1"/>
      </w:tblBorders>
    </w:tblPr>
    <w:tcPr>
      <w:shd w:val="clear" w:color="auto" w:fill="FBDADF" w:themeFill="accent6" w:themeFillTint="33"/>
    </w:tcPr>
    <w:tblStylePr w:type="firstRow">
      <w:rPr>
        <w:b/>
        <w:bCs/>
      </w:rPr>
      <w:tblPr/>
      <w:tcPr>
        <w:shd w:val="clear" w:color="auto" w:fill="F7B6BF" w:themeFill="accent6" w:themeFillTint="66"/>
      </w:tcPr>
    </w:tblStylePr>
    <w:tblStylePr w:type="lastRow">
      <w:rPr>
        <w:b/>
        <w:bCs/>
        <w:color w:val="000000" w:themeColor="text1"/>
      </w:rPr>
      <w:tblPr/>
      <w:tcPr>
        <w:shd w:val="clear" w:color="auto" w:fill="F7B6BF" w:themeFill="accent6" w:themeFillTint="66"/>
      </w:tcPr>
    </w:tblStylePr>
    <w:tblStylePr w:type="firstCol">
      <w:rPr>
        <w:color w:val="FFFFFF" w:themeColor="background1"/>
      </w:rPr>
      <w:tblPr/>
      <w:tcPr>
        <w:shd w:val="clear" w:color="auto" w:fill="D21630" w:themeFill="accent6" w:themeFillShade="BF"/>
      </w:tcPr>
    </w:tblStylePr>
    <w:tblStylePr w:type="lastCol">
      <w:rPr>
        <w:color w:val="FFFFFF" w:themeColor="background1"/>
      </w:rPr>
      <w:tblPr/>
      <w:tcPr>
        <w:shd w:val="clear" w:color="auto" w:fill="D21630" w:themeFill="accent6" w:themeFillShade="BF"/>
      </w:tcPr>
    </w:tblStylePr>
    <w:tblStylePr w:type="band1Vert">
      <w:tblPr/>
      <w:tcPr>
        <w:shd w:val="clear" w:color="auto" w:fill="F5A5B0" w:themeFill="accent6" w:themeFillTint="7F"/>
      </w:tcPr>
    </w:tblStylePr>
    <w:tblStylePr w:type="band1Horz">
      <w:tblPr/>
      <w:tcPr>
        <w:shd w:val="clear" w:color="auto" w:fill="F5A5B0" w:themeFill="accent6" w:themeFillTint="7F"/>
      </w:tcPr>
    </w:tblStylePr>
  </w:style>
  <w:style w:type="table" w:styleId="ColorfulList">
    <w:name w:val="Colorful List"/>
    <w:basedOn w:val="TableNormal"/>
    <w:uiPriority w:val="72"/>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5C4C9" w:themeFill="accent2" w:themeFillShade="CC"/>
      </w:tcPr>
    </w:tblStylePr>
    <w:tblStylePr w:type="lastRow">
      <w:rPr>
        <w:b/>
        <w:bCs/>
        <w:color w:val="65C4C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DDFBFF" w:themeFill="accent1" w:themeFillTint="19"/>
    </w:tcPr>
    <w:tblStylePr w:type="firstRow">
      <w:rPr>
        <w:b/>
        <w:bCs/>
        <w:color w:val="FFFFFF" w:themeColor="background1"/>
      </w:rPr>
      <w:tblPr/>
      <w:tcPr>
        <w:tcBorders>
          <w:bottom w:val="single" w:sz="12" w:space="0" w:color="FFFFFF" w:themeColor="background1"/>
        </w:tcBorders>
        <w:shd w:val="clear" w:color="auto" w:fill="65C4C9" w:themeFill="accent2" w:themeFillShade="CC"/>
      </w:tcPr>
    </w:tblStylePr>
    <w:tblStylePr w:type="lastRow">
      <w:rPr>
        <w:b/>
        <w:bCs/>
        <w:color w:val="65C4C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6FF" w:themeFill="accent1" w:themeFillTint="3F"/>
      </w:tcPr>
    </w:tblStylePr>
    <w:tblStylePr w:type="band1Horz">
      <w:tblPr/>
      <w:tcPr>
        <w:shd w:val="clear" w:color="auto" w:fill="BAF8FF" w:themeFill="accent1" w:themeFillTint="33"/>
      </w:tcPr>
    </w:tblStylePr>
  </w:style>
  <w:style w:type="table" w:styleId="ColorfulList-Accent2">
    <w:name w:val="Colorful List Accent 2"/>
    <w:basedOn w:val="TableNormal"/>
    <w:uiPriority w:val="72"/>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5FBFB" w:themeFill="accent2" w:themeFillTint="19"/>
    </w:tcPr>
    <w:tblStylePr w:type="firstRow">
      <w:rPr>
        <w:b/>
        <w:bCs/>
        <w:color w:val="FFFFFF" w:themeColor="background1"/>
      </w:rPr>
      <w:tblPr/>
      <w:tcPr>
        <w:tcBorders>
          <w:bottom w:val="single" w:sz="12" w:space="0" w:color="FFFFFF" w:themeColor="background1"/>
        </w:tcBorders>
        <w:shd w:val="clear" w:color="auto" w:fill="65C4C9" w:themeFill="accent2" w:themeFillShade="CC"/>
      </w:tcPr>
    </w:tblStylePr>
    <w:tblStylePr w:type="lastRow">
      <w:rPr>
        <w:b/>
        <w:bCs/>
        <w:color w:val="65C4C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F6" w:themeFill="accent2" w:themeFillTint="3F"/>
      </w:tcPr>
    </w:tblStylePr>
    <w:tblStylePr w:type="band1Horz">
      <w:tblPr/>
      <w:tcPr>
        <w:shd w:val="clear" w:color="auto" w:fill="EBF7F8" w:themeFill="accent2" w:themeFillTint="33"/>
      </w:tcPr>
    </w:tblStylePr>
  </w:style>
  <w:style w:type="table" w:styleId="ColorfulList-Accent3">
    <w:name w:val="Colorful List Accent 3"/>
    <w:basedOn w:val="TableNormal"/>
    <w:uiPriority w:val="72"/>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EFBEB" w:themeFill="accent3" w:themeFillTint="19"/>
    </w:tcPr>
    <w:tblStylePr w:type="firstRow">
      <w:rPr>
        <w:b/>
        <w:bCs/>
        <w:color w:val="FFFFFF" w:themeColor="background1"/>
      </w:rPr>
      <w:tblPr/>
      <w:tcPr>
        <w:tcBorders>
          <w:bottom w:val="single" w:sz="12" w:space="0" w:color="FFFFFF" w:themeColor="background1"/>
        </w:tcBorders>
        <w:shd w:val="clear" w:color="auto" w:fill="0C5F68" w:themeFill="accent4" w:themeFillShade="CC"/>
      </w:tcPr>
    </w:tblStylePr>
    <w:tblStylePr w:type="lastRow">
      <w:rPr>
        <w:b/>
        <w:bCs/>
        <w:color w:val="0C5F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6CE" w:themeFill="accent3" w:themeFillTint="3F"/>
      </w:tcPr>
    </w:tblStylePr>
    <w:tblStylePr w:type="band1Horz">
      <w:tblPr/>
      <w:tcPr>
        <w:shd w:val="clear" w:color="auto" w:fill="FEF8D7" w:themeFill="accent3" w:themeFillTint="33"/>
      </w:tcPr>
    </w:tblStylePr>
  </w:style>
  <w:style w:type="table" w:styleId="ColorfulList-Accent4">
    <w:name w:val="Colorful List Accent 4"/>
    <w:basedOn w:val="TableNormal"/>
    <w:uiPriority w:val="72"/>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DEF8FB" w:themeFill="accent4" w:themeFillTint="19"/>
    </w:tcPr>
    <w:tblStylePr w:type="firstRow">
      <w:rPr>
        <w:b/>
        <w:bCs/>
        <w:color w:val="FFFFFF" w:themeColor="background1"/>
      </w:rPr>
      <w:tblPr/>
      <w:tcPr>
        <w:tcBorders>
          <w:bottom w:val="single" w:sz="12" w:space="0" w:color="FFFFFF" w:themeColor="background1"/>
        </w:tcBorders>
        <w:shd w:val="clear" w:color="auto" w:fill="F6CD02" w:themeFill="accent3" w:themeFillShade="CC"/>
      </w:tcPr>
    </w:tblStylePr>
    <w:tblStylePr w:type="lastRow">
      <w:rPr>
        <w:b/>
        <w:bCs/>
        <w:color w:val="F6CD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EEF5" w:themeFill="accent4" w:themeFillTint="3F"/>
      </w:tcPr>
    </w:tblStylePr>
    <w:tblStylePr w:type="band1Horz">
      <w:tblPr/>
      <w:tcPr>
        <w:shd w:val="clear" w:color="auto" w:fill="BDF1F7" w:themeFill="accent4" w:themeFillTint="33"/>
      </w:tcPr>
    </w:tblStylePr>
  </w:style>
  <w:style w:type="table" w:styleId="ColorfulList-Accent5">
    <w:name w:val="Colorful List Accent 5"/>
    <w:basedOn w:val="TableNormal"/>
    <w:uiPriority w:val="72"/>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EF2EA" w:themeFill="accent5" w:themeFillTint="19"/>
    </w:tcPr>
    <w:tblStylePr w:type="firstRow">
      <w:rPr>
        <w:b/>
        <w:bCs/>
        <w:color w:val="FFFFFF" w:themeColor="background1"/>
      </w:rPr>
      <w:tblPr/>
      <w:tcPr>
        <w:tcBorders>
          <w:bottom w:val="single" w:sz="12" w:space="0" w:color="FFFFFF" w:themeColor="background1"/>
        </w:tcBorders>
        <w:shd w:val="clear" w:color="auto" w:fill="E01734" w:themeFill="accent6" w:themeFillShade="CC"/>
      </w:tcPr>
    </w:tblStylePr>
    <w:tblStylePr w:type="lastRow">
      <w:rPr>
        <w:b/>
        <w:bCs/>
        <w:color w:val="E0173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ECA" w:themeFill="accent5" w:themeFillTint="3F"/>
      </w:tcPr>
    </w:tblStylePr>
    <w:tblStylePr w:type="band1Horz">
      <w:tblPr/>
      <w:tcPr>
        <w:shd w:val="clear" w:color="auto" w:fill="FCE4D4" w:themeFill="accent5" w:themeFillTint="33"/>
      </w:tcPr>
    </w:tblStylePr>
  </w:style>
  <w:style w:type="table" w:styleId="ColorfulList-Accent6">
    <w:name w:val="Colorful List Accent 6"/>
    <w:basedOn w:val="TableNormal"/>
    <w:uiPriority w:val="72"/>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Pr>
    <w:tcPr>
      <w:shd w:val="clear" w:color="auto" w:fill="FDEDEF" w:themeFill="accent6" w:themeFillTint="19"/>
    </w:tcPr>
    <w:tblStylePr w:type="firstRow">
      <w:rPr>
        <w:b/>
        <w:bCs/>
        <w:color w:val="FFFFFF" w:themeColor="background1"/>
      </w:rPr>
      <w:tblPr/>
      <w:tcPr>
        <w:tcBorders>
          <w:bottom w:val="single" w:sz="12" w:space="0" w:color="FFFFFF" w:themeColor="background1"/>
        </w:tcBorders>
        <w:shd w:val="clear" w:color="auto" w:fill="D95F0B" w:themeFill="accent5" w:themeFillShade="CC"/>
      </w:tcPr>
    </w:tblStylePr>
    <w:tblStylePr w:type="lastRow">
      <w:rPr>
        <w:b/>
        <w:bCs/>
        <w:color w:val="D95F0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2D7" w:themeFill="accent6" w:themeFillTint="3F"/>
      </w:tcPr>
    </w:tblStylePr>
    <w:tblStylePr w:type="band1Horz">
      <w:tblPr/>
      <w:tcPr>
        <w:shd w:val="clear" w:color="auto" w:fill="FBDADF" w:themeFill="accent6" w:themeFillTint="33"/>
      </w:tcPr>
    </w:tblStylePr>
  </w:style>
  <w:style w:type="table" w:styleId="ColorfulShading">
    <w:name w:val="Colorful Shading"/>
    <w:basedOn w:val="TableNormal"/>
    <w:uiPriority w:val="71"/>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9EDAD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DAD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9EDADD" w:themeColor="accent2"/>
        <w:left w:val="single" w:sz="4" w:space="0" w:color="0097A7" w:themeColor="accent1"/>
        <w:bottom w:val="single" w:sz="4" w:space="0" w:color="0097A7" w:themeColor="accent1"/>
        <w:right w:val="single" w:sz="4" w:space="0" w:color="0097A7" w:themeColor="accent1"/>
        <w:insideH w:val="single" w:sz="4" w:space="0" w:color="FFFFFF" w:themeColor="background1"/>
        <w:insideV w:val="single" w:sz="4" w:space="0" w:color="FFFFFF" w:themeColor="background1"/>
      </w:tblBorders>
    </w:tblPr>
    <w:tcPr>
      <w:shd w:val="clear" w:color="auto" w:fill="DDFBFF" w:themeFill="accent1" w:themeFillTint="19"/>
    </w:tcPr>
    <w:tblStylePr w:type="firstRow">
      <w:rPr>
        <w:b/>
        <w:bCs/>
      </w:rPr>
      <w:tblPr/>
      <w:tcPr>
        <w:tcBorders>
          <w:top w:val="nil"/>
          <w:left w:val="nil"/>
          <w:bottom w:val="single" w:sz="24" w:space="0" w:color="9EDAD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64" w:themeFill="accent1" w:themeFillShade="99"/>
      </w:tcPr>
    </w:tblStylePr>
    <w:tblStylePr w:type="firstCol">
      <w:rPr>
        <w:color w:val="FFFFFF" w:themeColor="background1"/>
      </w:rPr>
      <w:tblPr/>
      <w:tcPr>
        <w:tcBorders>
          <w:top w:val="nil"/>
          <w:left w:val="nil"/>
          <w:bottom w:val="nil"/>
          <w:right w:val="nil"/>
          <w:insideH w:val="single" w:sz="4" w:space="0" w:color="005A64" w:themeColor="accent1" w:themeShade="99"/>
          <w:insideV w:val="nil"/>
        </w:tcBorders>
        <w:shd w:val="clear" w:color="auto" w:fill="005A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A64" w:themeFill="accent1" w:themeFillShade="99"/>
      </w:tcPr>
    </w:tblStylePr>
    <w:tblStylePr w:type="band1Vert">
      <w:tblPr/>
      <w:tcPr>
        <w:shd w:val="clear" w:color="auto" w:fill="75F1FF" w:themeFill="accent1" w:themeFillTint="66"/>
      </w:tcPr>
    </w:tblStylePr>
    <w:tblStylePr w:type="band1Horz">
      <w:tblPr/>
      <w:tcPr>
        <w:shd w:val="clear" w:color="auto" w:fill="54EE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9EDADD" w:themeColor="accent2"/>
        <w:left w:val="single" w:sz="4" w:space="0" w:color="9EDADD" w:themeColor="accent2"/>
        <w:bottom w:val="single" w:sz="4" w:space="0" w:color="9EDADD" w:themeColor="accent2"/>
        <w:right w:val="single" w:sz="4" w:space="0" w:color="9EDADD" w:themeColor="accent2"/>
        <w:insideH w:val="single" w:sz="4" w:space="0" w:color="FFFFFF" w:themeColor="background1"/>
        <w:insideV w:val="single" w:sz="4" w:space="0" w:color="FFFFFF" w:themeColor="background1"/>
      </w:tblBorders>
    </w:tblPr>
    <w:tcPr>
      <w:shd w:val="clear" w:color="auto" w:fill="F5FBFB" w:themeFill="accent2" w:themeFillTint="19"/>
    </w:tcPr>
    <w:tblStylePr w:type="firstRow">
      <w:rPr>
        <w:b/>
        <w:bCs/>
      </w:rPr>
      <w:tblPr/>
      <w:tcPr>
        <w:tcBorders>
          <w:top w:val="nil"/>
          <w:left w:val="nil"/>
          <w:bottom w:val="single" w:sz="24" w:space="0" w:color="9EDAD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A2A8" w:themeFill="accent2" w:themeFillShade="99"/>
      </w:tcPr>
    </w:tblStylePr>
    <w:tblStylePr w:type="firstCol">
      <w:rPr>
        <w:color w:val="FFFFFF" w:themeColor="background1"/>
      </w:rPr>
      <w:tblPr/>
      <w:tcPr>
        <w:tcBorders>
          <w:top w:val="nil"/>
          <w:left w:val="nil"/>
          <w:bottom w:val="nil"/>
          <w:right w:val="nil"/>
          <w:insideH w:val="single" w:sz="4" w:space="0" w:color="3BA2A8" w:themeColor="accent2" w:themeShade="99"/>
          <w:insideV w:val="nil"/>
        </w:tcBorders>
        <w:shd w:val="clear" w:color="auto" w:fill="3BA2A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A2A8" w:themeFill="accent2" w:themeFillShade="99"/>
      </w:tcPr>
    </w:tblStylePr>
    <w:tblStylePr w:type="band1Vert">
      <w:tblPr/>
      <w:tcPr>
        <w:shd w:val="clear" w:color="auto" w:fill="D8F0F1" w:themeFill="accent2" w:themeFillTint="66"/>
      </w:tcPr>
    </w:tblStylePr>
    <w:tblStylePr w:type="band1Horz">
      <w:tblPr/>
      <w:tcPr>
        <w:shd w:val="clear" w:color="auto" w:fill="CEECE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0F7883" w:themeColor="accent4"/>
        <w:left w:val="single" w:sz="4" w:space="0" w:color="FDDD3A" w:themeColor="accent3"/>
        <w:bottom w:val="single" w:sz="4" w:space="0" w:color="FDDD3A" w:themeColor="accent3"/>
        <w:right w:val="single" w:sz="4" w:space="0" w:color="FDDD3A" w:themeColor="accent3"/>
        <w:insideH w:val="single" w:sz="4" w:space="0" w:color="FFFFFF" w:themeColor="background1"/>
        <w:insideV w:val="single" w:sz="4" w:space="0" w:color="FFFFFF" w:themeColor="background1"/>
      </w:tblBorders>
    </w:tblPr>
    <w:tcPr>
      <w:shd w:val="clear" w:color="auto" w:fill="FEFBEB" w:themeFill="accent3" w:themeFillTint="19"/>
    </w:tcPr>
    <w:tblStylePr w:type="firstRow">
      <w:rPr>
        <w:b/>
        <w:bCs/>
      </w:rPr>
      <w:tblPr/>
      <w:tcPr>
        <w:tcBorders>
          <w:top w:val="nil"/>
          <w:left w:val="nil"/>
          <w:bottom w:val="single" w:sz="24" w:space="0" w:color="0F78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9A02" w:themeFill="accent3" w:themeFillShade="99"/>
      </w:tcPr>
    </w:tblStylePr>
    <w:tblStylePr w:type="firstCol">
      <w:rPr>
        <w:color w:val="FFFFFF" w:themeColor="background1"/>
      </w:rPr>
      <w:tblPr/>
      <w:tcPr>
        <w:tcBorders>
          <w:top w:val="nil"/>
          <w:left w:val="nil"/>
          <w:bottom w:val="nil"/>
          <w:right w:val="nil"/>
          <w:insideH w:val="single" w:sz="4" w:space="0" w:color="B89A02" w:themeColor="accent3" w:themeShade="99"/>
          <w:insideV w:val="nil"/>
        </w:tcBorders>
        <w:shd w:val="clear" w:color="auto" w:fill="B89A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89A02" w:themeFill="accent3" w:themeFillShade="99"/>
      </w:tcPr>
    </w:tblStylePr>
    <w:tblStylePr w:type="band1Vert">
      <w:tblPr/>
      <w:tcPr>
        <w:shd w:val="clear" w:color="auto" w:fill="FEF1B0" w:themeFill="accent3" w:themeFillTint="66"/>
      </w:tcPr>
    </w:tblStylePr>
    <w:tblStylePr w:type="band1Horz">
      <w:tblPr/>
      <w:tcPr>
        <w:shd w:val="clear" w:color="auto" w:fill="FEED9C" w:themeFill="accent3" w:themeFillTint="7F"/>
      </w:tcPr>
    </w:tblStylePr>
  </w:style>
  <w:style w:type="table" w:styleId="ColorfulShading-Accent4">
    <w:name w:val="Colorful Shading Accent 4"/>
    <w:basedOn w:val="TableNormal"/>
    <w:uiPriority w:val="71"/>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FDDD3A" w:themeColor="accent3"/>
        <w:left w:val="single" w:sz="4" w:space="0" w:color="0F7883" w:themeColor="accent4"/>
        <w:bottom w:val="single" w:sz="4" w:space="0" w:color="0F7883" w:themeColor="accent4"/>
        <w:right w:val="single" w:sz="4" w:space="0" w:color="0F7883" w:themeColor="accent4"/>
        <w:insideH w:val="single" w:sz="4" w:space="0" w:color="FFFFFF" w:themeColor="background1"/>
        <w:insideV w:val="single" w:sz="4" w:space="0" w:color="FFFFFF" w:themeColor="background1"/>
      </w:tblBorders>
    </w:tblPr>
    <w:tcPr>
      <w:shd w:val="clear" w:color="auto" w:fill="DEF8FB" w:themeFill="accent4" w:themeFillTint="19"/>
    </w:tcPr>
    <w:tblStylePr w:type="firstRow">
      <w:rPr>
        <w:b/>
        <w:bCs/>
      </w:rPr>
      <w:tblPr/>
      <w:tcPr>
        <w:tcBorders>
          <w:top w:val="nil"/>
          <w:left w:val="nil"/>
          <w:bottom w:val="single" w:sz="24" w:space="0" w:color="FDDD3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74E" w:themeFill="accent4" w:themeFillShade="99"/>
      </w:tcPr>
    </w:tblStylePr>
    <w:tblStylePr w:type="firstCol">
      <w:rPr>
        <w:color w:val="FFFFFF" w:themeColor="background1"/>
      </w:rPr>
      <w:tblPr/>
      <w:tcPr>
        <w:tcBorders>
          <w:top w:val="nil"/>
          <w:left w:val="nil"/>
          <w:bottom w:val="nil"/>
          <w:right w:val="nil"/>
          <w:insideH w:val="single" w:sz="4" w:space="0" w:color="09474E" w:themeColor="accent4" w:themeShade="99"/>
          <w:insideV w:val="nil"/>
        </w:tcBorders>
        <w:shd w:val="clear" w:color="auto" w:fill="0947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474E" w:themeFill="accent4" w:themeFillShade="99"/>
      </w:tcPr>
    </w:tblStylePr>
    <w:tblStylePr w:type="band1Vert">
      <w:tblPr/>
      <w:tcPr>
        <w:shd w:val="clear" w:color="auto" w:fill="7CE4F0" w:themeFill="accent4" w:themeFillTint="66"/>
      </w:tcPr>
    </w:tblStylePr>
    <w:tblStylePr w:type="band1Horz">
      <w:tblPr/>
      <w:tcPr>
        <w:shd w:val="clear" w:color="auto" w:fill="5CDE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EC4B62" w:themeColor="accent6"/>
        <w:left w:val="single" w:sz="4" w:space="0" w:color="F47D2A" w:themeColor="accent5"/>
        <w:bottom w:val="single" w:sz="4" w:space="0" w:color="F47D2A" w:themeColor="accent5"/>
        <w:right w:val="single" w:sz="4" w:space="0" w:color="F47D2A" w:themeColor="accent5"/>
        <w:insideH w:val="single" w:sz="4" w:space="0" w:color="FFFFFF" w:themeColor="background1"/>
        <w:insideV w:val="single" w:sz="4" w:space="0" w:color="FFFFFF" w:themeColor="background1"/>
      </w:tblBorders>
    </w:tblPr>
    <w:tcPr>
      <w:shd w:val="clear" w:color="auto" w:fill="FEF2EA" w:themeFill="accent5" w:themeFillTint="19"/>
    </w:tcPr>
    <w:tblStylePr w:type="firstRow">
      <w:rPr>
        <w:b/>
        <w:bCs/>
      </w:rPr>
      <w:tblPr/>
      <w:tcPr>
        <w:tcBorders>
          <w:top w:val="nil"/>
          <w:left w:val="nil"/>
          <w:bottom w:val="single" w:sz="24" w:space="0" w:color="EC4B6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4708" w:themeFill="accent5" w:themeFillShade="99"/>
      </w:tcPr>
    </w:tblStylePr>
    <w:tblStylePr w:type="firstCol">
      <w:rPr>
        <w:color w:val="FFFFFF" w:themeColor="background1"/>
      </w:rPr>
      <w:tblPr/>
      <w:tcPr>
        <w:tcBorders>
          <w:top w:val="nil"/>
          <w:left w:val="nil"/>
          <w:bottom w:val="nil"/>
          <w:right w:val="nil"/>
          <w:insideH w:val="single" w:sz="4" w:space="0" w:color="A24708" w:themeColor="accent5" w:themeShade="99"/>
          <w:insideV w:val="nil"/>
        </w:tcBorders>
        <w:shd w:val="clear" w:color="auto" w:fill="A2470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24708" w:themeFill="accent5" w:themeFillShade="99"/>
      </w:tcPr>
    </w:tblStylePr>
    <w:tblStylePr w:type="band1Vert">
      <w:tblPr/>
      <w:tcPr>
        <w:shd w:val="clear" w:color="auto" w:fill="FACAA9" w:themeFill="accent5" w:themeFillTint="66"/>
      </w:tcPr>
    </w:tblStylePr>
    <w:tblStylePr w:type="band1Horz">
      <w:tblPr/>
      <w:tcPr>
        <w:shd w:val="clear" w:color="auto" w:fill="F9BD9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24" w:space="0" w:color="F47D2A" w:themeColor="accent5"/>
        <w:left w:val="single" w:sz="4" w:space="0" w:color="EC4B62" w:themeColor="accent6"/>
        <w:bottom w:val="single" w:sz="4" w:space="0" w:color="EC4B62" w:themeColor="accent6"/>
        <w:right w:val="single" w:sz="4" w:space="0" w:color="EC4B62" w:themeColor="accent6"/>
        <w:insideH w:val="single" w:sz="4" w:space="0" w:color="FFFFFF" w:themeColor="background1"/>
        <w:insideV w:val="single" w:sz="4" w:space="0" w:color="FFFFFF" w:themeColor="background1"/>
      </w:tblBorders>
    </w:tblPr>
    <w:tcPr>
      <w:shd w:val="clear" w:color="auto" w:fill="FDEDEF" w:themeFill="accent6" w:themeFillTint="19"/>
    </w:tcPr>
    <w:tblStylePr w:type="firstRow">
      <w:rPr>
        <w:b/>
        <w:bCs/>
      </w:rPr>
      <w:tblPr/>
      <w:tcPr>
        <w:tcBorders>
          <w:top w:val="nil"/>
          <w:left w:val="nil"/>
          <w:bottom w:val="single" w:sz="24" w:space="0" w:color="F47D2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1227" w:themeFill="accent6" w:themeFillShade="99"/>
      </w:tcPr>
    </w:tblStylePr>
    <w:tblStylePr w:type="firstCol">
      <w:rPr>
        <w:color w:val="FFFFFF" w:themeColor="background1"/>
      </w:rPr>
      <w:tblPr/>
      <w:tcPr>
        <w:tcBorders>
          <w:top w:val="nil"/>
          <w:left w:val="nil"/>
          <w:bottom w:val="nil"/>
          <w:right w:val="nil"/>
          <w:insideH w:val="single" w:sz="4" w:space="0" w:color="A81227" w:themeColor="accent6" w:themeShade="99"/>
          <w:insideV w:val="nil"/>
        </w:tcBorders>
        <w:shd w:val="clear" w:color="auto" w:fill="A8122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81227" w:themeFill="accent6" w:themeFillShade="99"/>
      </w:tcPr>
    </w:tblStylePr>
    <w:tblStylePr w:type="band1Vert">
      <w:tblPr/>
      <w:tcPr>
        <w:shd w:val="clear" w:color="auto" w:fill="F7B6BF" w:themeFill="accent6" w:themeFillTint="66"/>
      </w:tcPr>
    </w:tblStylePr>
    <w:tblStylePr w:type="band1Horz">
      <w:tblPr/>
      <w:tcPr>
        <w:shd w:val="clear" w:color="auto" w:fill="F5A5B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71FF2"/>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71FF2"/>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0097A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0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07D" w:themeFill="accent1" w:themeFillShade="BF"/>
      </w:tcPr>
    </w:tblStylePr>
    <w:tblStylePr w:type="band1Vert">
      <w:tblPr/>
      <w:tcPr>
        <w:tcBorders>
          <w:top w:val="nil"/>
          <w:left w:val="nil"/>
          <w:bottom w:val="nil"/>
          <w:right w:val="nil"/>
          <w:insideH w:val="nil"/>
          <w:insideV w:val="nil"/>
        </w:tcBorders>
        <w:shd w:val="clear" w:color="auto" w:fill="00707D" w:themeFill="accent1" w:themeFillShade="BF"/>
      </w:tcPr>
    </w:tblStylePr>
    <w:tblStylePr w:type="band1Horz">
      <w:tblPr/>
      <w:tcPr>
        <w:tcBorders>
          <w:top w:val="nil"/>
          <w:left w:val="nil"/>
          <w:bottom w:val="nil"/>
          <w:right w:val="nil"/>
          <w:insideH w:val="nil"/>
          <w:insideV w:val="nil"/>
        </w:tcBorders>
        <w:shd w:val="clear" w:color="auto" w:fill="00707D" w:themeFill="accent1" w:themeFillShade="BF"/>
      </w:tcPr>
    </w:tblStylePr>
  </w:style>
  <w:style w:type="table" w:styleId="DarkList-Accent2">
    <w:name w:val="Dark List Accent 2"/>
    <w:basedOn w:val="TableNormal"/>
    <w:uiPriority w:val="70"/>
    <w:semiHidden/>
    <w:unhideWhenUsed/>
    <w:rsid w:val="00E71FF2"/>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9EDAD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868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7BEC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7BEC4" w:themeFill="accent2" w:themeFillShade="BF"/>
      </w:tcPr>
    </w:tblStylePr>
    <w:tblStylePr w:type="band1Vert">
      <w:tblPr/>
      <w:tcPr>
        <w:tcBorders>
          <w:top w:val="nil"/>
          <w:left w:val="nil"/>
          <w:bottom w:val="nil"/>
          <w:right w:val="nil"/>
          <w:insideH w:val="nil"/>
          <w:insideV w:val="nil"/>
        </w:tcBorders>
        <w:shd w:val="clear" w:color="auto" w:fill="57BEC4" w:themeFill="accent2" w:themeFillShade="BF"/>
      </w:tcPr>
    </w:tblStylePr>
    <w:tblStylePr w:type="band1Horz">
      <w:tblPr/>
      <w:tcPr>
        <w:tcBorders>
          <w:top w:val="nil"/>
          <w:left w:val="nil"/>
          <w:bottom w:val="nil"/>
          <w:right w:val="nil"/>
          <w:insideH w:val="nil"/>
          <w:insideV w:val="nil"/>
        </w:tcBorders>
        <w:shd w:val="clear" w:color="auto" w:fill="57BEC4" w:themeFill="accent2" w:themeFillShade="BF"/>
      </w:tcPr>
    </w:tblStylePr>
  </w:style>
  <w:style w:type="table" w:styleId="DarkList-Accent3">
    <w:name w:val="Dark List Accent 3"/>
    <w:basedOn w:val="TableNormal"/>
    <w:uiPriority w:val="70"/>
    <w:semiHidden/>
    <w:unhideWhenUsed/>
    <w:rsid w:val="00E71FF2"/>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FDDD3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8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6C0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6C002" w:themeFill="accent3" w:themeFillShade="BF"/>
      </w:tcPr>
    </w:tblStylePr>
    <w:tblStylePr w:type="band1Vert">
      <w:tblPr/>
      <w:tcPr>
        <w:tcBorders>
          <w:top w:val="nil"/>
          <w:left w:val="nil"/>
          <w:bottom w:val="nil"/>
          <w:right w:val="nil"/>
          <w:insideH w:val="nil"/>
          <w:insideV w:val="nil"/>
        </w:tcBorders>
        <w:shd w:val="clear" w:color="auto" w:fill="E6C002" w:themeFill="accent3" w:themeFillShade="BF"/>
      </w:tcPr>
    </w:tblStylePr>
    <w:tblStylePr w:type="band1Horz">
      <w:tblPr/>
      <w:tcPr>
        <w:tcBorders>
          <w:top w:val="nil"/>
          <w:left w:val="nil"/>
          <w:bottom w:val="nil"/>
          <w:right w:val="nil"/>
          <w:insideH w:val="nil"/>
          <w:insideV w:val="nil"/>
        </w:tcBorders>
        <w:shd w:val="clear" w:color="auto" w:fill="E6C002" w:themeFill="accent3" w:themeFillShade="BF"/>
      </w:tcPr>
    </w:tblStylePr>
  </w:style>
  <w:style w:type="table" w:styleId="DarkList-Accent4">
    <w:name w:val="Dark List Accent 4"/>
    <w:basedOn w:val="TableNormal"/>
    <w:uiPriority w:val="70"/>
    <w:semiHidden/>
    <w:unhideWhenUsed/>
    <w:rsid w:val="00E71FF2"/>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0F78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3B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59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5962" w:themeFill="accent4" w:themeFillShade="BF"/>
      </w:tcPr>
    </w:tblStylePr>
    <w:tblStylePr w:type="band1Vert">
      <w:tblPr/>
      <w:tcPr>
        <w:tcBorders>
          <w:top w:val="nil"/>
          <w:left w:val="nil"/>
          <w:bottom w:val="nil"/>
          <w:right w:val="nil"/>
          <w:insideH w:val="nil"/>
          <w:insideV w:val="nil"/>
        </w:tcBorders>
        <w:shd w:val="clear" w:color="auto" w:fill="0B5962" w:themeFill="accent4" w:themeFillShade="BF"/>
      </w:tcPr>
    </w:tblStylePr>
    <w:tblStylePr w:type="band1Horz">
      <w:tblPr/>
      <w:tcPr>
        <w:tcBorders>
          <w:top w:val="nil"/>
          <w:left w:val="nil"/>
          <w:bottom w:val="nil"/>
          <w:right w:val="nil"/>
          <w:insideH w:val="nil"/>
          <w:insideV w:val="nil"/>
        </w:tcBorders>
        <w:shd w:val="clear" w:color="auto" w:fill="0B5962" w:themeFill="accent4" w:themeFillShade="BF"/>
      </w:tcPr>
    </w:tblStylePr>
  </w:style>
  <w:style w:type="table" w:styleId="DarkList-Accent5">
    <w:name w:val="Dark List Accent 5"/>
    <w:basedOn w:val="TableNormal"/>
    <w:uiPriority w:val="70"/>
    <w:semiHidden/>
    <w:unhideWhenUsed/>
    <w:rsid w:val="00E71FF2"/>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F47D2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3B0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B590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B590A" w:themeFill="accent5" w:themeFillShade="BF"/>
      </w:tcPr>
    </w:tblStylePr>
    <w:tblStylePr w:type="band1Vert">
      <w:tblPr/>
      <w:tcPr>
        <w:tcBorders>
          <w:top w:val="nil"/>
          <w:left w:val="nil"/>
          <w:bottom w:val="nil"/>
          <w:right w:val="nil"/>
          <w:insideH w:val="nil"/>
          <w:insideV w:val="nil"/>
        </w:tcBorders>
        <w:shd w:val="clear" w:color="auto" w:fill="CB590A" w:themeFill="accent5" w:themeFillShade="BF"/>
      </w:tcPr>
    </w:tblStylePr>
    <w:tblStylePr w:type="band1Horz">
      <w:tblPr/>
      <w:tcPr>
        <w:tcBorders>
          <w:top w:val="nil"/>
          <w:left w:val="nil"/>
          <w:bottom w:val="nil"/>
          <w:right w:val="nil"/>
          <w:insideH w:val="nil"/>
          <w:insideV w:val="nil"/>
        </w:tcBorders>
        <w:shd w:val="clear" w:color="auto" w:fill="CB590A" w:themeFill="accent5" w:themeFillShade="BF"/>
      </w:tcPr>
    </w:tblStylePr>
  </w:style>
  <w:style w:type="table" w:styleId="DarkList-Accent6">
    <w:name w:val="Dark List Accent 6"/>
    <w:basedOn w:val="TableNormal"/>
    <w:uiPriority w:val="70"/>
    <w:semiHidden/>
    <w:unhideWhenUsed/>
    <w:rsid w:val="00E71FF2"/>
    <w:pPr>
      <w:spacing w:after="0" w:line="240" w:lineRule="auto"/>
      <w:jc w:val="both"/>
    </w:pPr>
    <w:rPr>
      <w:rFonts w:ascii="Century Schoolbook" w:hAnsi="Century Schoolbook" w:cs="Verdana"/>
      <w:color w:val="FFFFFF" w:themeColor="background1"/>
      <w:sz w:val="20"/>
      <w:szCs w:val="20"/>
    </w:rPr>
    <w:tblPr>
      <w:tblStyleRowBandSize w:val="1"/>
      <w:tblStyleColBandSize w:val="1"/>
    </w:tblPr>
    <w:tcPr>
      <w:shd w:val="clear" w:color="auto" w:fill="EC4B6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0E2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2163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21630" w:themeFill="accent6" w:themeFillShade="BF"/>
      </w:tcPr>
    </w:tblStylePr>
    <w:tblStylePr w:type="band1Vert">
      <w:tblPr/>
      <w:tcPr>
        <w:tcBorders>
          <w:top w:val="nil"/>
          <w:left w:val="nil"/>
          <w:bottom w:val="nil"/>
          <w:right w:val="nil"/>
          <w:insideH w:val="nil"/>
          <w:insideV w:val="nil"/>
        </w:tcBorders>
        <w:shd w:val="clear" w:color="auto" w:fill="D21630" w:themeFill="accent6" w:themeFillShade="BF"/>
      </w:tcPr>
    </w:tblStylePr>
    <w:tblStylePr w:type="band1Horz">
      <w:tblPr/>
      <w:tcPr>
        <w:tcBorders>
          <w:top w:val="nil"/>
          <w:left w:val="nil"/>
          <w:bottom w:val="nil"/>
          <w:right w:val="nil"/>
          <w:insideH w:val="nil"/>
          <w:insideV w:val="nil"/>
        </w:tcBorders>
        <w:shd w:val="clear" w:color="auto" w:fill="D21630" w:themeFill="accent6" w:themeFillShade="BF"/>
      </w:tcPr>
    </w:tblStylePr>
  </w:style>
  <w:style w:type="paragraph" w:styleId="Date">
    <w:name w:val="Date"/>
    <w:basedOn w:val="Normal"/>
    <w:next w:val="Normal"/>
    <w:link w:val="DateChar"/>
    <w:uiPriority w:val="99"/>
    <w:semiHidden/>
    <w:rsid w:val="00E71FF2"/>
    <w:pPr>
      <w:spacing w:line="312" w:lineRule="auto"/>
      <w:jc w:val="both"/>
    </w:pPr>
    <w:rPr>
      <w:rFonts w:ascii="Century Schoolbook" w:hAnsi="Century Schoolbook" w:cs="Verdana"/>
      <w:szCs w:val="20"/>
    </w:rPr>
  </w:style>
  <w:style w:type="character" w:customStyle="1" w:styleId="DateChar">
    <w:name w:val="Date Char"/>
    <w:basedOn w:val="DefaultParagraphFont"/>
    <w:link w:val="Date"/>
    <w:uiPriority w:val="99"/>
    <w:semiHidden/>
    <w:rsid w:val="00E71FF2"/>
    <w:rPr>
      <w:rFonts w:ascii="Century Schoolbook" w:hAnsi="Century Schoolbook" w:cs="Verdana"/>
      <w:sz w:val="20"/>
      <w:szCs w:val="20"/>
    </w:rPr>
  </w:style>
  <w:style w:type="paragraph" w:styleId="DocumentMap">
    <w:name w:val="Document Map"/>
    <w:basedOn w:val="Normal"/>
    <w:link w:val="DocumentMapChar"/>
    <w:uiPriority w:val="99"/>
    <w:semiHidden/>
    <w:rsid w:val="00E71FF2"/>
    <w:pPr>
      <w:spacing w:line="240" w:lineRule="auto"/>
      <w:jc w:val="both"/>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71FF2"/>
    <w:rPr>
      <w:rFonts w:ascii="Segoe UI" w:hAnsi="Segoe UI" w:cs="Segoe UI"/>
      <w:sz w:val="16"/>
      <w:szCs w:val="16"/>
    </w:rPr>
  </w:style>
  <w:style w:type="paragraph" w:styleId="E-mailSignature">
    <w:name w:val="E-mail Signature"/>
    <w:basedOn w:val="Normal"/>
    <w:link w:val="E-mailSignatureChar"/>
    <w:uiPriority w:val="99"/>
    <w:semiHidden/>
    <w:rsid w:val="00E71FF2"/>
    <w:pPr>
      <w:spacing w:line="240" w:lineRule="auto"/>
      <w:jc w:val="both"/>
    </w:pPr>
    <w:rPr>
      <w:rFonts w:ascii="Century Schoolbook" w:hAnsi="Century Schoolbook" w:cs="Verdana"/>
      <w:szCs w:val="20"/>
    </w:rPr>
  </w:style>
  <w:style w:type="character" w:customStyle="1" w:styleId="E-mailSignatureChar">
    <w:name w:val="E-mail Signature Char"/>
    <w:basedOn w:val="DefaultParagraphFont"/>
    <w:link w:val="E-mailSignature"/>
    <w:uiPriority w:val="99"/>
    <w:semiHidden/>
    <w:rsid w:val="00E71FF2"/>
    <w:rPr>
      <w:rFonts w:ascii="Century Schoolbook" w:hAnsi="Century Schoolbook" w:cs="Verdana"/>
      <w:sz w:val="20"/>
      <w:szCs w:val="20"/>
    </w:rPr>
  </w:style>
  <w:style w:type="character" w:styleId="Emphasis">
    <w:name w:val="Emphasis"/>
    <w:basedOn w:val="DefaultParagraphFont"/>
    <w:uiPriority w:val="19"/>
    <w:rsid w:val="00E71FF2"/>
    <w:rPr>
      <w:i/>
      <w:iCs/>
      <w:lang w:val="da-DK"/>
    </w:rPr>
  </w:style>
  <w:style w:type="paragraph" w:styleId="EnvelopeAddress">
    <w:name w:val="envelope address"/>
    <w:basedOn w:val="Normal"/>
    <w:uiPriority w:val="99"/>
    <w:semiHidden/>
    <w:rsid w:val="00E71FF2"/>
    <w:pPr>
      <w:framePr w:w="7920" w:h="1980" w:hRule="exact" w:hSpace="180" w:wrap="auto" w:hAnchor="page" w:xAlign="center" w:yAlign="bottom"/>
      <w:spacing w:line="240" w:lineRule="auto"/>
      <w:ind w:left="2880"/>
      <w:jc w:val="both"/>
    </w:pPr>
    <w:rPr>
      <w:rFonts w:asciiTheme="majorHAnsi" w:eastAsiaTheme="majorEastAsia" w:hAnsiTheme="majorHAnsi" w:cstheme="majorBidi"/>
      <w:sz w:val="24"/>
      <w:szCs w:val="24"/>
    </w:rPr>
  </w:style>
  <w:style w:type="paragraph" w:styleId="EnvelopeReturn">
    <w:name w:val="envelope return"/>
    <w:basedOn w:val="Normal"/>
    <w:uiPriority w:val="99"/>
    <w:semiHidden/>
    <w:rsid w:val="00E71FF2"/>
    <w:pPr>
      <w:spacing w:line="240" w:lineRule="auto"/>
      <w:jc w:val="both"/>
    </w:pPr>
    <w:rPr>
      <w:rFonts w:asciiTheme="majorHAnsi" w:eastAsiaTheme="majorEastAsia" w:hAnsiTheme="majorHAnsi" w:cstheme="majorBidi"/>
      <w:szCs w:val="20"/>
    </w:rPr>
  </w:style>
  <w:style w:type="character" w:styleId="FollowedHyperlink">
    <w:name w:val="FollowedHyperlink"/>
    <w:basedOn w:val="DefaultParagraphFont"/>
    <w:uiPriority w:val="21"/>
    <w:semiHidden/>
    <w:rsid w:val="00E71FF2"/>
    <w:rPr>
      <w:color w:val="4BB3C4" w:themeColor="followedHyperlink"/>
      <w:u w:val="single"/>
      <w:lang w:val="da-DK"/>
    </w:rPr>
  </w:style>
  <w:style w:type="table" w:styleId="GridTable1Light">
    <w:name w:val="Grid Table 1 Light"/>
    <w:basedOn w:val="TableNormal"/>
    <w:uiPriority w:val="46"/>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75F1FF" w:themeColor="accent1" w:themeTint="66"/>
        <w:left w:val="single" w:sz="4" w:space="0" w:color="75F1FF" w:themeColor="accent1" w:themeTint="66"/>
        <w:bottom w:val="single" w:sz="4" w:space="0" w:color="75F1FF" w:themeColor="accent1" w:themeTint="66"/>
        <w:right w:val="single" w:sz="4" w:space="0" w:color="75F1FF" w:themeColor="accent1" w:themeTint="66"/>
        <w:insideH w:val="single" w:sz="4" w:space="0" w:color="75F1FF" w:themeColor="accent1" w:themeTint="66"/>
        <w:insideV w:val="single" w:sz="4" w:space="0" w:color="75F1FF" w:themeColor="accent1" w:themeTint="66"/>
      </w:tblBorders>
    </w:tblPr>
    <w:tblStylePr w:type="firstRow">
      <w:rPr>
        <w:b/>
        <w:bCs/>
      </w:rPr>
      <w:tblPr/>
      <w:tcPr>
        <w:tcBorders>
          <w:bottom w:val="single" w:sz="12" w:space="0" w:color="31EAFF" w:themeColor="accent1" w:themeTint="99"/>
        </w:tcBorders>
      </w:tcPr>
    </w:tblStylePr>
    <w:tblStylePr w:type="lastRow">
      <w:rPr>
        <w:b/>
        <w:bCs/>
      </w:rPr>
      <w:tblPr/>
      <w:tcPr>
        <w:tcBorders>
          <w:top w:val="double" w:sz="2" w:space="0" w:color="31E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D8F0F1" w:themeColor="accent2" w:themeTint="66"/>
        <w:left w:val="single" w:sz="4" w:space="0" w:color="D8F0F1" w:themeColor="accent2" w:themeTint="66"/>
        <w:bottom w:val="single" w:sz="4" w:space="0" w:color="D8F0F1" w:themeColor="accent2" w:themeTint="66"/>
        <w:right w:val="single" w:sz="4" w:space="0" w:color="D8F0F1" w:themeColor="accent2" w:themeTint="66"/>
        <w:insideH w:val="single" w:sz="4" w:space="0" w:color="D8F0F1" w:themeColor="accent2" w:themeTint="66"/>
        <w:insideV w:val="single" w:sz="4" w:space="0" w:color="D8F0F1" w:themeColor="accent2" w:themeTint="66"/>
      </w:tblBorders>
    </w:tblPr>
    <w:tblStylePr w:type="firstRow">
      <w:rPr>
        <w:b/>
        <w:bCs/>
      </w:rPr>
      <w:tblPr/>
      <w:tcPr>
        <w:tcBorders>
          <w:bottom w:val="single" w:sz="12" w:space="0" w:color="C4E8EA" w:themeColor="accent2" w:themeTint="99"/>
        </w:tcBorders>
      </w:tcPr>
    </w:tblStylePr>
    <w:tblStylePr w:type="lastRow">
      <w:rPr>
        <w:b/>
        <w:bCs/>
      </w:rPr>
      <w:tblPr/>
      <w:tcPr>
        <w:tcBorders>
          <w:top w:val="double" w:sz="2" w:space="0" w:color="C4E8E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EF1B0" w:themeColor="accent3" w:themeTint="66"/>
        <w:left w:val="single" w:sz="4" w:space="0" w:color="FEF1B0" w:themeColor="accent3" w:themeTint="66"/>
        <w:bottom w:val="single" w:sz="4" w:space="0" w:color="FEF1B0" w:themeColor="accent3" w:themeTint="66"/>
        <w:right w:val="single" w:sz="4" w:space="0" w:color="FEF1B0" w:themeColor="accent3" w:themeTint="66"/>
        <w:insideH w:val="single" w:sz="4" w:space="0" w:color="FEF1B0" w:themeColor="accent3" w:themeTint="66"/>
        <w:insideV w:val="single" w:sz="4" w:space="0" w:color="FEF1B0" w:themeColor="accent3" w:themeTint="66"/>
      </w:tblBorders>
    </w:tblPr>
    <w:tblStylePr w:type="firstRow">
      <w:rPr>
        <w:b/>
        <w:bCs/>
      </w:rPr>
      <w:tblPr/>
      <w:tcPr>
        <w:tcBorders>
          <w:bottom w:val="single" w:sz="12" w:space="0" w:color="FDEA88" w:themeColor="accent3" w:themeTint="99"/>
        </w:tcBorders>
      </w:tcPr>
    </w:tblStylePr>
    <w:tblStylePr w:type="lastRow">
      <w:rPr>
        <w:b/>
        <w:bCs/>
      </w:rPr>
      <w:tblPr/>
      <w:tcPr>
        <w:tcBorders>
          <w:top w:val="double" w:sz="2" w:space="0" w:color="FDEA8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7CE4F0" w:themeColor="accent4" w:themeTint="66"/>
        <w:left w:val="single" w:sz="4" w:space="0" w:color="7CE4F0" w:themeColor="accent4" w:themeTint="66"/>
        <w:bottom w:val="single" w:sz="4" w:space="0" w:color="7CE4F0" w:themeColor="accent4" w:themeTint="66"/>
        <w:right w:val="single" w:sz="4" w:space="0" w:color="7CE4F0" w:themeColor="accent4" w:themeTint="66"/>
        <w:insideH w:val="single" w:sz="4" w:space="0" w:color="7CE4F0" w:themeColor="accent4" w:themeTint="66"/>
        <w:insideV w:val="single" w:sz="4" w:space="0" w:color="7CE4F0" w:themeColor="accent4" w:themeTint="66"/>
      </w:tblBorders>
    </w:tblPr>
    <w:tblStylePr w:type="firstRow">
      <w:rPr>
        <w:b/>
        <w:bCs/>
      </w:rPr>
      <w:tblPr/>
      <w:tcPr>
        <w:tcBorders>
          <w:bottom w:val="single" w:sz="12" w:space="0" w:color="3AD7E8" w:themeColor="accent4" w:themeTint="99"/>
        </w:tcBorders>
      </w:tcPr>
    </w:tblStylePr>
    <w:tblStylePr w:type="lastRow">
      <w:rPr>
        <w:b/>
        <w:bCs/>
      </w:rPr>
      <w:tblPr/>
      <w:tcPr>
        <w:tcBorders>
          <w:top w:val="double" w:sz="2" w:space="0" w:color="3AD7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ACAA9" w:themeColor="accent5" w:themeTint="66"/>
        <w:left w:val="single" w:sz="4" w:space="0" w:color="FACAA9" w:themeColor="accent5" w:themeTint="66"/>
        <w:bottom w:val="single" w:sz="4" w:space="0" w:color="FACAA9" w:themeColor="accent5" w:themeTint="66"/>
        <w:right w:val="single" w:sz="4" w:space="0" w:color="FACAA9" w:themeColor="accent5" w:themeTint="66"/>
        <w:insideH w:val="single" w:sz="4" w:space="0" w:color="FACAA9" w:themeColor="accent5" w:themeTint="66"/>
        <w:insideV w:val="single" w:sz="4" w:space="0" w:color="FACAA9" w:themeColor="accent5" w:themeTint="66"/>
      </w:tblBorders>
    </w:tblPr>
    <w:tblStylePr w:type="firstRow">
      <w:rPr>
        <w:b/>
        <w:bCs/>
      </w:rPr>
      <w:tblPr/>
      <w:tcPr>
        <w:tcBorders>
          <w:bottom w:val="single" w:sz="12" w:space="0" w:color="F8B07E" w:themeColor="accent5" w:themeTint="99"/>
        </w:tcBorders>
      </w:tcPr>
    </w:tblStylePr>
    <w:tblStylePr w:type="lastRow">
      <w:rPr>
        <w:b/>
        <w:bCs/>
      </w:rPr>
      <w:tblPr/>
      <w:tcPr>
        <w:tcBorders>
          <w:top w:val="double" w:sz="2" w:space="0" w:color="F8B07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7B6BF" w:themeColor="accent6" w:themeTint="66"/>
        <w:left w:val="single" w:sz="4" w:space="0" w:color="F7B6BF" w:themeColor="accent6" w:themeTint="66"/>
        <w:bottom w:val="single" w:sz="4" w:space="0" w:color="F7B6BF" w:themeColor="accent6" w:themeTint="66"/>
        <w:right w:val="single" w:sz="4" w:space="0" w:color="F7B6BF" w:themeColor="accent6" w:themeTint="66"/>
        <w:insideH w:val="single" w:sz="4" w:space="0" w:color="F7B6BF" w:themeColor="accent6" w:themeTint="66"/>
        <w:insideV w:val="single" w:sz="4" w:space="0" w:color="F7B6BF" w:themeColor="accent6" w:themeTint="66"/>
      </w:tblBorders>
    </w:tblPr>
    <w:tblStylePr w:type="firstRow">
      <w:rPr>
        <w:b/>
        <w:bCs/>
      </w:rPr>
      <w:tblPr/>
      <w:tcPr>
        <w:tcBorders>
          <w:bottom w:val="single" w:sz="12" w:space="0" w:color="F392A0" w:themeColor="accent6" w:themeTint="99"/>
        </w:tcBorders>
      </w:tcPr>
    </w:tblStylePr>
    <w:tblStylePr w:type="lastRow">
      <w:rPr>
        <w:b/>
        <w:bCs/>
      </w:rPr>
      <w:tblPr/>
      <w:tcPr>
        <w:tcBorders>
          <w:top w:val="double" w:sz="2" w:space="0" w:color="F392A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71FF2"/>
    <w:pPr>
      <w:spacing w:after="0" w:line="240" w:lineRule="auto"/>
      <w:jc w:val="both"/>
    </w:pPr>
    <w:rPr>
      <w:rFonts w:ascii="Century Schoolbook" w:hAnsi="Century Schoolbook" w:cs="Verdana"/>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71FF2"/>
    <w:pPr>
      <w:spacing w:after="0" w:line="240" w:lineRule="auto"/>
      <w:jc w:val="both"/>
    </w:pPr>
    <w:rPr>
      <w:rFonts w:ascii="Century Schoolbook" w:hAnsi="Century Schoolbook" w:cs="Verdana"/>
      <w:sz w:val="20"/>
      <w:szCs w:val="20"/>
    </w:rPr>
    <w:tblPr>
      <w:tblStyleRowBandSize w:val="1"/>
      <w:tblStyleColBandSize w:val="1"/>
      <w:tblBorders>
        <w:top w:val="single" w:sz="2" w:space="0" w:color="31EAFF" w:themeColor="accent1" w:themeTint="99"/>
        <w:bottom w:val="single" w:sz="2" w:space="0" w:color="31EAFF" w:themeColor="accent1" w:themeTint="99"/>
        <w:insideH w:val="single" w:sz="2" w:space="0" w:color="31EAFF" w:themeColor="accent1" w:themeTint="99"/>
        <w:insideV w:val="single" w:sz="2" w:space="0" w:color="31EAFF" w:themeColor="accent1" w:themeTint="99"/>
      </w:tblBorders>
    </w:tblPr>
    <w:tblStylePr w:type="firstRow">
      <w:rPr>
        <w:b/>
        <w:bCs/>
      </w:rPr>
      <w:tblPr/>
      <w:tcPr>
        <w:tcBorders>
          <w:top w:val="nil"/>
          <w:bottom w:val="single" w:sz="12" w:space="0" w:color="31EAFF" w:themeColor="accent1" w:themeTint="99"/>
          <w:insideH w:val="nil"/>
          <w:insideV w:val="nil"/>
        </w:tcBorders>
        <w:shd w:val="clear" w:color="auto" w:fill="FFFFFF" w:themeFill="background1"/>
      </w:tcPr>
    </w:tblStylePr>
    <w:tblStylePr w:type="lastRow">
      <w:rPr>
        <w:b/>
        <w:bCs/>
      </w:rPr>
      <w:tblPr/>
      <w:tcPr>
        <w:tcBorders>
          <w:top w:val="double" w:sz="2" w:space="0" w:color="31E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8FF" w:themeFill="accent1" w:themeFillTint="33"/>
      </w:tcPr>
    </w:tblStylePr>
    <w:tblStylePr w:type="band1Horz">
      <w:tblPr/>
      <w:tcPr>
        <w:shd w:val="clear" w:color="auto" w:fill="BAF8FF" w:themeFill="accent1" w:themeFillTint="33"/>
      </w:tcPr>
    </w:tblStylePr>
  </w:style>
  <w:style w:type="table" w:styleId="GridTable2-Accent2">
    <w:name w:val="Grid Table 2 Accent 2"/>
    <w:basedOn w:val="TableNormal"/>
    <w:uiPriority w:val="47"/>
    <w:rsid w:val="00E71FF2"/>
    <w:pPr>
      <w:spacing w:after="0" w:line="240" w:lineRule="auto"/>
      <w:jc w:val="both"/>
    </w:pPr>
    <w:rPr>
      <w:rFonts w:ascii="Century Schoolbook" w:hAnsi="Century Schoolbook" w:cs="Verdana"/>
      <w:sz w:val="20"/>
      <w:szCs w:val="20"/>
    </w:rPr>
    <w:tblPr>
      <w:tblStyleRowBandSize w:val="1"/>
      <w:tblStyleColBandSize w:val="1"/>
      <w:tblBorders>
        <w:top w:val="single" w:sz="2" w:space="0" w:color="C4E8EA" w:themeColor="accent2" w:themeTint="99"/>
        <w:bottom w:val="single" w:sz="2" w:space="0" w:color="C4E8EA" w:themeColor="accent2" w:themeTint="99"/>
        <w:insideH w:val="single" w:sz="2" w:space="0" w:color="C4E8EA" w:themeColor="accent2" w:themeTint="99"/>
        <w:insideV w:val="single" w:sz="2" w:space="0" w:color="C4E8EA" w:themeColor="accent2" w:themeTint="99"/>
      </w:tblBorders>
    </w:tblPr>
    <w:tblStylePr w:type="firstRow">
      <w:rPr>
        <w:b/>
        <w:bCs/>
      </w:rPr>
      <w:tblPr/>
      <w:tcPr>
        <w:tcBorders>
          <w:top w:val="nil"/>
          <w:bottom w:val="single" w:sz="12" w:space="0" w:color="C4E8EA" w:themeColor="accent2" w:themeTint="99"/>
          <w:insideH w:val="nil"/>
          <w:insideV w:val="nil"/>
        </w:tcBorders>
        <w:shd w:val="clear" w:color="auto" w:fill="FFFFFF" w:themeFill="background1"/>
      </w:tcPr>
    </w:tblStylePr>
    <w:tblStylePr w:type="lastRow">
      <w:rPr>
        <w:b/>
        <w:bCs/>
      </w:rPr>
      <w:tblPr/>
      <w:tcPr>
        <w:tcBorders>
          <w:top w:val="double" w:sz="2" w:space="0" w:color="C4E8E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F8" w:themeFill="accent2" w:themeFillTint="33"/>
      </w:tcPr>
    </w:tblStylePr>
    <w:tblStylePr w:type="band1Horz">
      <w:tblPr/>
      <w:tcPr>
        <w:shd w:val="clear" w:color="auto" w:fill="EBF7F8" w:themeFill="accent2" w:themeFillTint="33"/>
      </w:tcPr>
    </w:tblStylePr>
  </w:style>
  <w:style w:type="table" w:styleId="GridTable2-Accent3">
    <w:name w:val="Grid Table 2 Accent 3"/>
    <w:basedOn w:val="TableNormal"/>
    <w:uiPriority w:val="47"/>
    <w:rsid w:val="00E71FF2"/>
    <w:pPr>
      <w:spacing w:after="0" w:line="240" w:lineRule="auto"/>
      <w:jc w:val="both"/>
    </w:pPr>
    <w:rPr>
      <w:rFonts w:ascii="Century Schoolbook" w:hAnsi="Century Schoolbook" w:cs="Verdana"/>
      <w:sz w:val="20"/>
      <w:szCs w:val="20"/>
    </w:rPr>
    <w:tblPr>
      <w:tblStyleRowBandSize w:val="1"/>
      <w:tblStyleColBandSize w:val="1"/>
      <w:tblBorders>
        <w:top w:val="single" w:sz="2" w:space="0" w:color="FDEA88" w:themeColor="accent3" w:themeTint="99"/>
        <w:bottom w:val="single" w:sz="2" w:space="0" w:color="FDEA88" w:themeColor="accent3" w:themeTint="99"/>
        <w:insideH w:val="single" w:sz="2" w:space="0" w:color="FDEA88" w:themeColor="accent3" w:themeTint="99"/>
        <w:insideV w:val="single" w:sz="2" w:space="0" w:color="FDEA88" w:themeColor="accent3" w:themeTint="99"/>
      </w:tblBorders>
    </w:tblPr>
    <w:tblStylePr w:type="firstRow">
      <w:rPr>
        <w:b/>
        <w:bCs/>
      </w:rPr>
      <w:tblPr/>
      <w:tcPr>
        <w:tcBorders>
          <w:top w:val="nil"/>
          <w:bottom w:val="single" w:sz="12" w:space="0" w:color="FDEA88" w:themeColor="accent3" w:themeTint="99"/>
          <w:insideH w:val="nil"/>
          <w:insideV w:val="nil"/>
        </w:tcBorders>
        <w:shd w:val="clear" w:color="auto" w:fill="FFFFFF" w:themeFill="background1"/>
      </w:tcPr>
    </w:tblStylePr>
    <w:tblStylePr w:type="lastRow">
      <w:rPr>
        <w:b/>
        <w:bCs/>
      </w:rPr>
      <w:tblPr/>
      <w:tcPr>
        <w:tcBorders>
          <w:top w:val="double" w:sz="2" w:space="0" w:color="FDEA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8D7" w:themeFill="accent3" w:themeFillTint="33"/>
      </w:tcPr>
    </w:tblStylePr>
    <w:tblStylePr w:type="band1Horz">
      <w:tblPr/>
      <w:tcPr>
        <w:shd w:val="clear" w:color="auto" w:fill="FEF8D7" w:themeFill="accent3" w:themeFillTint="33"/>
      </w:tcPr>
    </w:tblStylePr>
  </w:style>
  <w:style w:type="table" w:styleId="GridTable2-Accent4">
    <w:name w:val="Grid Table 2 Accent 4"/>
    <w:basedOn w:val="TableNormal"/>
    <w:uiPriority w:val="47"/>
    <w:rsid w:val="00E71FF2"/>
    <w:pPr>
      <w:spacing w:after="0" w:line="240" w:lineRule="auto"/>
      <w:jc w:val="both"/>
    </w:pPr>
    <w:rPr>
      <w:rFonts w:ascii="Century Schoolbook" w:hAnsi="Century Schoolbook" w:cs="Verdana"/>
      <w:sz w:val="20"/>
      <w:szCs w:val="20"/>
    </w:rPr>
    <w:tblPr>
      <w:tblStyleRowBandSize w:val="1"/>
      <w:tblStyleColBandSize w:val="1"/>
      <w:tblBorders>
        <w:top w:val="single" w:sz="2" w:space="0" w:color="3AD7E8" w:themeColor="accent4" w:themeTint="99"/>
        <w:bottom w:val="single" w:sz="2" w:space="0" w:color="3AD7E8" w:themeColor="accent4" w:themeTint="99"/>
        <w:insideH w:val="single" w:sz="2" w:space="0" w:color="3AD7E8" w:themeColor="accent4" w:themeTint="99"/>
        <w:insideV w:val="single" w:sz="2" w:space="0" w:color="3AD7E8" w:themeColor="accent4" w:themeTint="99"/>
      </w:tblBorders>
    </w:tblPr>
    <w:tblStylePr w:type="firstRow">
      <w:rPr>
        <w:b/>
        <w:bCs/>
      </w:rPr>
      <w:tblPr/>
      <w:tcPr>
        <w:tcBorders>
          <w:top w:val="nil"/>
          <w:bottom w:val="single" w:sz="12" w:space="0" w:color="3AD7E8" w:themeColor="accent4" w:themeTint="99"/>
          <w:insideH w:val="nil"/>
          <w:insideV w:val="nil"/>
        </w:tcBorders>
        <w:shd w:val="clear" w:color="auto" w:fill="FFFFFF" w:themeFill="background1"/>
      </w:tcPr>
    </w:tblStylePr>
    <w:tblStylePr w:type="lastRow">
      <w:rPr>
        <w:b/>
        <w:bCs/>
      </w:rPr>
      <w:tblPr/>
      <w:tcPr>
        <w:tcBorders>
          <w:top w:val="double" w:sz="2" w:space="0" w:color="3AD7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1F7" w:themeFill="accent4" w:themeFillTint="33"/>
      </w:tcPr>
    </w:tblStylePr>
    <w:tblStylePr w:type="band1Horz">
      <w:tblPr/>
      <w:tcPr>
        <w:shd w:val="clear" w:color="auto" w:fill="BDF1F7" w:themeFill="accent4" w:themeFillTint="33"/>
      </w:tcPr>
    </w:tblStylePr>
  </w:style>
  <w:style w:type="table" w:styleId="GridTable2-Accent5">
    <w:name w:val="Grid Table 2 Accent 5"/>
    <w:basedOn w:val="TableNormal"/>
    <w:uiPriority w:val="47"/>
    <w:rsid w:val="00E71FF2"/>
    <w:pPr>
      <w:spacing w:after="0" w:line="240" w:lineRule="auto"/>
      <w:jc w:val="both"/>
    </w:pPr>
    <w:rPr>
      <w:rFonts w:ascii="Century Schoolbook" w:hAnsi="Century Schoolbook" w:cs="Verdana"/>
      <w:sz w:val="20"/>
      <w:szCs w:val="20"/>
    </w:rPr>
    <w:tblPr>
      <w:tblStyleRowBandSize w:val="1"/>
      <w:tblStyleColBandSize w:val="1"/>
      <w:tblBorders>
        <w:top w:val="single" w:sz="2" w:space="0" w:color="F8B07E" w:themeColor="accent5" w:themeTint="99"/>
        <w:bottom w:val="single" w:sz="2" w:space="0" w:color="F8B07E" w:themeColor="accent5" w:themeTint="99"/>
        <w:insideH w:val="single" w:sz="2" w:space="0" w:color="F8B07E" w:themeColor="accent5" w:themeTint="99"/>
        <w:insideV w:val="single" w:sz="2" w:space="0" w:color="F8B07E" w:themeColor="accent5" w:themeTint="99"/>
      </w:tblBorders>
    </w:tblPr>
    <w:tblStylePr w:type="firstRow">
      <w:rPr>
        <w:b/>
        <w:bCs/>
      </w:rPr>
      <w:tblPr/>
      <w:tcPr>
        <w:tcBorders>
          <w:top w:val="nil"/>
          <w:bottom w:val="single" w:sz="12" w:space="0" w:color="F8B07E" w:themeColor="accent5" w:themeTint="99"/>
          <w:insideH w:val="nil"/>
          <w:insideV w:val="nil"/>
        </w:tcBorders>
        <w:shd w:val="clear" w:color="auto" w:fill="FFFFFF" w:themeFill="background1"/>
      </w:tcPr>
    </w:tblStylePr>
    <w:tblStylePr w:type="lastRow">
      <w:rPr>
        <w:b/>
        <w:bCs/>
      </w:rPr>
      <w:tblPr/>
      <w:tcPr>
        <w:tcBorders>
          <w:top w:val="double" w:sz="2" w:space="0" w:color="F8B07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4D4" w:themeFill="accent5" w:themeFillTint="33"/>
      </w:tcPr>
    </w:tblStylePr>
    <w:tblStylePr w:type="band1Horz">
      <w:tblPr/>
      <w:tcPr>
        <w:shd w:val="clear" w:color="auto" w:fill="FCE4D4" w:themeFill="accent5" w:themeFillTint="33"/>
      </w:tcPr>
    </w:tblStylePr>
  </w:style>
  <w:style w:type="table" w:styleId="GridTable2-Accent6">
    <w:name w:val="Grid Table 2 Accent 6"/>
    <w:basedOn w:val="TableNormal"/>
    <w:uiPriority w:val="47"/>
    <w:rsid w:val="00E71FF2"/>
    <w:pPr>
      <w:spacing w:after="0" w:line="240" w:lineRule="auto"/>
      <w:jc w:val="both"/>
    </w:pPr>
    <w:rPr>
      <w:rFonts w:ascii="Century Schoolbook" w:hAnsi="Century Schoolbook" w:cs="Verdana"/>
      <w:sz w:val="20"/>
      <w:szCs w:val="20"/>
    </w:rPr>
    <w:tblPr>
      <w:tblStyleRowBandSize w:val="1"/>
      <w:tblStyleColBandSize w:val="1"/>
      <w:tblBorders>
        <w:top w:val="single" w:sz="2" w:space="0" w:color="F392A0" w:themeColor="accent6" w:themeTint="99"/>
        <w:bottom w:val="single" w:sz="2" w:space="0" w:color="F392A0" w:themeColor="accent6" w:themeTint="99"/>
        <w:insideH w:val="single" w:sz="2" w:space="0" w:color="F392A0" w:themeColor="accent6" w:themeTint="99"/>
        <w:insideV w:val="single" w:sz="2" w:space="0" w:color="F392A0" w:themeColor="accent6" w:themeTint="99"/>
      </w:tblBorders>
    </w:tblPr>
    <w:tblStylePr w:type="firstRow">
      <w:rPr>
        <w:b/>
        <w:bCs/>
      </w:rPr>
      <w:tblPr/>
      <w:tcPr>
        <w:tcBorders>
          <w:top w:val="nil"/>
          <w:bottom w:val="single" w:sz="12" w:space="0" w:color="F392A0" w:themeColor="accent6" w:themeTint="99"/>
          <w:insideH w:val="nil"/>
          <w:insideV w:val="nil"/>
        </w:tcBorders>
        <w:shd w:val="clear" w:color="auto" w:fill="FFFFFF" w:themeFill="background1"/>
      </w:tcPr>
    </w:tblStylePr>
    <w:tblStylePr w:type="lastRow">
      <w:rPr>
        <w:b/>
        <w:bCs/>
      </w:rPr>
      <w:tblPr/>
      <w:tcPr>
        <w:tcBorders>
          <w:top w:val="double" w:sz="2" w:space="0" w:color="F392A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ADF" w:themeFill="accent6" w:themeFillTint="33"/>
      </w:tcPr>
    </w:tblStylePr>
    <w:tblStylePr w:type="band1Horz">
      <w:tblPr/>
      <w:tcPr>
        <w:shd w:val="clear" w:color="auto" w:fill="FBDADF" w:themeFill="accent6" w:themeFillTint="33"/>
      </w:tcPr>
    </w:tblStylePr>
  </w:style>
  <w:style w:type="table" w:styleId="GridTable3">
    <w:name w:val="Grid Table 3"/>
    <w:basedOn w:val="TableNormal"/>
    <w:uiPriority w:val="48"/>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31EAFF" w:themeColor="accent1" w:themeTint="99"/>
        <w:left w:val="single" w:sz="4" w:space="0" w:color="31EAFF" w:themeColor="accent1" w:themeTint="99"/>
        <w:bottom w:val="single" w:sz="4" w:space="0" w:color="31EAFF" w:themeColor="accent1" w:themeTint="99"/>
        <w:right w:val="single" w:sz="4" w:space="0" w:color="31EAFF" w:themeColor="accent1" w:themeTint="99"/>
        <w:insideH w:val="single" w:sz="4" w:space="0" w:color="31EAFF" w:themeColor="accent1" w:themeTint="99"/>
        <w:insideV w:val="single" w:sz="4" w:space="0" w:color="31E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8FF" w:themeFill="accent1" w:themeFillTint="33"/>
      </w:tcPr>
    </w:tblStylePr>
    <w:tblStylePr w:type="band1Horz">
      <w:tblPr/>
      <w:tcPr>
        <w:shd w:val="clear" w:color="auto" w:fill="BAF8FF" w:themeFill="accent1" w:themeFillTint="33"/>
      </w:tcPr>
    </w:tblStylePr>
    <w:tblStylePr w:type="neCell">
      <w:tblPr/>
      <w:tcPr>
        <w:tcBorders>
          <w:bottom w:val="single" w:sz="4" w:space="0" w:color="31EAFF" w:themeColor="accent1" w:themeTint="99"/>
        </w:tcBorders>
      </w:tcPr>
    </w:tblStylePr>
    <w:tblStylePr w:type="nwCell">
      <w:tblPr/>
      <w:tcPr>
        <w:tcBorders>
          <w:bottom w:val="single" w:sz="4" w:space="0" w:color="31EAFF" w:themeColor="accent1" w:themeTint="99"/>
        </w:tcBorders>
      </w:tcPr>
    </w:tblStylePr>
    <w:tblStylePr w:type="seCell">
      <w:tblPr/>
      <w:tcPr>
        <w:tcBorders>
          <w:top w:val="single" w:sz="4" w:space="0" w:color="31EAFF" w:themeColor="accent1" w:themeTint="99"/>
        </w:tcBorders>
      </w:tcPr>
    </w:tblStylePr>
    <w:tblStylePr w:type="swCell">
      <w:tblPr/>
      <w:tcPr>
        <w:tcBorders>
          <w:top w:val="single" w:sz="4" w:space="0" w:color="31EAFF" w:themeColor="accent1" w:themeTint="99"/>
        </w:tcBorders>
      </w:tcPr>
    </w:tblStylePr>
  </w:style>
  <w:style w:type="table" w:styleId="GridTable3-Accent2">
    <w:name w:val="Grid Table 3 Accent 2"/>
    <w:basedOn w:val="TableNormal"/>
    <w:uiPriority w:val="48"/>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C4E8EA" w:themeColor="accent2" w:themeTint="99"/>
        <w:left w:val="single" w:sz="4" w:space="0" w:color="C4E8EA" w:themeColor="accent2" w:themeTint="99"/>
        <w:bottom w:val="single" w:sz="4" w:space="0" w:color="C4E8EA" w:themeColor="accent2" w:themeTint="99"/>
        <w:right w:val="single" w:sz="4" w:space="0" w:color="C4E8EA" w:themeColor="accent2" w:themeTint="99"/>
        <w:insideH w:val="single" w:sz="4" w:space="0" w:color="C4E8EA" w:themeColor="accent2" w:themeTint="99"/>
        <w:insideV w:val="single" w:sz="4" w:space="0" w:color="C4E8E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8" w:themeFill="accent2" w:themeFillTint="33"/>
      </w:tcPr>
    </w:tblStylePr>
    <w:tblStylePr w:type="band1Horz">
      <w:tblPr/>
      <w:tcPr>
        <w:shd w:val="clear" w:color="auto" w:fill="EBF7F8" w:themeFill="accent2" w:themeFillTint="33"/>
      </w:tcPr>
    </w:tblStylePr>
    <w:tblStylePr w:type="neCell">
      <w:tblPr/>
      <w:tcPr>
        <w:tcBorders>
          <w:bottom w:val="single" w:sz="4" w:space="0" w:color="C4E8EA" w:themeColor="accent2" w:themeTint="99"/>
        </w:tcBorders>
      </w:tcPr>
    </w:tblStylePr>
    <w:tblStylePr w:type="nwCell">
      <w:tblPr/>
      <w:tcPr>
        <w:tcBorders>
          <w:bottom w:val="single" w:sz="4" w:space="0" w:color="C4E8EA" w:themeColor="accent2" w:themeTint="99"/>
        </w:tcBorders>
      </w:tcPr>
    </w:tblStylePr>
    <w:tblStylePr w:type="seCell">
      <w:tblPr/>
      <w:tcPr>
        <w:tcBorders>
          <w:top w:val="single" w:sz="4" w:space="0" w:color="C4E8EA" w:themeColor="accent2" w:themeTint="99"/>
        </w:tcBorders>
      </w:tcPr>
    </w:tblStylePr>
    <w:tblStylePr w:type="swCell">
      <w:tblPr/>
      <w:tcPr>
        <w:tcBorders>
          <w:top w:val="single" w:sz="4" w:space="0" w:color="C4E8EA" w:themeColor="accent2" w:themeTint="99"/>
        </w:tcBorders>
      </w:tcPr>
    </w:tblStylePr>
  </w:style>
  <w:style w:type="table" w:styleId="GridTable3-Accent3">
    <w:name w:val="Grid Table 3 Accent 3"/>
    <w:basedOn w:val="TableNormal"/>
    <w:uiPriority w:val="48"/>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DEA88" w:themeColor="accent3" w:themeTint="99"/>
        <w:left w:val="single" w:sz="4" w:space="0" w:color="FDEA88" w:themeColor="accent3" w:themeTint="99"/>
        <w:bottom w:val="single" w:sz="4" w:space="0" w:color="FDEA88" w:themeColor="accent3" w:themeTint="99"/>
        <w:right w:val="single" w:sz="4" w:space="0" w:color="FDEA88" w:themeColor="accent3" w:themeTint="99"/>
        <w:insideH w:val="single" w:sz="4" w:space="0" w:color="FDEA88" w:themeColor="accent3" w:themeTint="99"/>
        <w:insideV w:val="single" w:sz="4" w:space="0" w:color="FDEA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7" w:themeFill="accent3" w:themeFillTint="33"/>
      </w:tcPr>
    </w:tblStylePr>
    <w:tblStylePr w:type="band1Horz">
      <w:tblPr/>
      <w:tcPr>
        <w:shd w:val="clear" w:color="auto" w:fill="FEF8D7" w:themeFill="accent3" w:themeFillTint="33"/>
      </w:tcPr>
    </w:tblStylePr>
    <w:tblStylePr w:type="neCell">
      <w:tblPr/>
      <w:tcPr>
        <w:tcBorders>
          <w:bottom w:val="single" w:sz="4" w:space="0" w:color="FDEA88" w:themeColor="accent3" w:themeTint="99"/>
        </w:tcBorders>
      </w:tcPr>
    </w:tblStylePr>
    <w:tblStylePr w:type="nwCell">
      <w:tblPr/>
      <w:tcPr>
        <w:tcBorders>
          <w:bottom w:val="single" w:sz="4" w:space="0" w:color="FDEA88" w:themeColor="accent3" w:themeTint="99"/>
        </w:tcBorders>
      </w:tcPr>
    </w:tblStylePr>
    <w:tblStylePr w:type="seCell">
      <w:tblPr/>
      <w:tcPr>
        <w:tcBorders>
          <w:top w:val="single" w:sz="4" w:space="0" w:color="FDEA88" w:themeColor="accent3" w:themeTint="99"/>
        </w:tcBorders>
      </w:tcPr>
    </w:tblStylePr>
    <w:tblStylePr w:type="swCell">
      <w:tblPr/>
      <w:tcPr>
        <w:tcBorders>
          <w:top w:val="single" w:sz="4" w:space="0" w:color="FDEA88" w:themeColor="accent3" w:themeTint="99"/>
        </w:tcBorders>
      </w:tcPr>
    </w:tblStylePr>
  </w:style>
  <w:style w:type="table" w:styleId="GridTable3-Accent4">
    <w:name w:val="Grid Table 3 Accent 4"/>
    <w:basedOn w:val="TableNormal"/>
    <w:uiPriority w:val="48"/>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3AD7E8" w:themeColor="accent4" w:themeTint="99"/>
        <w:left w:val="single" w:sz="4" w:space="0" w:color="3AD7E8" w:themeColor="accent4" w:themeTint="99"/>
        <w:bottom w:val="single" w:sz="4" w:space="0" w:color="3AD7E8" w:themeColor="accent4" w:themeTint="99"/>
        <w:right w:val="single" w:sz="4" w:space="0" w:color="3AD7E8" w:themeColor="accent4" w:themeTint="99"/>
        <w:insideH w:val="single" w:sz="4" w:space="0" w:color="3AD7E8" w:themeColor="accent4" w:themeTint="99"/>
        <w:insideV w:val="single" w:sz="4" w:space="0" w:color="3AD7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1F7" w:themeFill="accent4" w:themeFillTint="33"/>
      </w:tcPr>
    </w:tblStylePr>
    <w:tblStylePr w:type="band1Horz">
      <w:tblPr/>
      <w:tcPr>
        <w:shd w:val="clear" w:color="auto" w:fill="BDF1F7" w:themeFill="accent4" w:themeFillTint="33"/>
      </w:tcPr>
    </w:tblStylePr>
    <w:tblStylePr w:type="neCell">
      <w:tblPr/>
      <w:tcPr>
        <w:tcBorders>
          <w:bottom w:val="single" w:sz="4" w:space="0" w:color="3AD7E8" w:themeColor="accent4" w:themeTint="99"/>
        </w:tcBorders>
      </w:tcPr>
    </w:tblStylePr>
    <w:tblStylePr w:type="nwCell">
      <w:tblPr/>
      <w:tcPr>
        <w:tcBorders>
          <w:bottom w:val="single" w:sz="4" w:space="0" w:color="3AD7E8" w:themeColor="accent4" w:themeTint="99"/>
        </w:tcBorders>
      </w:tcPr>
    </w:tblStylePr>
    <w:tblStylePr w:type="seCell">
      <w:tblPr/>
      <w:tcPr>
        <w:tcBorders>
          <w:top w:val="single" w:sz="4" w:space="0" w:color="3AD7E8" w:themeColor="accent4" w:themeTint="99"/>
        </w:tcBorders>
      </w:tcPr>
    </w:tblStylePr>
    <w:tblStylePr w:type="swCell">
      <w:tblPr/>
      <w:tcPr>
        <w:tcBorders>
          <w:top w:val="single" w:sz="4" w:space="0" w:color="3AD7E8" w:themeColor="accent4" w:themeTint="99"/>
        </w:tcBorders>
      </w:tcPr>
    </w:tblStylePr>
  </w:style>
  <w:style w:type="table" w:styleId="GridTable3-Accent5">
    <w:name w:val="Grid Table 3 Accent 5"/>
    <w:basedOn w:val="TableNormal"/>
    <w:uiPriority w:val="48"/>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8B07E" w:themeColor="accent5" w:themeTint="99"/>
        <w:left w:val="single" w:sz="4" w:space="0" w:color="F8B07E" w:themeColor="accent5" w:themeTint="99"/>
        <w:bottom w:val="single" w:sz="4" w:space="0" w:color="F8B07E" w:themeColor="accent5" w:themeTint="99"/>
        <w:right w:val="single" w:sz="4" w:space="0" w:color="F8B07E" w:themeColor="accent5" w:themeTint="99"/>
        <w:insideH w:val="single" w:sz="4" w:space="0" w:color="F8B07E" w:themeColor="accent5" w:themeTint="99"/>
        <w:insideV w:val="single" w:sz="4" w:space="0" w:color="F8B0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4D4" w:themeFill="accent5" w:themeFillTint="33"/>
      </w:tcPr>
    </w:tblStylePr>
    <w:tblStylePr w:type="band1Horz">
      <w:tblPr/>
      <w:tcPr>
        <w:shd w:val="clear" w:color="auto" w:fill="FCE4D4" w:themeFill="accent5" w:themeFillTint="33"/>
      </w:tcPr>
    </w:tblStylePr>
    <w:tblStylePr w:type="neCell">
      <w:tblPr/>
      <w:tcPr>
        <w:tcBorders>
          <w:bottom w:val="single" w:sz="4" w:space="0" w:color="F8B07E" w:themeColor="accent5" w:themeTint="99"/>
        </w:tcBorders>
      </w:tcPr>
    </w:tblStylePr>
    <w:tblStylePr w:type="nwCell">
      <w:tblPr/>
      <w:tcPr>
        <w:tcBorders>
          <w:bottom w:val="single" w:sz="4" w:space="0" w:color="F8B07E" w:themeColor="accent5" w:themeTint="99"/>
        </w:tcBorders>
      </w:tcPr>
    </w:tblStylePr>
    <w:tblStylePr w:type="seCell">
      <w:tblPr/>
      <w:tcPr>
        <w:tcBorders>
          <w:top w:val="single" w:sz="4" w:space="0" w:color="F8B07E" w:themeColor="accent5" w:themeTint="99"/>
        </w:tcBorders>
      </w:tcPr>
    </w:tblStylePr>
    <w:tblStylePr w:type="swCell">
      <w:tblPr/>
      <w:tcPr>
        <w:tcBorders>
          <w:top w:val="single" w:sz="4" w:space="0" w:color="F8B07E" w:themeColor="accent5" w:themeTint="99"/>
        </w:tcBorders>
      </w:tcPr>
    </w:tblStylePr>
  </w:style>
  <w:style w:type="table" w:styleId="GridTable3-Accent6">
    <w:name w:val="Grid Table 3 Accent 6"/>
    <w:basedOn w:val="TableNormal"/>
    <w:uiPriority w:val="48"/>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392A0" w:themeColor="accent6" w:themeTint="99"/>
        <w:left w:val="single" w:sz="4" w:space="0" w:color="F392A0" w:themeColor="accent6" w:themeTint="99"/>
        <w:bottom w:val="single" w:sz="4" w:space="0" w:color="F392A0" w:themeColor="accent6" w:themeTint="99"/>
        <w:right w:val="single" w:sz="4" w:space="0" w:color="F392A0" w:themeColor="accent6" w:themeTint="99"/>
        <w:insideH w:val="single" w:sz="4" w:space="0" w:color="F392A0" w:themeColor="accent6" w:themeTint="99"/>
        <w:insideV w:val="single" w:sz="4" w:space="0" w:color="F392A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ADF" w:themeFill="accent6" w:themeFillTint="33"/>
      </w:tcPr>
    </w:tblStylePr>
    <w:tblStylePr w:type="band1Horz">
      <w:tblPr/>
      <w:tcPr>
        <w:shd w:val="clear" w:color="auto" w:fill="FBDADF" w:themeFill="accent6" w:themeFillTint="33"/>
      </w:tcPr>
    </w:tblStylePr>
    <w:tblStylePr w:type="neCell">
      <w:tblPr/>
      <w:tcPr>
        <w:tcBorders>
          <w:bottom w:val="single" w:sz="4" w:space="0" w:color="F392A0" w:themeColor="accent6" w:themeTint="99"/>
        </w:tcBorders>
      </w:tcPr>
    </w:tblStylePr>
    <w:tblStylePr w:type="nwCell">
      <w:tblPr/>
      <w:tcPr>
        <w:tcBorders>
          <w:bottom w:val="single" w:sz="4" w:space="0" w:color="F392A0" w:themeColor="accent6" w:themeTint="99"/>
        </w:tcBorders>
      </w:tcPr>
    </w:tblStylePr>
    <w:tblStylePr w:type="seCell">
      <w:tblPr/>
      <w:tcPr>
        <w:tcBorders>
          <w:top w:val="single" w:sz="4" w:space="0" w:color="F392A0" w:themeColor="accent6" w:themeTint="99"/>
        </w:tcBorders>
      </w:tcPr>
    </w:tblStylePr>
    <w:tblStylePr w:type="swCell">
      <w:tblPr/>
      <w:tcPr>
        <w:tcBorders>
          <w:top w:val="single" w:sz="4" w:space="0" w:color="F392A0" w:themeColor="accent6" w:themeTint="99"/>
        </w:tcBorders>
      </w:tcPr>
    </w:tblStylePr>
  </w:style>
  <w:style w:type="table" w:styleId="GridTable4">
    <w:name w:val="Grid Table 4"/>
    <w:basedOn w:val="TableNormal"/>
    <w:uiPriority w:val="49"/>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31EAFF" w:themeColor="accent1" w:themeTint="99"/>
        <w:left w:val="single" w:sz="4" w:space="0" w:color="31EAFF" w:themeColor="accent1" w:themeTint="99"/>
        <w:bottom w:val="single" w:sz="4" w:space="0" w:color="31EAFF" w:themeColor="accent1" w:themeTint="99"/>
        <w:right w:val="single" w:sz="4" w:space="0" w:color="31EAFF" w:themeColor="accent1" w:themeTint="99"/>
        <w:insideH w:val="single" w:sz="4" w:space="0" w:color="31EAFF" w:themeColor="accent1" w:themeTint="99"/>
        <w:insideV w:val="single" w:sz="4" w:space="0" w:color="31EAFF" w:themeColor="accent1" w:themeTint="99"/>
      </w:tblBorders>
    </w:tblPr>
    <w:tblStylePr w:type="firstRow">
      <w:rPr>
        <w:b/>
        <w:bCs/>
        <w:color w:val="FFFFFF" w:themeColor="background1"/>
      </w:rPr>
      <w:tblPr/>
      <w:tcPr>
        <w:tcBorders>
          <w:top w:val="single" w:sz="4" w:space="0" w:color="0097A7" w:themeColor="accent1"/>
          <w:left w:val="single" w:sz="4" w:space="0" w:color="0097A7" w:themeColor="accent1"/>
          <w:bottom w:val="single" w:sz="4" w:space="0" w:color="0097A7" w:themeColor="accent1"/>
          <w:right w:val="single" w:sz="4" w:space="0" w:color="0097A7" w:themeColor="accent1"/>
          <w:insideH w:val="nil"/>
          <w:insideV w:val="nil"/>
        </w:tcBorders>
        <w:shd w:val="clear" w:color="auto" w:fill="0097A7" w:themeFill="accent1"/>
      </w:tcPr>
    </w:tblStylePr>
    <w:tblStylePr w:type="lastRow">
      <w:rPr>
        <w:b/>
        <w:bCs/>
      </w:rPr>
      <w:tblPr/>
      <w:tcPr>
        <w:tcBorders>
          <w:top w:val="double" w:sz="4" w:space="0" w:color="0097A7" w:themeColor="accent1"/>
        </w:tcBorders>
      </w:tcPr>
    </w:tblStylePr>
    <w:tblStylePr w:type="firstCol">
      <w:rPr>
        <w:b/>
        <w:bCs/>
      </w:rPr>
    </w:tblStylePr>
    <w:tblStylePr w:type="lastCol">
      <w:rPr>
        <w:b/>
        <w:bCs/>
      </w:rPr>
    </w:tblStylePr>
    <w:tblStylePr w:type="band1Vert">
      <w:tblPr/>
      <w:tcPr>
        <w:shd w:val="clear" w:color="auto" w:fill="BAF8FF" w:themeFill="accent1" w:themeFillTint="33"/>
      </w:tcPr>
    </w:tblStylePr>
    <w:tblStylePr w:type="band1Horz">
      <w:tblPr/>
      <w:tcPr>
        <w:shd w:val="clear" w:color="auto" w:fill="BAF8FF" w:themeFill="accent1" w:themeFillTint="33"/>
      </w:tcPr>
    </w:tblStylePr>
  </w:style>
  <w:style w:type="table" w:styleId="GridTable4-Accent2">
    <w:name w:val="Grid Table 4 Accent 2"/>
    <w:basedOn w:val="TableNormal"/>
    <w:uiPriority w:val="49"/>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C4E8EA" w:themeColor="accent2" w:themeTint="99"/>
        <w:left w:val="single" w:sz="4" w:space="0" w:color="C4E8EA" w:themeColor="accent2" w:themeTint="99"/>
        <w:bottom w:val="single" w:sz="4" w:space="0" w:color="C4E8EA" w:themeColor="accent2" w:themeTint="99"/>
        <w:right w:val="single" w:sz="4" w:space="0" w:color="C4E8EA" w:themeColor="accent2" w:themeTint="99"/>
        <w:insideH w:val="single" w:sz="4" w:space="0" w:color="C4E8EA" w:themeColor="accent2" w:themeTint="99"/>
        <w:insideV w:val="single" w:sz="4" w:space="0" w:color="C4E8EA" w:themeColor="accent2" w:themeTint="99"/>
      </w:tblBorders>
    </w:tblPr>
    <w:tblStylePr w:type="firstRow">
      <w:rPr>
        <w:b/>
        <w:bCs/>
        <w:color w:val="FFFFFF" w:themeColor="background1"/>
      </w:rPr>
      <w:tblPr/>
      <w:tcPr>
        <w:tcBorders>
          <w:top w:val="single" w:sz="4" w:space="0" w:color="9EDADD" w:themeColor="accent2"/>
          <w:left w:val="single" w:sz="4" w:space="0" w:color="9EDADD" w:themeColor="accent2"/>
          <w:bottom w:val="single" w:sz="4" w:space="0" w:color="9EDADD" w:themeColor="accent2"/>
          <w:right w:val="single" w:sz="4" w:space="0" w:color="9EDADD" w:themeColor="accent2"/>
          <w:insideH w:val="nil"/>
          <w:insideV w:val="nil"/>
        </w:tcBorders>
        <w:shd w:val="clear" w:color="auto" w:fill="9EDADD" w:themeFill="accent2"/>
      </w:tcPr>
    </w:tblStylePr>
    <w:tblStylePr w:type="lastRow">
      <w:rPr>
        <w:b/>
        <w:bCs/>
      </w:rPr>
      <w:tblPr/>
      <w:tcPr>
        <w:tcBorders>
          <w:top w:val="double" w:sz="4" w:space="0" w:color="9EDADD" w:themeColor="accent2"/>
        </w:tcBorders>
      </w:tcPr>
    </w:tblStylePr>
    <w:tblStylePr w:type="firstCol">
      <w:rPr>
        <w:b/>
        <w:bCs/>
      </w:rPr>
    </w:tblStylePr>
    <w:tblStylePr w:type="lastCol">
      <w:rPr>
        <w:b/>
        <w:bCs/>
      </w:rPr>
    </w:tblStylePr>
    <w:tblStylePr w:type="band1Vert">
      <w:tblPr/>
      <w:tcPr>
        <w:shd w:val="clear" w:color="auto" w:fill="EBF7F8" w:themeFill="accent2" w:themeFillTint="33"/>
      </w:tcPr>
    </w:tblStylePr>
    <w:tblStylePr w:type="band1Horz">
      <w:tblPr/>
      <w:tcPr>
        <w:shd w:val="clear" w:color="auto" w:fill="EBF7F8" w:themeFill="accent2" w:themeFillTint="33"/>
      </w:tcPr>
    </w:tblStylePr>
  </w:style>
  <w:style w:type="table" w:styleId="GridTable4-Accent3">
    <w:name w:val="Grid Table 4 Accent 3"/>
    <w:basedOn w:val="TableNormal"/>
    <w:uiPriority w:val="49"/>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DEA88" w:themeColor="accent3" w:themeTint="99"/>
        <w:left w:val="single" w:sz="4" w:space="0" w:color="FDEA88" w:themeColor="accent3" w:themeTint="99"/>
        <w:bottom w:val="single" w:sz="4" w:space="0" w:color="FDEA88" w:themeColor="accent3" w:themeTint="99"/>
        <w:right w:val="single" w:sz="4" w:space="0" w:color="FDEA88" w:themeColor="accent3" w:themeTint="99"/>
        <w:insideH w:val="single" w:sz="4" w:space="0" w:color="FDEA88" w:themeColor="accent3" w:themeTint="99"/>
        <w:insideV w:val="single" w:sz="4" w:space="0" w:color="FDEA88" w:themeColor="accent3" w:themeTint="99"/>
      </w:tblBorders>
    </w:tblPr>
    <w:tblStylePr w:type="firstRow">
      <w:rPr>
        <w:b/>
        <w:bCs/>
        <w:color w:val="FFFFFF" w:themeColor="background1"/>
      </w:rPr>
      <w:tblPr/>
      <w:tcPr>
        <w:tcBorders>
          <w:top w:val="single" w:sz="4" w:space="0" w:color="FDDD3A" w:themeColor="accent3"/>
          <w:left w:val="single" w:sz="4" w:space="0" w:color="FDDD3A" w:themeColor="accent3"/>
          <w:bottom w:val="single" w:sz="4" w:space="0" w:color="FDDD3A" w:themeColor="accent3"/>
          <w:right w:val="single" w:sz="4" w:space="0" w:color="FDDD3A" w:themeColor="accent3"/>
          <w:insideH w:val="nil"/>
          <w:insideV w:val="nil"/>
        </w:tcBorders>
        <w:shd w:val="clear" w:color="auto" w:fill="FDDD3A" w:themeFill="accent3"/>
      </w:tcPr>
    </w:tblStylePr>
    <w:tblStylePr w:type="lastRow">
      <w:rPr>
        <w:b/>
        <w:bCs/>
      </w:rPr>
      <w:tblPr/>
      <w:tcPr>
        <w:tcBorders>
          <w:top w:val="double" w:sz="4" w:space="0" w:color="FDDD3A" w:themeColor="accent3"/>
        </w:tcBorders>
      </w:tcPr>
    </w:tblStylePr>
    <w:tblStylePr w:type="firstCol">
      <w:rPr>
        <w:b/>
        <w:bCs/>
      </w:rPr>
    </w:tblStylePr>
    <w:tblStylePr w:type="lastCol">
      <w:rPr>
        <w:b/>
        <w:bCs/>
      </w:rPr>
    </w:tblStylePr>
    <w:tblStylePr w:type="band1Vert">
      <w:tblPr/>
      <w:tcPr>
        <w:shd w:val="clear" w:color="auto" w:fill="FEF8D7" w:themeFill="accent3" w:themeFillTint="33"/>
      </w:tcPr>
    </w:tblStylePr>
    <w:tblStylePr w:type="band1Horz">
      <w:tblPr/>
      <w:tcPr>
        <w:shd w:val="clear" w:color="auto" w:fill="FEF8D7" w:themeFill="accent3" w:themeFillTint="33"/>
      </w:tcPr>
    </w:tblStylePr>
  </w:style>
  <w:style w:type="table" w:styleId="GridTable4-Accent4">
    <w:name w:val="Grid Table 4 Accent 4"/>
    <w:basedOn w:val="TableNormal"/>
    <w:uiPriority w:val="49"/>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3AD7E8" w:themeColor="accent4" w:themeTint="99"/>
        <w:left w:val="single" w:sz="4" w:space="0" w:color="3AD7E8" w:themeColor="accent4" w:themeTint="99"/>
        <w:bottom w:val="single" w:sz="4" w:space="0" w:color="3AD7E8" w:themeColor="accent4" w:themeTint="99"/>
        <w:right w:val="single" w:sz="4" w:space="0" w:color="3AD7E8" w:themeColor="accent4" w:themeTint="99"/>
        <w:insideH w:val="single" w:sz="4" w:space="0" w:color="3AD7E8" w:themeColor="accent4" w:themeTint="99"/>
        <w:insideV w:val="single" w:sz="4" w:space="0" w:color="3AD7E8" w:themeColor="accent4" w:themeTint="99"/>
      </w:tblBorders>
    </w:tblPr>
    <w:tblStylePr w:type="firstRow">
      <w:rPr>
        <w:b/>
        <w:bCs/>
        <w:color w:val="FFFFFF" w:themeColor="background1"/>
      </w:rPr>
      <w:tblPr/>
      <w:tcPr>
        <w:tcBorders>
          <w:top w:val="single" w:sz="4" w:space="0" w:color="0F7883" w:themeColor="accent4"/>
          <w:left w:val="single" w:sz="4" w:space="0" w:color="0F7883" w:themeColor="accent4"/>
          <w:bottom w:val="single" w:sz="4" w:space="0" w:color="0F7883" w:themeColor="accent4"/>
          <w:right w:val="single" w:sz="4" w:space="0" w:color="0F7883" w:themeColor="accent4"/>
          <w:insideH w:val="nil"/>
          <w:insideV w:val="nil"/>
        </w:tcBorders>
        <w:shd w:val="clear" w:color="auto" w:fill="0F7883" w:themeFill="accent4"/>
      </w:tcPr>
    </w:tblStylePr>
    <w:tblStylePr w:type="lastRow">
      <w:rPr>
        <w:b/>
        <w:bCs/>
      </w:rPr>
      <w:tblPr/>
      <w:tcPr>
        <w:tcBorders>
          <w:top w:val="double" w:sz="4" w:space="0" w:color="0F7883" w:themeColor="accent4"/>
        </w:tcBorders>
      </w:tcPr>
    </w:tblStylePr>
    <w:tblStylePr w:type="firstCol">
      <w:rPr>
        <w:b/>
        <w:bCs/>
      </w:rPr>
    </w:tblStylePr>
    <w:tblStylePr w:type="lastCol">
      <w:rPr>
        <w:b/>
        <w:bCs/>
      </w:rPr>
    </w:tblStylePr>
    <w:tblStylePr w:type="band1Vert">
      <w:tblPr/>
      <w:tcPr>
        <w:shd w:val="clear" w:color="auto" w:fill="BDF1F7" w:themeFill="accent4" w:themeFillTint="33"/>
      </w:tcPr>
    </w:tblStylePr>
    <w:tblStylePr w:type="band1Horz">
      <w:tblPr/>
      <w:tcPr>
        <w:shd w:val="clear" w:color="auto" w:fill="BDF1F7" w:themeFill="accent4" w:themeFillTint="33"/>
      </w:tcPr>
    </w:tblStylePr>
  </w:style>
  <w:style w:type="table" w:styleId="GridTable4-Accent5">
    <w:name w:val="Grid Table 4 Accent 5"/>
    <w:basedOn w:val="TableNormal"/>
    <w:uiPriority w:val="49"/>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8B07E" w:themeColor="accent5" w:themeTint="99"/>
        <w:left w:val="single" w:sz="4" w:space="0" w:color="F8B07E" w:themeColor="accent5" w:themeTint="99"/>
        <w:bottom w:val="single" w:sz="4" w:space="0" w:color="F8B07E" w:themeColor="accent5" w:themeTint="99"/>
        <w:right w:val="single" w:sz="4" w:space="0" w:color="F8B07E" w:themeColor="accent5" w:themeTint="99"/>
        <w:insideH w:val="single" w:sz="4" w:space="0" w:color="F8B07E" w:themeColor="accent5" w:themeTint="99"/>
        <w:insideV w:val="single" w:sz="4" w:space="0" w:color="F8B07E" w:themeColor="accent5" w:themeTint="99"/>
      </w:tblBorders>
    </w:tblPr>
    <w:tblStylePr w:type="firstRow">
      <w:rPr>
        <w:b/>
        <w:bCs/>
        <w:color w:val="FFFFFF" w:themeColor="background1"/>
      </w:rPr>
      <w:tblPr/>
      <w:tcPr>
        <w:tcBorders>
          <w:top w:val="single" w:sz="4" w:space="0" w:color="F47D2A" w:themeColor="accent5"/>
          <w:left w:val="single" w:sz="4" w:space="0" w:color="F47D2A" w:themeColor="accent5"/>
          <w:bottom w:val="single" w:sz="4" w:space="0" w:color="F47D2A" w:themeColor="accent5"/>
          <w:right w:val="single" w:sz="4" w:space="0" w:color="F47D2A" w:themeColor="accent5"/>
          <w:insideH w:val="nil"/>
          <w:insideV w:val="nil"/>
        </w:tcBorders>
        <w:shd w:val="clear" w:color="auto" w:fill="F47D2A" w:themeFill="accent5"/>
      </w:tcPr>
    </w:tblStylePr>
    <w:tblStylePr w:type="lastRow">
      <w:rPr>
        <w:b/>
        <w:bCs/>
      </w:rPr>
      <w:tblPr/>
      <w:tcPr>
        <w:tcBorders>
          <w:top w:val="double" w:sz="4" w:space="0" w:color="F47D2A" w:themeColor="accent5"/>
        </w:tcBorders>
      </w:tcPr>
    </w:tblStylePr>
    <w:tblStylePr w:type="firstCol">
      <w:rPr>
        <w:b/>
        <w:bCs/>
      </w:rPr>
    </w:tblStylePr>
    <w:tblStylePr w:type="lastCol">
      <w:rPr>
        <w:b/>
        <w:bCs/>
      </w:rPr>
    </w:tblStylePr>
    <w:tblStylePr w:type="band1Vert">
      <w:tblPr/>
      <w:tcPr>
        <w:shd w:val="clear" w:color="auto" w:fill="FCE4D4" w:themeFill="accent5" w:themeFillTint="33"/>
      </w:tcPr>
    </w:tblStylePr>
    <w:tblStylePr w:type="band1Horz">
      <w:tblPr/>
      <w:tcPr>
        <w:shd w:val="clear" w:color="auto" w:fill="FCE4D4" w:themeFill="accent5" w:themeFillTint="33"/>
      </w:tcPr>
    </w:tblStylePr>
  </w:style>
  <w:style w:type="table" w:styleId="GridTable4-Accent6">
    <w:name w:val="Grid Table 4 Accent 6"/>
    <w:basedOn w:val="TableNormal"/>
    <w:uiPriority w:val="49"/>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392A0" w:themeColor="accent6" w:themeTint="99"/>
        <w:left w:val="single" w:sz="4" w:space="0" w:color="F392A0" w:themeColor="accent6" w:themeTint="99"/>
        <w:bottom w:val="single" w:sz="4" w:space="0" w:color="F392A0" w:themeColor="accent6" w:themeTint="99"/>
        <w:right w:val="single" w:sz="4" w:space="0" w:color="F392A0" w:themeColor="accent6" w:themeTint="99"/>
        <w:insideH w:val="single" w:sz="4" w:space="0" w:color="F392A0" w:themeColor="accent6" w:themeTint="99"/>
        <w:insideV w:val="single" w:sz="4" w:space="0" w:color="F392A0" w:themeColor="accent6" w:themeTint="99"/>
      </w:tblBorders>
    </w:tblPr>
    <w:tblStylePr w:type="firstRow">
      <w:rPr>
        <w:b/>
        <w:bCs/>
        <w:color w:val="FFFFFF" w:themeColor="background1"/>
      </w:rPr>
      <w:tblPr/>
      <w:tcPr>
        <w:tcBorders>
          <w:top w:val="single" w:sz="4" w:space="0" w:color="EC4B62" w:themeColor="accent6"/>
          <w:left w:val="single" w:sz="4" w:space="0" w:color="EC4B62" w:themeColor="accent6"/>
          <w:bottom w:val="single" w:sz="4" w:space="0" w:color="EC4B62" w:themeColor="accent6"/>
          <w:right w:val="single" w:sz="4" w:space="0" w:color="EC4B62" w:themeColor="accent6"/>
          <w:insideH w:val="nil"/>
          <w:insideV w:val="nil"/>
        </w:tcBorders>
        <w:shd w:val="clear" w:color="auto" w:fill="EC4B62" w:themeFill="accent6"/>
      </w:tcPr>
    </w:tblStylePr>
    <w:tblStylePr w:type="lastRow">
      <w:rPr>
        <w:b/>
        <w:bCs/>
      </w:rPr>
      <w:tblPr/>
      <w:tcPr>
        <w:tcBorders>
          <w:top w:val="double" w:sz="4" w:space="0" w:color="EC4B62" w:themeColor="accent6"/>
        </w:tcBorders>
      </w:tcPr>
    </w:tblStylePr>
    <w:tblStylePr w:type="firstCol">
      <w:rPr>
        <w:b/>
        <w:bCs/>
      </w:rPr>
    </w:tblStylePr>
    <w:tblStylePr w:type="lastCol">
      <w:rPr>
        <w:b/>
        <w:bCs/>
      </w:rPr>
    </w:tblStylePr>
    <w:tblStylePr w:type="band1Vert">
      <w:tblPr/>
      <w:tcPr>
        <w:shd w:val="clear" w:color="auto" w:fill="FBDADF" w:themeFill="accent6" w:themeFillTint="33"/>
      </w:tcPr>
    </w:tblStylePr>
    <w:tblStylePr w:type="band1Horz">
      <w:tblPr/>
      <w:tcPr>
        <w:shd w:val="clear" w:color="auto" w:fill="FBDADF" w:themeFill="accent6" w:themeFillTint="33"/>
      </w:tcPr>
    </w:tblStylePr>
  </w:style>
  <w:style w:type="table" w:styleId="GridTable5Dark">
    <w:name w:val="Grid Table 5 Dark"/>
    <w:basedOn w:val="TableNormal"/>
    <w:uiPriority w:val="50"/>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A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A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A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A7" w:themeFill="accent1"/>
      </w:tcPr>
    </w:tblStylePr>
    <w:tblStylePr w:type="band1Vert">
      <w:tblPr/>
      <w:tcPr>
        <w:shd w:val="clear" w:color="auto" w:fill="75F1FF" w:themeFill="accent1" w:themeFillTint="66"/>
      </w:tcPr>
    </w:tblStylePr>
    <w:tblStylePr w:type="band1Horz">
      <w:tblPr/>
      <w:tcPr>
        <w:shd w:val="clear" w:color="auto" w:fill="75F1FF" w:themeFill="accent1" w:themeFillTint="66"/>
      </w:tcPr>
    </w:tblStylePr>
  </w:style>
  <w:style w:type="table" w:styleId="GridTable5Dark-Accent2">
    <w:name w:val="Grid Table 5 Dark Accent 2"/>
    <w:basedOn w:val="TableNormal"/>
    <w:uiPriority w:val="50"/>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DAD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DAD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DAD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DADD" w:themeFill="accent2"/>
      </w:tcPr>
    </w:tblStylePr>
    <w:tblStylePr w:type="band1Vert">
      <w:tblPr/>
      <w:tcPr>
        <w:shd w:val="clear" w:color="auto" w:fill="D8F0F1" w:themeFill="accent2" w:themeFillTint="66"/>
      </w:tcPr>
    </w:tblStylePr>
    <w:tblStylePr w:type="band1Horz">
      <w:tblPr/>
      <w:tcPr>
        <w:shd w:val="clear" w:color="auto" w:fill="D8F0F1" w:themeFill="accent2" w:themeFillTint="66"/>
      </w:tcPr>
    </w:tblStylePr>
  </w:style>
  <w:style w:type="table" w:styleId="GridTable5Dark-Accent3">
    <w:name w:val="Grid Table 5 Dark Accent 3"/>
    <w:basedOn w:val="TableNormal"/>
    <w:uiPriority w:val="50"/>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8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D3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D3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D3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D3A" w:themeFill="accent3"/>
      </w:tcPr>
    </w:tblStylePr>
    <w:tblStylePr w:type="band1Vert">
      <w:tblPr/>
      <w:tcPr>
        <w:shd w:val="clear" w:color="auto" w:fill="FEF1B0" w:themeFill="accent3" w:themeFillTint="66"/>
      </w:tcPr>
    </w:tblStylePr>
    <w:tblStylePr w:type="band1Horz">
      <w:tblPr/>
      <w:tcPr>
        <w:shd w:val="clear" w:color="auto" w:fill="FEF1B0" w:themeFill="accent3" w:themeFillTint="66"/>
      </w:tcPr>
    </w:tblStylePr>
  </w:style>
  <w:style w:type="table" w:styleId="GridTable5Dark-Accent4">
    <w:name w:val="Grid Table 5 Dark Accent 4"/>
    <w:basedOn w:val="TableNormal"/>
    <w:uiPriority w:val="50"/>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1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78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78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78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7883" w:themeFill="accent4"/>
      </w:tcPr>
    </w:tblStylePr>
    <w:tblStylePr w:type="band1Vert">
      <w:tblPr/>
      <w:tcPr>
        <w:shd w:val="clear" w:color="auto" w:fill="7CE4F0" w:themeFill="accent4" w:themeFillTint="66"/>
      </w:tcPr>
    </w:tblStylePr>
    <w:tblStylePr w:type="band1Horz">
      <w:tblPr/>
      <w:tcPr>
        <w:shd w:val="clear" w:color="auto" w:fill="7CE4F0" w:themeFill="accent4" w:themeFillTint="66"/>
      </w:tcPr>
    </w:tblStylePr>
  </w:style>
  <w:style w:type="table" w:styleId="GridTable5Dark-Accent5">
    <w:name w:val="Grid Table 5 Dark Accent 5"/>
    <w:basedOn w:val="TableNormal"/>
    <w:uiPriority w:val="50"/>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4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7D2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7D2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7D2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7D2A" w:themeFill="accent5"/>
      </w:tcPr>
    </w:tblStylePr>
    <w:tblStylePr w:type="band1Vert">
      <w:tblPr/>
      <w:tcPr>
        <w:shd w:val="clear" w:color="auto" w:fill="FACAA9" w:themeFill="accent5" w:themeFillTint="66"/>
      </w:tcPr>
    </w:tblStylePr>
    <w:tblStylePr w:type="band1Horz">
      <w:tblPr/>
      <w:tcPr>
        <w:shd w:val="clear" w:color="auto" w:fill="FACAA9" w:themeFill="accent5" w:themeFillTint="66"/>
      </w:tcPr>
    </w:tblStylePr>
  </w:style>
  <w:style w:type="table" w:styleId="GridTable5Dark-Accent6">
    <w:name w:val="Grid Table 5 Dark Accent 6"/>
    <w:basedOn w:val="TableNormal"/>
    <w:uiPriority w:val="50"/>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A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4B6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4B6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4B6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4B62" w:themeFill="accent6"/>
      </w:tcPr>
    </w:tblStylePr>
    <w:tblStylePr w:type="band1Vert">
      <w:tblPr/>
      <w:tcPr>
        <w:shd w:val="clear" w:color="auto" w:fill="F7B6BF" w:themeFill="accent6" w:themeFillTint="66"/>
      </w:tcPr>
    </w:tblStylePr>
    <w:tblStylePr w:type="band1Horz">
      <w:tblPr/>
      <w:tcPr>
        <w:shd w:val="clear" w:color="auto" w:fill="F7B6BF" w:themeFill="accent6" w:themeFillTint="66"/>
      </w:tcPr>
    </w:tblStylePr>
  </w:style>
  <w:style w:type="table" w:styleId="GridTable6Colorful">
    <w:name w:val="Grid Table 6 Colorful"/>
    <w:basedOn w:val="TableNormal"/>
    <w:uiPriority w:val="51"/>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71FF2"/>
    <w:pPr>
      <w:spacing w:after="0" w:line="240" w:lineRule="auto"/>
      <w:jc w:val="both"/>
    </w:pPr>
    <w:rPr>
      <w:rFonts w:ascii="Century Schoolbook" w:hAnsi="Century Schoolbook" w:cs="Verdana"/>
      <w:color w:val="00707D" w:themeColor="accent1" w:themeShade="BF"/>
      <w:sz w:val="20"/>
      <w:szCs w:val="20"/>
    </w:rPr>
    <w:tblPr>
      <w:tblStyleRowBandSize w:val="1"/>
      <w:tblStyleColBandSize w:val="1"/>
      <w:tblBorders>
        <w:top w:val="single" w:sz="4" w:space="0" w:color="31EAFF" w:themeColor="accent1" w:themeTint="99"/>
        <w:left w:val="single" w:sz="4" w:space="0" w:color="31EAFF" w:themeColor="accent1" w:themeTint="99"/>
        <w:bottom w:val="single" w:sz="4" w:space="0" w:color="31EAFF" w:themeColor="accent1" w:themeTint="99"/>
        <w:right w:val="single" w:sz="4" w:space="0" w:color="31EAFF" w:themeColor="accent1" w:themeTint="99"/>
        <w:insideH w:val="single" w:sz="4" w:space="0" w:color="31EAFF" w:themeColor="accent1" w:themeTint="99"/>
        <w:insideV w:val="single" w:sz="4" w:space="0" w:color="31EAFF" w:themeColor="accent1" w:themeTint="99"/>
      </w:tblBorders>
    </w:tblPr>
    <w:tblStylePr w:type="firstRow">
      <w:rPr>
        <w:b/>
        <w:bCs/>
      </w:rPr>
      <w:tblPr/>
      <w:tcPr>
        <w:tcBorders>
          <w:bottom w:val="single" w:sz="12" w:space="0" w:color="31EAFF" w:themeColor="accent1" w:themeTint="99"/>
        </w:tcBorders>
      </w:tcPr>
    </w:tblStylePr>
    <w:tblStylePr w:type="lastRow">
      <w:rPr>
        <w:b/>
        <w:bCs/>
      </w:rPr>
      <w:tblPr/>
      <w:tcPr>
        <w:tcBorders>
          <w:top w:val="double" w:sz="4" w:space="0" w:color="31EAFF" w:themeColor="accent1" w:themeTint="99"/>
        </w:tcBorders>
      </w:tcPr>
    </w:tblStylePr>
    <w:tblStylePr w:type="firstCol">
      <w:rPr>
        <w:b/>
        <w:bCs/>
      </w:rPr>
    </w:tblStylePr>
    <w:tblStylePr w:type="lastCol">
      <w:rPr>
        <w:b/>
        <w:bCs/>
      </w:rPr>
    </w:tblStylePr>
    <w:tblStylePr w:type="band1Vert">
      <w:tblPr/>
      <w:tcPr>
        <w:shd w:val="clear" w:color="auto" w:fill="BAF8FF" w:themeFill="accent1" w:themeFillTint="33"/>
      </w:tcPr>
    </w:tblStylePr>
    <w:tblStylePr w:type="band1Horz">
      <w:tblPr/>
      <w:tcPr>
        <w:shd w:val="clear" w:color="auto" w:fill="BAF8FF" w:themeFill="accent1" w:themeFillTint="33"/>
      </w:tcPr>
    </w:tblStylePr>
  </w:style>
  <w:style w:type="table" w:styleId="GridTable6Colorful-Accent2">
    <w:name w:val="Grid Table 6 Colorful Accent 2"/>
    <w:basedOn w:val="TableNormal"/>
    <w:uiPriority w:val="51"/>
    <w:rsid w:val="00E71FF2"/>
    <w:pPr>
      <w:spacing w:after="0" w:line="240" w:lineRule="auto"/>
      <w:jc w:val="both"/>
    </w:pPr>
    <w:rPr>
      <w:rFonts w:ascii="Century Schoolbook" w:hAnsi="Century Schoolbook" w:cs="Verdana"/>
      <w:color w:val="57BEC4" w:themeColor="accent2" w:themeShade="BF"/>
      <w:sz w:val="20"/>
      <w:szCs w:val="20"/>
    </w:rPr>
    <w:tblPr>
      <w:tblStyleRowBandSize w:val="1"/>
      <w:tblStyleColBandSize w:val="1"/>
      <w:tblBorders>
        <w:top w:val="single" w:sz="4" w:space="0" w:color="C4E8EA" w:themeColor="accent2" w:themeTint="99"/>
        <w:left w:val="single" w:sz="4" w:space="0" w:color="C4E8EA" w:themeColor="accent2" w:themeTint="99"/>
        <w:bottom w:val="single" w:sz="4" w:space="0" w:color="C4E8EA" w:themeColor="accent2" w:themeTint="99"/>
        <w:right w:val="single" w:sz="4" w:space="0" w:color="C4E8EA" w:themeColor="accent2" w:themeTint="99"/>
        <w:insideH w:val="single" w:sz="4" w:space="0" w:color="C4E8EA" w:themeColor="accent2" w:themeTint="99"/>
        <w:insideV w:val="single" w:sz="4" w:space="0" w:color="C4E8EA" w:themeColor="accent2" w:themeTint="99"/>
      </w:tblBorders>
    </w:tblPr>
    <w:tblStylePr w:type="firstRow">
      <w:rPr>
        <w:b/>
        <w:bCs/>
      </w:rPr>
      <w:tblPr/>
      <w:tcPr>
        <w:tcBorders>
          <w:bottom w:val="single" w:sz="12" w:space="0" w:color="C4E8EA" w:themeColor="accent2" w:themeTint="99"/>
        </w:tcBorders>
      </w:tcPr>
    </w:tblStylePr>
    <w:tblStylePr w:type="lastRow">
      <w:rPr>
        <w:b/>
        <w:bCs/>
      </w:rPr>
      <w:tblPr/>
      <w:tcPr>
        <w:tcBorders>
          <w:top w:val="double" w:sz="4" w:space="0" w:color="C4E8EA" w:themeColor="accent2" w:themeTint="99"/>
        </w:tcBorders>
      </w:tcPr>
    </w:tblStylePr>
    <w:tblStylePr w:type="firstCol">
      <w:rPr>
        <w:b/>
        <w:bCs/>
      </w:rPr>
    </w:tblStylePr>
    <w:tblStylePr w:type="lastCol">
      <w:rPr>
        <w:b/>
        <w:bCs/>
      </w:rPr>
    </w:tblStylePr>
    <w:tblStylePr w:type="band1Vert">
      <w:tblPr/>
      <w:tcPr>
        <w:shd w:val="clear" w:color="auto" w:fill="EBF7F8" w:themeFill="accent2" w:themeFillTint="33"/>
      </w:tcPr>
    </w:tblStylePr>
    <w:tblStylePr w:type="band1Horz">
      <w:tblPr/>
      <w:tcPr>
        <w:shd w:val="clear" w:color="auto" w:fill="EBF7F8" w:themeFill="accent2" w:themeFillTint="33"/>
      </w:tcPr>
    </w:tblStylePr>
  </w:style>
  <w:style w:type="table" w:styleId="GridTable6Colorful-Accent3">
    <w:name w:val="Grid Table 6 Colorful Accent 3"/>
    <w:basedOn w:val="TableNormal"/>
    <w:uiPriority w:val="51"/>
    <w:rsid w:val="00E71FF2"/>
    <w:pPr>
      <w:spacing w:after="0" w:line="240" w:lineRule="auto"/>
      <w:jc w:val="both"/>
    </w:pPr>
    <w:rPr>
      <w:rFonts w:ascii="Century Schoolbook" w:hAnsi="Century Schoolbook" w:cs="Verdana"/>
      <w:color w:val="E6C002" w:themeColor="accent3" w:themeShade="BF"/>
      <w:sz w:val="20"/>
      <w:szCs w:val="20"/>
    </w:rPr>
    <w:tblPr>
      <w:tblStyleRowBandSize w:val="1"/>
      <w:tblStyleColBandSize w:val="1"/>
      <w:tblBorders>
        <w:top w:val="single" w:sz="4" w:space="0" w:color="FDEA88" w:themeColor="accent3" w:themeTint="99"/>
        <w:left w:val="single" w:sz="4" w:space="0" w:color="FDEA88" w:themeColor="accent3" w:themeTint="99"/>
        <w:bottom w:val="single" w:sz="4" w:space="0" w:color="FDEA88" w:themeColor="accent3" w:themeTint="99"/>
        <w:right w:val="single" w:sz="4" w:space="0" w:color="FDEA88" w:themeColor="accent3" w:themeTint="99"/>
        <w:insideH w:val="single" w:sz="4" w:space="0" w:color="FDEA88" w:themeColor="accent3" w:themeTint="99"/>
        <w:insideV w:val="single" w:sz="4" w:space="0" w:color="FDEA88" w:themeColor="accent3" w:themeTint="99"/>
      </w:tblBorders>
    </w:tblPr>
    <w:tblStylePr w:type="firstRow">
      <w:rPr>
        <w:b/>
        <w:bCs/>
      </w:rPr>
      <w:tblPr/>
      <w:tcPr>
        <w:tcBorders>
          <w:bottom w:val="single" w:sz="12" w:space="0" w:color="FDEA88" w:themeColor="accent3" w:themeTint="99"/>
        </w:tcBorders>
      </w:tcPr>
    </w:tblStylePr>
    <w:tblStylePr w:type="lastRow">
      <w:rPr>
        <w:b/>
        <w:bCs/>
      </w:rPr>
      <w:tblPr/>
      <w:tcPr>
        <w:tcBorders>
          <w:top w:val="double" w:sz="4" w:space="0" w:color="FDEA88" w:themeColor="accent3" w:themeTint="99"/>
        </w:tcBorders>
      </w:tcPr>
    </w:tblStylePr>
    <w:tblStylePr w:type="firstCol">
      <w:rPr>
        <w:b/>
        <w:bCs/>
      </w:rPr>
    </w:tblStylePr>
    <w:tblStylePr w:type="lastCol">
      <w:rPr>
        <w:b/>
        <w:bCs/>
      </w:rPr>
    </w:tblStylePr>
    <w:tblStylePr w:type="band1Vert">
      <w:tblPr/>
      <w:tcPr>
        <w:shd w:val="clear" w:color="auto" w:fill="FEF8D7" w:themeFill="accent3" w:themeFillTint="33"/>
      </w:tcPr>
    </w:tblStylePr>
    <w:tblStylePr w:type="band1Horz">
      <w:tblPr/>
      <w:tcPr>
        <w:shd w:val="clear" w:color="auto" w:fill="FEF8D7" w:themeFill="accent3" w:themeFillTint="33"/>
      </w:tcPr>
    </w:tblStylePr>
  </w:style>
  <w:style w:type="table" w:styleId="GridTable6Colorful-Accent4">
    <w:name w:val="Grid Table 6 Colorful Accent 4"/>
    <w:basedOn w:val="TableNormal"/>
    <w:uiPriority w:val="51"/>
    <w:rsid w:val="00E71FF2"/>
    <w:pPr>
      <w:spacing w:after="0" w:line="240" w:lineRule="auto"/>
      <w:jc w:val="both"/>
    </w:pPr>
    <w:rPr>
      <w:rFonts w:ascii="Century Schoolbook" w:hAnsi="Century Schoolbook" w:cs="Verdana"/>
      <w:color w:val="0B5962" w:themeColor="accent4" w:themeShade="BF"/>
      <w:sz w:val="20"/>
      <w:szCs w:val="20"/>
    </w:rPr>
    <w:tblPr>
      <w:tblStyleRowBandSize w:val="1"/>
      <w:tblStyleColBandSize w:val="1"/>
      <w:tblBorders>
        <w:top w:val="single" w:sz="4" w:space="0" w:color="3AD7E8" w:themeColor="accent4" w:themeTint="99"/>
        <w:left w:val="single" w:sz="4" w:space="0" w:color="3AD7E8" w:themeColor="accent4" w:themeTint="99"/>
        <w:bottom w:val="single" w:sz="4" w:space="0" w:color="3AD7E8" w:themeColor="accent4" w:themeTint="99"/>
        <w:right w:val="single" w:sz="4" w:space="0" w:color="3AD7E8" w:themeColor="accent4" w:themeTint="99"/>
        <w:insideH w:val="single" w:sz="4" w:space="0" w:color="3AD7E8" w:themeColor="accent4" w:themeTint="99"/>
        <w:insideV w:val="single" w:sz="4" w:space="0" w:color="3AD7E8" w:themeColor="accent4" w:themeTint="99"/>
      </w:tblBorders>
    </w:tblPr>
    <w:tblStylePr w:type="firstRow">
      <w:rPr>
        <w:b/>
        <w:bCs/>
      </w:rPr>
      <w:tblPr/>
      <w:tcPr>
        <w:tcBorders>
          <w:bottom w:val="single" w:sz="12" w:space="0" w:color="3AD7E8" w:themeColor="accent4" w:themeTint="99"/>
        </w:tcBorders>
      </w:tcPr>
    </w:tblStylePr>
    <w:tblStylePr w:type="lastRow">
      <w:rPr>
        <w:b/>
        <w:bCs/>
      </w:rPr>
      <w:tblPr/>
      <w:tcPr>
        <w:tcBorders>
          <w:top w:val="double" w:sz="4" w:space="0" w:color="3AD7E8" w:themeColor="accent4" w:themeTint="99"/>
        </w:tcBorders>
      </w:tcPr>
    </w:tblStylePr>
    <w:tblStylePr w:type="firstCol">
      <w:rPr>
        <w:b/>
        <w:bCs/>
      </w:rPr>
    </w:tblStylePr>
    <w:tblStylePr w:type="lastCol">
      <w:rPr>
        <w:b/>
        <w:bCs/>
      </w:rPr>
    </w:tblStylePr>
    <w:tblStylePr w:type="band1Vert">
      <w:tblPr/>
      <w:tcPr>
        <w:shd w:val="clear" w:color="auto" w:fill="BDF1F7" w:themeFill="accent4" w:themeFillTint="33"/>
      </w:tcPr>
    </w:tblStylePr>
    <w:tblStylePr w:type="band1Horz">
      <w:tblPr/>
      <w:tcPr>
        <w:shd w:val="clear" w:color="auto" w:fill="BDF1F7" w:themeFill="accent4" w:themeFillTint="33"/>
      </w:tcPr>
    </w:tblStylePr>
  </w:style>
  <w:style w:type="table" w:styleId="GridTable6Colorful-Accent5">
    <w:name w:val="Grid Table 6 Colorful Accent 5"/>
    <w:basedOn w:val="TableNormal"/>
    <w:uiPriority w:val="51"/>
    <w:rsid w:val="00E71FF2"/>
    <w:pPr>
      <w:spacing w:after="0" w:line="240" w:lineRule="auto"/>
      <w:jc w:val="both"/>
    </w:pPr>
    <w:rPr>
      <w:rFonts w:ascii="Century Schoolbook" w:hAnsi="Century Schoolbook" w:cs="Verdana"/>
      <w:color w:val="CB590A" w:themeColor="accent5" w:themeShade="BF"/>
      <w:sz w:val="20"/>
      <w:szCs w:val="20"/>
    </w:rPr>
    <w:tblPr>
      <w:tblStyleRowBandSize w:val="1"/>
      <w:tblStyleColBandSize w:val="1"/>
      <w:tblBorders>
        <w:top w:val="single" w:sz="4" w:space="0" w:color="F8B07E" w:themeColor="accent5" w:themeTint="99"/>
        <w:left w:val="single" w:sz="4" w:space="0" w:color="F8B07E" w:themeColor="accent5" w:themeTint="99"/>
        <w:bottom w:val="single" w:sz="4" w:space="0" w:color="F8B07E" w:themeColor="accent5" w:themeTint="99"/>
        <w:right w:val="single" w:sz="4" w:space="0" w:color="F8B07E" w:themeColor="accent5" w:themeTint="99"/>
        <w:insideH w:val="single" w:sz="4" w:space="0" w:color="F8B07E" w:themeColor="accent5" w:themeTint="99"/>
        <w:insideV w:val="single" w:sz="4" w:space="0" w:color="F8B07E" w:themeColor="accent5" w:themeTint="99"/>
      </w:tblBorders>
    </w:tblPr>
    <w:tblStylePr w:type="firstRow">
      <w:rPr>
        <w:b/>
        <w:bCs/>
      </w:rPr>
      <w:tblPr/>
      <w:tcPr>
        <w:tcBorders>
          <w:bottom w:val="single" w:sz="12" w:space="0" w:color="F8B07E" w:themeColor="accent5" w:themeTint="99"/>
        </w:tcBorders>
      </w:tcPr>
    </w:tblStylePr>
    <w:tblStylePr w:type="lastRow">
      <w:rPr>
        <w:b/>
        <w:bCs/>
      </w:rPr>
      <w:tblPr/>
      <w:tcPr>
        <w:tcBorders>
          <w:top w:val="double" w:sz="4" w:space="0" w:color="F8B07E" w:themeColor="accent5" w:themeTint="99"/>
        </w:tcBorders>
      </w:tcPr>
    </w:tblStylePr>
    <w:tblStylePr w:type="firstCol">
      <w:rPr>
        <w:b/>
        <w:bCs/>
      </w:rPr>
    </w:tblStylePr>
    <w:tblStylePr w:type="lastCol">
      <w:rPr>
        <w:b/>
        <w:bCs/>
      </w:rPr>
    </w:tblStylePr>
    <w:tblStylePr w:type="band1Vert">
      <w:tblPr/>
      <w:tcPr>
        <w:shd w:val="clear" w:color="auto" w:fill="FCE4D4" w:themeFill="accent5" w:themeFillTint="33"/>
      </w:tcPr>
    </w:tblStylePr>
    <w:tblStylePr w:type="band1Horz">
      <w:tblPr/>
      <w:tcPr>
        <w:shd w:val="clear" w:color="auto" w:fill="FCE4D4" w:themeFill="accent5" w:themeFillTint="33"/>
      </w:tcPr>
    </w:tblStylePr>
  </w:style>
  <w:style w:type="table" w:styleId="GridTable6Colorful-Accent6">
    <w:name w:val="Grid Table 6 Colorful Accent 6"/>
    <w:basedOn w:val="TableNormal"/>
    <w:uiPriority w:val="51"/>
    <w:rsid w:val="00E71FF2"/>
    <w:pPr>
      <w:spacing w:after="0" w:line="240" w:lineRule="auto"/>
      <w:jc w:val="both"/>
    </w:pPr>
    <w:rPr>
      <w:rFonts w:ascii="Century Schoolbook" w:hAnsi="Century Schoolbook" w:cs="Verdana"/>
      <w:color w:val="D21630" w:themeColor="accent6" w:themeShade="BF"/>
      <w:sz w:val="20"/>
      <w:szCs w:val="20"/>
    </w:rPr>
    <w:tblPr>
      <w:tblStyleRowBandSize w:val="1"/>
      <w:tblStyleColBandSize w:val="1"/>
      <w:tblBorders>
        <w:top w:val="single" w:sz="4" w:space="0" w:color="F392A0" w:themeColor="accent6" w:themeTint="99"/>
        <w:left w:val="single" w:sz="4" w:space="0" w:color="F392A0" w:themeColor="accent6" w:themeTint="99"/>
        <w:bottom w:val="single" w:sz="4" w:space="0" w:color="F392A0" w:themeColor="accent6" w:themeTint="99"/>
        <w:right w:val="single" w:sz="4" w:space="0" w:color="F392A0" w:themeColor="accent6" w:themeTint="99"/>
        <w:insideH w:val="single" w:sz="4" w:space="0" w:color="F392A0" w:themeColor="accent6" w:themeTint="99"/>
        <w:insideV w:val="single" w:sz="4" w:space="0" w:color="F392A0" w:themeColor="accent6" w:themeTint="99"/>
      </w:tblBorders>
    </w:tblPr>
    <w:tblStylePr w:type="firstRow">
      <w:rPr>
        <w:b/>
        <w:bCs/>
      </w:rPr>
      <w:tblPr/>
      <w:tcPr>
        <w:tcBorders>
          <w:bottom w:val="single" w:sz="12" w:space="0" w:color="F392A0" w:themeColor="accent6" w:themeTint="99"/>
        </w:tcBorders>
      </w:tcPr>
    </w:tblStylePr>
    <w:tblStylePr w:type="lastRow">
      <w:rPr>
        <w:b/>
        <w:bCs/>
      </w:rPr>
      <w:tblPr/>
      <w:tcPr>
        <w:tcBorders>
          <w:top w:val="double" w:sz="4" w:space="0" w:color="F392A0" w:themeColor="accent6" w:themeTint="99"/>
        </w:tcBorders>
      </w:tcPr>
    </w:tblStylePr>
    <w:tblStylePr w:type="firstCol">
      <w:rPr>
        <w:b/>
        <w:bCs/>
      </w:rPr>
    </w:tblStylePr>
    <w:tblStylePr w:type="lastCol">
      <w:rPr>
        <w:b/>
        <w:bCs/>
      </w:rPr>
    </w:tblStylePr>
    <w:tblStylePr w:type="band1Vert">
      <w:tblPr/>
      <w:tcPr>
        <w:shd w:val="clear" w:color="auto" w:fill="FBDADF" w:themeFill="accent6" w:themeFillTint="33"/>
      </w:tcPr>
    </w:tblStylePr>
    <w:tblStylePr w:type="band1Horz">
      <w:tblPr/>
      <w:tcPr>
        <w:shd w:val="clear" w:color="auto" w:fill="FBDADF" w:themeFill="accent6" w:themeFillTint="33"/>
      </w:tcPr>
    </w:tblStylePr>
  </w:style>
  <w:style w:type="table" w:styleId="GridTable7Colorful">
    <w:name w:val="Grid Table 7 Colorful"/>
    <w:basedOn w:val="TableNormal"/>
    <w:uiPriority w:val="52"/>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71FF2"/>
    <w:pPr>
      <w:spacing w:after="0" w:line="240" w:lineRule="auto"/>
      <w:jc w:val="both"/>
    </w:pPr>
    <w:rPr>
      <w:rFonts w:ascii="Century Schoolbook" w:hAnsi="Century Schoolbook" w:cs="Verdana"/>
      <w:color w:val="00707D" w:themeColor="accent1" w:themeShade="BF"/>
      <w:sz w:val="20"/>
      <w:szCs w:val="20"/>
    </w:rPr>
    <w:tblPr>
      <w:tblStyleRowBandSize w:val="1"/>
      <w:tblStyleColBandSize w:val="1"/>
      <w:tblBorders>
        <w:top w:val="single" w:sz="4" w:space="0" w:color="31EAFF" w:themeColor="accent1" w:themeTint="99"/>
        <w:left w:val="single" w:sz="4" w:space="0" w:color="31EAFF" w:themeColor="accent1" w:themeTint="99"/>
        <w:bottom w:val="single" w:sz="4" w:space="0" w:color="31EAFF" w:themeColor="accent1" w:themeTint="99"/>
        <w:right w:val="single" w:sz="4" w:space="0" w:color="31EAFF" w:themeColor="accent1" w:themeTint="99"/>
        <w:insideH w:val="single" w:sz="4" w:space="0" w:color="31EAFF" w:themeColor="accent1" w:themeTint="99"/>
        <w:insideV w:val="single" w:sz="4" w:space="0" w:color="31E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8FF" w:themeFill="accent1" w:themeFillTint="33"/>
      </w:tcPr>
    </w:tblStylePr>
    <w:tblStylePr w:type="band1Horz">
      <w:tblPr/>
      <w:tcPr>
        <w:shd w:val="clear" w:color="auto" w:fill="BAF8FF" w:themeFill="accent1" w:themeFillTint="33"/>
      </w:tcPr>
    </w:tblStylePr>
    <w:tblStylePr w:type="neCell">
      <w:tblPr/>
      <w:tcPr>
        <w:tcBorders>
          <w:bottom w:val="single" w:sz="4" w:space="0" w:color="31EAFF" w:themeColor="accent1" w:themeTint="99"/>
        </w:tcBorders>
      </w:tcPr>
    </w:tblStylePr>
    <w:tblStylePr w:type="nwCell">
      <w:tblPr/>
      <w:tcPr>
        <w:tcBorders>
          <w:bottom w:val="single" w:sz="4" w:space="0" w:color="31EAFF" w:themeColor="accent1" w:themeTint="99"/>
        </w:tcBorders>
      </w:tcPr>
    </w:tblStylePr>
    <w:tblStylePr w:type="seCell">
      <w:tblPr/>
      <w:tcPr>
        <w:tcBorders>
          <w:top w:val="single" w:sz="4" w:space="0" w:color="31EAFF" w:themeColor="accent1" w:themeTint="99"/>
        </w:tcBorders>
      </w:tcPr>
    </w:tblStylePr>
    <w:tblStylePr w:type="swCell">
      <w:tblPr/>
      <w:tcPr>
        <w:tcBorders>
          <w:top w:val="single" w:sz="4" w:space="0" w:color="31EAFF" w:themeColor="accent1" w:themeTint="99"/>
        </w:tcBorders>
      </w:tcPr>
    </w:tblStylePr>
  </w:style>
  <w:style w:type="table" w:styleId="GridTable7Colorful-Accent2">
    <w:name w:val="Grid Table 7 Colorful Accent 2"/>
    <w:basedOn w:val="TableNormal"/>
    <w:uiPriority w:val="52"/>
    <w:rsid w:val="00E71FF2"/>
    <w:pPr>
      <w:spacing w:after="0" w:line="240" w:lineRule="auto"/>
      <w:jc w:val="both"/>
    </w:pPr>
    <w:rPr>
      <w:rFonts w:ascii="Century Schoolbook" w:hAnsi="Century Schoolbook" w:cs="Verdana"/>
      <w:color w:val="57BEC4" w:themeColor="accent2" w:themeShade="BF"/>
      <w:sz w:val="20"/>
      <w:szCs w:val="20"/>
    </w:rPr>
    <w:tblPr>
      <w:tblStyleRowBandSize w:val="1"/>
      <w:tblStyleColBandSize w:val="1"/>
      <w:tblBorders>
        <w:top w:val="single" w:sz="4" w:space="0" w:color="C4E8EA" w:themeColor="accent2" w:themeTint="99"/>
        <w:left w:val="single" w:sz="4" w:space="0" w:color="C4E8EA" w:themeColor="accent2" w:themeTint="99"/>
        <w:bottom w:val="single" w:sz="4" w:space="0" w:color="C4E8EA" w:themeColor="accent2" w:themeTint="99"/>
        <w:right w:val="single" w:sz="4" w:space="0" w:color="C4E8EA" w:themeColor="accent2" w:themeTint="99"/>
        <w:insideH w:val="single" w:sz="4" w:space="0" w:color="C4E8EA" w:themeColor="accent2" w:themeTint="99"/>
        <w:insideV w:val="single" w:sz="4" w:space="0" w:color="C4E8E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F8" w:themeFill="accent2" w:themeFillTint="33"/>
      </w:tcPr>
    </w:tblStylePr>
    <w:tblStylePr w:type="band1Horz">
      <w:tblPr/>
      <w:tcPr>
        <w:shd w:val="clear" w:color="auto" w:fill="EBF7F8" w:themeFill="accent2" w:themeFillTint="33"/>
      </w:tcPr>
    </w:tblStylePr>
    <w:tblStylePr w:type="neCell">
      <w:tblPr/>
      <w:tcPr>
        <w:tcBorders>
          <w:bottom w:val="single" w:sz="4" w:space="0" w:color="C4E8EA" w:themeColor="accent2" w:themeTint="99"/>
        </w:tcBorders>
      </w:tcPr>
    </w:tblStylePr>
    <w:tblStylePr w:type="nwCell">
      <w:tblPr/>
      <w:tcPr>
        <w:tcBorders>
          <w:bottom w:val="single" w:sz="4" w:space="0" w:color="C4E8EA" w:themeColor="accent2" w:themeTint="99"/>
        </w:tcBorders>
      </w:tcPr>
    </w:tblStylePr>
    <w:tblStylePr w:type="seCell">
      <w:tblPr/>
      <w:tcPr>
        <w:tcBorders>
          <w:top w:val="single" w:sz="4" w:space="0" w:color="C4E8EA" w:themeColor="accent2" w:themeTint="99"/>
        </w:tcBorders>
      </w:tcPr>
    </w:tblStylePr>
    <w:tblStylePr w:type="swCell">
      <w:tblPr/>
      <w:tcPr>
        <w:tcBorders>
          <w:top w:val="single" w:sz="4" w:space="0" w:color="C4E8EA" w:themeColor="accent2" w:themeTint="99"/>
        </w:tcBorders>
      </w:tcPr>
    </w:tblStylePr>
  </w:style>
  <w:style w:type="table" w:styleId="GridTable7Colorful-Accent3">
    <w:name w:val="Grid Table 7 Colorful Accent 3"/>
    <w:basedOn w:val="TableNormal"/>
    <w:uiPriority w:val="52"/>
    <w:rsid w:val="00E71FF2"/>
    <w:pPr>
      <w:spacing w:after="0" w:line="240" w:lineRule="auto"/>
      <w:jc w:val="both"/>
    </w:pPr>
    <w:rPr>
      <w:rFonts w:ascii="Century Schoolbook" w:hAnsi="Century Schoolbook" w:cs="Verdana"/>
      <w:color w:val="E6C002" w:themeColor="accent3" w:themeShade="BF"/>
      <w:sz w:val="20"/>
      <w:szCs w:val="20"/>
    </w:rPr>
    <w:tblPr>
      <w:tblStyleRowBandSize w:val="1"/>
      <w:tblStyleColBandSize w:val="1"/>
      <w:tblBorders>
        <w:top w:val="single" w:sz="4" w:space="0" w:color="FDEA88" w:themeColor="accent3" w:themeTint="99"/>
        <w:left w:val="single" w:sz="4" w:space="0" w:color="FDEA88" w:themeColor="accent3" w:themeTint="99"/>
        <w:bottom w:val="single" w:sz="4" w:space="0" w:color="FDEA88" w:themeColor="accent3" w:themeTint="99"/>
        <w:right w:val="single" w:sz="4" w:space="0" w:color="FDEA88" w:themeColor="accent3" w:themeTint="99"/>
        <w:insideH w:val="single" w:sz="4" w:space="0" w:color="FDEA88" w:themeColor="accent3" w:themeTint="99"/>
        <w:insideV w:val="single" w:sz="4" w:space="0" w:color="FDEA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8D7" w:themeFill="accent3" w:themeFillTint="33"/>
      </w:tcPr>
    </w:tblStylePr>
    <w:tblStylePr w:type="band1Horz">
      <w:tblPr/>
      <w:tcPr>
        <w:shd w:val="clear" w:color="auto" w:fill="FEF8D7" w:themeFill="accent3" w:themeFillTint="33"/>
      </w:tcPr>
    </w:tblStylePr>
    <w:tblStylePr w:type="neCell">
      <w:tblPr/>
      <w:tcPr>
        <w:tcBorders>
          <w:bottom w:val="single" w:sz="4" w:space="0" w:color="FDEA88" w:themeColor="accent3" w:themeTint="99"/>
        </w:tcBorders>
      </w:tcPr>
    </w:tblStylePr>
    <w:tblStylePr w:type="nwCell">
      <w:tblPr/>
      <w:tcPr>
        <w:tcBorders>
          <w:bottom w:val="single" w:sz="4" w:space="0" w:color="FDEA88" w:themeColor="accent3" w:themeTint="99"/>
        </w:tcBorders>
      </w:tcPr>
    </w:tblStylePr>
    <w:tblStylePr w:type="seCell">
      <w:tblPr/>
      <w:tcPr>
        <w:tcBorders>
          <w:top w:val="single" w:sz="4" w:space="0" w:color="FDEA88" w:themeColor="accent3" w:themeTint="99"/>
        </w:tcBorders>
      </w:tcPr>
    </w:tblStylePr>
    <w:tblStylePr w:type="swCell">
      <w:tblPr/>
      <w:tcPr>
        <w:tcBorders>
          <w:top w:val="single" w:sz="4" w:space="0" w:color="FDEA88" w:themeColor="accent3" w:themeTint="99"/>
        </w:tcBorders>
      </w:tcPr>
    </w:tblStylePr>
  </w:style>
  <w:style w:type="table" w:styleId="GridTable7Colorful-Accent4">
    <w:name w:val="Grid Table 7 Colorful Accent 4"/>
    <w:basedOn w:val="TableNormal"/>
    <w:uiPriority w:val="52"/>
    <w:rsid w:val="00E71FF2"/>
    <w:pPr>
      <w:spacing w:after="0" w:line="240" w:lineRule="auto"/>
      <w:jc w:val="both"/>
    </w:pPr>
    <w:rPr>
      <w:rFonts w:ascii="Century Schoolbook" w:hAnsi="Century Schoolbook" w:cs="Verdana"/>
      <w:color w:val="0B5962" w:themeColor="accent4" w:themeShade="BF"/>
      <w:sz w:val="20"/>
      <w:szCs w:val="20"/>
    </w:rPr>
    <w:tblPr>
      <w:tblStyleRowBandSize w:val="1"/>
      <w:tblStyleColBandSize w:val="1"/>
      <w:tblBorders>
        <w:top w:val="single" w:sz="4" w:space="0" w:color="3AD7E8" w:themeColor="accent4" w:themeTint="99"/>
        <w:left w:val="single" w:sz="4" w:space="0" w:color="3AD7E8" w:themeColor="accent4" w:themeTint="99"/>
        <w:bottom w:val="single" w:sz="4" w:space="0" w:color="3AD7E8" w:themeColor="accent4" w:themeTint="99"/>
        <w:right w:val="single" w:sz="4" w:space="0" w:color="3AD7E8" w:themeColor="accent4" w:themeTint="99"/>
        <w:insideH w:val="single" w:sz="4" w:space="0" w:color="3AD7E8" w:themeColor="accent4" w:themeTint="99"/>
        <w:insideV w:val="single" w:sz="4" w:space="0" w:color="3AD7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1F7" w:themeFill="accent4" w:themeFillTint="33"/>
      </w:tcPr>
    </w:tblStylePr>
    <w:tblStylePr w:type="band1Horz">
      <w:tblPr/>
      <w:tcPr>
        <w:shd w:val="clear" w:color="auto" w:fill="BDF1F7" w:themeFill="accent4" w:themeFillTint="33"/>
      </w:tcPr>
    </w:tblStylePr>
    <w:tblStylePr w:type="neCell">
      <w:tblPr/>
      <w:tcPr>
        <w:tcBorders>
          <w:bottom w:val="single" w:sz="4" w:space="0" w:color="3AD7E8" w:themeColor="accent4" w:themeTint="99"/>
        </w:tcBorders>
      </w:tcPr>
    </w:tblStylePr>
    <w:tblStylePr w:type="nwCell">
      <w:tblPr/>
      <w:tcPr>
        <w:tcBorders>
          <w:bottom w:val="single" w:sz="4" w:space="0" w:color="3AD7E8" w:themeColor="accent4" w:themeTint="99"/>
        </w:tcBorders>
      </w:tcPr>
    </w:tblStylePr>
    <w:tblStylePr w:type="seCell">
      <w:tblPr/>
      <w:tcPr>
        <w:tcBorders>
          <w:top w:val="single" w:sz="4" w:space="0" w:color="3AD7E8" w:themeColor="accent4" w:themeTint="99"/>
        </w:tcBorders>
      </w:tcPr>
    </w:tblStylePr>
    <w:tblStylePr w:type="swCell">
      <w:tblPr/>
      <w:tcPr>
        <w:tcBorders>
          <w:top w:val="single" w:sz="4" w:space="0" w:color="3AD7E8" w:themeColor="accent4" w:themeTint="99"/>
        </w:tcBorders>
      </w:tcPr>
    </w:tblStylePr>
  </w:style>
  <w:style w:type="table" w:styleId="GridTable7Colorful-Accent5">
    <w:name w:val="Grid Table 7 Colorful Accent 5"/>
    <w:basedOn w:val="TableNormal"/>
    <w:uiPriority w:val="52"/>
    <w:rsid w:val="00E71FF2"/>
    <w:pPr>
      <w:spacing w:after="0" w:line="240" w:lineRule="auto"/>
      <w:jc w:val="both"/>
    </w:pPr>
    <w:rPr>
      <w:rFonts w:ascii="Century Schoolbook" w:hAnsi="Century Schoolbook" w:cs="Verdana"/>
      <w:color w:val="CB590A" w:themeColor="accent5" w:themeShade="BF"/>
      <w:sz w:val="20"/>
      <w:szCs w:val="20"/>
    </w:rPr>
    <w:tblPr>
      <w:tblStyleRowBandSize w:val="1"/>
      <w:tblStyleColBandSize w:val="1"/>
      <w:tblBorders>
        <w:top w:val="single" w:sz="4" w:space="0" w:color="F8B07E" w:themeColor="accent5" w:themeTint="99"/>
        <w:left w:val="single" w:sz="4" w:space="0" w:color="F8B07E" w:themeColor="accent5" w:themeTint="99"/>
        <w:bottom w:val="single" w:sz="4" w:space="0" w:color="F8B07E" w:themeColor="accent5" w:themeTint="99"/>
        <w:right w:val="single" w:sz="4" w:space="0" w:color="F8B07E" w:themeColor="accent5" w:themeTint="99"/>
        <w:insideH w:val="single" w:sz="4" w:space="0" w:color="F8B07E" w:themeColor="accent5" w:themeTint="99"/>
        <w:insideV w:val="single" w:sz="4" w:space="0" w:color="F8B0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4D4" w:themeFill="accent5" w:themeFillTint="33"/>
      </w:tcPr>
    </w:tblStylePr>
    <w:tblStylePr w:type="band1Horz">
      <w:tblPr/>
      <w:tcPr>
        <w:shd w:val="clear" w:color="auto" w:fill="FCE4D4" w:themeFill="accent5" w:themeFillTint="33"/>
      </w:tcPr>
    </w:tblStylePr>
    <w:tblStylePr w:type="neCell">
      <w:tblPr/>
      <w:tcPr>
        <w:tcBorders>
          <w:bottom w:val="single" w:sz="4" w:space="0" w:color="F8B07E" w:themeColor="accent5" w:themeTint="99"/>
        </w:tcBorders>
      </w:tcPr>
    </w:tblStylePr>
    <w:tblStylePr w:type="nwCell">
      <w:tblPr/>
      <w:tcPr>
        <w:tcBorders>
          <w:bottom w:val="single" w:sz="4" w:space="0" w:color="F8B07E" w:themeColor="accent5" w:themeTint="99"/>
        </w:tcBorders>
      </w:tcPr>
    </w:tblStylePr>
    <w:tblStylePr w:type="seCell">
      <w:tblPr/>
      <w:tcPr>
        <w:tcBorders>
          <w:top w:val="single" w:sz="4" w:space="0" w:color="F8B07E" w:themeColor="accent5" w:themeTint="99"/>
        </w:tcBorders>
      </w:tcPr>
    </w:tblStylePr>
    <w:tblStylePr w:type="swCell">
      <w:tblPr/>
      <w:tcPr>
        <w:tcBorders>
          <w:top w:val="single" w:sz="4" w:space="0" w:color="F8B07E" w:themeColor="accent5" w:themeTint="99"/>
        </w:tcBorders>
      </w:tcPr>
    </w:tblStylePr>
  </w:style>
  <w:style w:type="table" w:styleId="GridTable7Colorful-Accent6">
    <w:name w:val="Grid Table 7 Colorful Accent 6"/>
    <w:basedOn w:val="TableNormal"/>
    <w:uiPriority w:val="52"/>
    <w:rsid w:val="00E71FF2"/>
    <w:pPr>
      <w:spacing w:after="0" w:line="240" w:lineRule="auto"/>
      <w:jc w:val="both"/>
    </w:pPr>
    <w:rPr>
      <w:rFonts w:ascii="Century Schoolbook" w:hAnsi="Century Schoolbook" w:cs="Verdana"/>
      <w:color w:val="D21630" w:themeColor="accent6" w:themeShade="BF"/>
      <w:sz w:val="20"/>
      <w:szCs w:val="20"/>
    </w:rPr>
    <w:tblPr>
      <w:tblStyleRowBandSize w:val="1"/>
      <w:tblStyleColBandSize w:val="1"/>
      <w:tblBorders>
        <w:top w:val="single" w:sz="4" w:space="0" w:color="F392A0" w:themeColor="accent6" w:themeTint="99"/>
        <w:left w:val="single" w:sz="4" w:space="0" w:color="F392A0" w:themeColor="accent6" w:themeTint="99"/>
        <w:bottom w:val="single" w:sz="4" w:space="0" w:color="F392A0" w:themeColor="accent6" w:themeTint="99"/>
        <w:right w:val="single" w:sz="4" w:space="0" w:color="F392A0" w:themeColor="accent6" w:themeTint="99"/>
        <w:insideH w:val="single" w:sz="4" w:space="0" w:color="F392A0" w:themeColor="accent6" w:themeTint="99"/>
        <w:insideV w:val="single" w:sz="4" w:space="0" w:color="F392A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ADF" w:themeFill="accent6" w:themeFillTint="33"/>
      </w:tcPr>
    </w:tblStylePr>
    <w:tblStylePr w:type="band1Horz">
      <w:tblPr/>
      <w:tcPr>
        <w:shd w:val="clear" w:color="auto" w:fill="FBDADF" w:themeFill="accent6" w:themeFillTint="33"/>
      </w:tcPr>
    </w:tblStylePr>
    <w:tblStylePr w:type="neCell">
      <w:tblPr/>
      <w:tcPr>
        <w:tcBorders>
          <w:bottom w:val="single" w:sz="4" w:space="0" w:color="F392A0" w:themeColor="accent6" w:themeTint="99"/>
        </w:tcBorders>
      </w:tcPr>
    </w:tblStylePr>
    <w:tblStylePr w:type="nwCell">
      <w:tblPr/>
      <w:tcPr>
        <w:tcBorders>
          <w:bottom w:val="single" w:sz="4" w:space="0" w:color="F392A0" w:themeColor="accent6" w:themeTint="99"/>
        </w:tcBorders>
      </w:tcPr>
    </w:tblStylePr>
    <w:tblStylePr w:type="seCell">
      <w:tblPr/>
      <w:tcPr>
        <w:tcBorders>
          <w:top w:val="single" w:sz="4" w:space="0" w:color="F392A0" w:themeColor="accent6" w:themeTint="99"/>
        </w:tcBorders>
      </w:tcPr>
    </w:tblStylePr>
    <w:tblStylePr w:type="swCell">
      <w:tblPr/>
      <w:tcPr>
        <w:tcBorders>
          <w:top w:val="single" w:sz="4" w:space="0" w:color="F392A0" w:themeColor="accent6" w:themeTint="99"/>
        </w:tcBorders>
      </w:tcPr>
    </w:tblStylePr>
  </w:style>
  <w:style w:type="character" w:customStyle="1" w:styleId="Hashtag1">
    <w:name w:val="Hashtag1"/>
    <w:basedOn w:val="DefaultParagraphFont"/>
    <w:uiPriority w:val="99"/>
    <w:semiHidden/>
    <w:unhideWhenUsed/>
    <w:rsid w:val="00E71FF2"/>
    <w:rPr>
      <w:color w:val="2B579A"/>
      <w:shd w:val="clear" w:color="auto" w:fill="E1DFDD"/>
      <w:lang w:val="da-DK"/>
    </w:rPr>
  </w:style>
  <w:style w:type="character" w:styleId="HTMLAcronym">
    <w:name w:val="HTML Acronym"/>
    <w:basedOn w:val="DefaultParagraphFont"/>
    <w:uiPriority w:val="99"/>
    <w:semiHidden/>
    <w:rsid w:val="00E71FF2"/>
    <w:rPr>
      <w:lang w:val="da-DK"/>
    </w:rPr>
  </w:style>
  <w:style w:type="paragraph" w:styleId="HTMLAddress">
    <w:name w:val="HTML Address"/>
    <w:basedOn w:val="Normal"/>
    <w:link w:val="HTMLAddressChar"/>
    <w:uiPriority w:val="99"/>
    <w:semiHidden/>
    <w:rsid w:val="00E71FF2"/>
    <w:pPr>
      <w:spacing w:line="240" w:lineRule="auto"/>
      <w:jc w:val="both"/>
    </w:pPr>
    <w:rPr>
      <w:rFonts w:ascii="Century Schoolbook" w:hAnsi="Century Schoolbook" w:cs="Verdana"/>
      <w:i/>
      <w:iCs/>
      <w:szCs w:val="20"/>
    </w:rPr>
  </w:style>
  <w:style w:type="character" w:customStyle="1" w:styleId="HTMLAddressChar">
    <w:name w:val="HTML Address Char"/>
    <w:basedOn w:val="DefaultParagraphFont"/>
    <w:link w:val="HTMLAddress"/>
    <w:uiPriority w:val="99"/>
    <w:semiHidden/>
    <w:rsid w:val="00E71FF2"/>
    <w:rPr>
      <w:rFonts w:ascii="Century Schoolbook" w:hAnsi="Century Schoolbook" w:cs="Verdana"/>
      <w:i/>
      <w:iCs/>
      <w:sz w:val="20"/>
      <w:szCs w:val="20"/>
    </w:rPr>
  </w:style>
  <w:style w:type="character" w:styleId="HTMLCite">
    <w:name w:val="HTML Cite"/>
    <w:basedOn w:val="DefaultParagraphFont"/>
    <w:uiPriority w:val="99"/>
    <w:semiHidden/>
    <w:rsid w:val="00E71FF2"/>
    <w:rPr>
      <w:i/>
      <w:iCs/>
      <w:lang w:val="da-DK"/>
    </w:rPr>
  </w:style>
  <w:style w:type="character" w:styleId="HTMLCode">
    <w:name w:val="HTML Code"/>
    <w:basedOn w:val="DefaultParagraphFont"/>
    <w:uiPriority w:val="99"/>
    <w:semiHidden/>
    <w:rsid w:val="00E71FF2"/>
    <w:rPr>
      <w:rFonts w:ascii="Consolas" w:hAnsi="Consolas"/>
      <w:sz w:val="20"/>
      <w:szCs w:val="20"/>
      <w:lang w:val="da-DK"/>
    </w:rPr>
  </w:style>
  <w:style w:type="character" w:styleId="HTMLDefinition">
    <w:name w:val="HTML Definition"/>
    <w:basedOn w:val="DefaultParagraphFont"/>
    <w:uiPriority w:val="99"/>
    <w:semiHidden/>
    <w:rsid w:val="00E71FF2"/>
    <w:rPr>
      <w:i/>
      <w:iCs/>
      <w:lang w:val="da-DK"/>
    </w:rPr>
  </w:style>
  <w:style w:type="character" w:styleId="HTMLKeyboard">
    <w:name w:val="HTML Keyboard"/>
    <w:basedOn w:val="DefaultParagraphFont"/>
    <w:uiPriority w:val="99"/>
    <w:semiHidden/>
    <w:rsid w:val="00E71FF2"/>
    <w:rPr>
      <w:rFonts w:ascii="Consolas" w:hAnsi="Consolas"/>
      <w:sz w:val="20"/>
      <w:szCs w:val="20"/>
      <w:lang w:val="da-DK"/>
    </w:rPr>
  </w:style>
  <w:style w:type="paragraph" w:styleId="HTMLPreformatted">
    <w:name w:val="HTML Preformatted"/>
    <w:basedOn w:val="Normal"/>
    <w:link w:val="HTMLPreformattedChar"/>
    <w:uiPriority w:val="99"/>
    <w:semiHidden/>
    <w:unhideWhenUsed/>
    <w:rsid w:val="00E71FF2"/>
    <w:pPr>
      <w:spacing w:line="240" w:lineRule="auto"/>
      <w:jc w:val="both"/>
    </w:pPr>
    <w:rPr>
      <w:rFonts w:ascii="Consolas" w:hAnsi="Consolas" w:cs="Verdana"/>
      <w:szCs w:val="20"/>
    </w:rPr>
  </w:style>
  <w:style w:type="character" w:customStyle="1" w:styleId="HTMLPreformattedChar">
    <w:name w:val="HTML Preformatted Char"/>
    <w:basedOn w:val="DefaultParagraphFont"/>
    <w:link w:val="HTMLPreformatted"/>
    <w:uiPriority w:val="99"/>
    <w:semiHidden/>
    <w:rsid w:val="00E71FF2"/>
    <w:rPr>
      <w:rFonts w:ascii="Consolas" w:hAnsi="Consolas" w:cs="Verdana"/>
      <w:sz w:val="20"/>
      <w:szCs w:val="20"/>
    </w:rPr>
  </w:style>
  <w:style w:type="character" w:styleId="HTMLSample">
    <w:name w:val="HTML Sample"/>
    <w:basedOn w:val="DefaultParagraphFont"/>
    <w:uiPriority w:val="99"/>
    <w:semiHidden/>
    <w:rsid w:val="00E71FF2"/>
    <w:rPr>
      <w:rFonts w:ascii="Consolas" w:hAnsi="Consolas"/>
      <w:sz w:val="24"/>
      <w:szCs w:val="24"/>
      <w:lang w:val="da-DK"/>
    </w:rPr>
  </w:style>
  <w:style w:type="character" w:styleId="HTMLTypewriter">
    <w:name w:val="HTML Typewriter"/>
    <w:basedOn w:val="DefaultParagraphFont"/>
    <w:uiPriority w:val="99"/>
    <w:semiHidden/>
    <w:rsid w:val="00E71FF2"/>
    <w:rPr>
      <w:rFonts w:ascii="Consolas" w:hAnsi="Consolas"/>
      <w:sz w:val="20"/>
      <w:szCs w:val="20"/>
      <w:lang w:val="da-DK"/>
    </w:rPr>
  </w:style>
  <w:style w:type="character" w:styleId="HTMLVariable">
    <w:name w:val="HTML Variable"/>
    <w:basedOn w:val="DefaultParagraphFont"/>
    <w:uiPriority w:val="99"/>
    <w:semiHidden/>
    <w:rsid w:val="00E71FF2"/>
    <w:rPr>
      <w:i/>
      <w:iCs/>
      <w:lang w:val="da-DK"/>
    </w:rPr>
  </w:style>
  <w:style w:type="paragraph" w:styleId="Index1">
    <w:name w:val="index 1"/>
    <w:basedOn w:val="Normal"/>
    <w:next w:val="Normal"/>
    <w:autoRedefine/>
    <w:uiPriority w:val="99"/>
    <w:semiHidden/>
    <w:rsid w:val="00E71FF2"/>
    <w:pPr>
      <w:spacing w:line="240" w:lineRule="auto"/>
      <w:ind w:left="200" w:hanging="200"/>
      <w:jc w:val="both"/>
    </w:pPr>
    <w:rPr>
      <w:rFonts w:ascii="Century Schoolbook" w:hAnsi="Century Schoolbook" w:cs="Verdana"/>
      <w:szCs w:val="20"/>
    </w:rPr>
  </w:style>
  <w:style w:type="paragraph" w:styleId="Index2">
    <w:name w:val="index 2"/>
    <w:basedOn w:val="Normal"/>
    <w:next w:val="Normal"/>
    <w:autoRedefine/>
    <w:uiPriority w:val="99"/>
    <w:semiHidden/>
    <w:rsid w:val="00E71FF2"/>
    <w:pPr>
      <w:spacing w:line="240" w:lineRule="auto"/>
      <w:ind w:left="400" w:hanging="200"/>
      <w:jc w:val="both"/>
    </w:pPr>
    <w:rPr>
      <w:rFonts w:ascii="Century Schoolbook" w:hAnsi="Century Schoolbook" w:cs="Verdana"/>
      <w:szCs w:val="20"/>
    </w:rPr>
  </w:style>
  <w:style w:type="paragraph" w:styleId="Index3">
    <w:name w:val="index 3"/>
    <w:basedOn w:val="Normal"/>
    <w:next w:val="Normal"/>
    <w:autoRedefine/>
    <w:uiPriority w:val="99"/>
    <w:semiHidden/>
    <w:rsid w:val="00E71FF2"/>
    <w:pPr>
      <w:spacing w:line="240" w:lineRule="auto"/>
      <w:ind w:left="600" w:hanging="200"/>
      <w:jc w:val="both"/>
    </w:pPr>
    <w:rPr>
      <w:rFonts w:ascii="Century Schoolbook" w:hAnsi="Century Schoolbook" w:cs="Verdana"/>
      <w:szCs w:val="20"/>
    </w:rPr>
  </w:style>
  <w:style w:type="paragraph" w:styleId="Index4">
    <w:name w:val="index 4"/>
    <w:basedOn w:val="Normal"/>
    <w:next w:val="Normal"/>
    <w:autoRedefine/>
    <w:uiPriority w:val="99"/>
    <w:semiHidden/>
    <w:rsid w:val="00E71FF2"/>
    <w:pPr>
      <w:spacing w:line="240" w:lineRule="auto"/>
      <w:ind w:left="800" w:hanging="200"/>
      <w:jc w:val="both"/>
    </w:pPr>
    <w:rPr>
      <w:rFonts w:ascii="Century Schoolbook" w:hAnsi="Century Schoolbook" w:cs="Verdana"/>
      <w:szCs w:val="20"/>
    </w:rPr>
  </w:style>
  <w:style w:type="paragraph" w:styleId="Index5">
    <w:name w:val="index 5"/>
    <w:basedOn w:val="Normal"/>
    <w:next w:val="Normal"/>
    <w:autoRedefine/>
    <w:uiPriority w:val="99"/>
    <w:semiHidden/>
    <w:rsid w:val="00E71FF2"/>
    <w:pPr>
      <w:spacing w:line="240" w:lineRule="auto"/>
      <w:ind w:left="1000" w:hanging="200"/>
      <w:jc w:val="both"/>
    </w:pPr>
    <w:rPr>
      <w:rFonts w:ascii="Century Schoolbook" w:hAnsi="Century Schoolbook" w:cs="Verdana"/>
      <w:szCs w:val="20"/>
    </w:rPr>
  </w:style>
  <w:style w:type="paragraph" w:styleId="Index6">
    <w:name w:val="index 6"/>
    <w:basedOn w:val="Normal"/>
    <w:next w:val="Normal"/>
    <w:autoRedefine/>
    <w:uiPriority w:val="99"/>
    <w:semiHidden/>
    <w:rsid w:val="00E71FF2"/>
    <w:pPr>
      <w:spacing w:line="240" w:lineRule="auto"/>
      <w:ind w:left="1200" w:hanging="200"/>
      <w:jc w:val="both"/>
    </w:pPr>
    <w:rPr>
      <w:rFonts w:ascii="Century Schoolbook" w:hAnsi="Century Schoolbook" w:cs="Verdana"/>
      <w:szCs w:val="20"/>
    </w:rPr>
  </w:style>
  <w:style w:type="paragraph" w:styleId="Index7">
    <w:name w:val="index 7"/>
    <w:basedOn w:val="Normal"/>
    <w:next w:val="Normal"/>
    <w:autoRedefine/>
    <w:uiPriority w:val="99"/>
    <w:semiHidden/>
    <w:rsid w:val="00E71FF2"/>
    <w:pPr>
      <w:spacing w:line="240" w:lineRule="auto"/>
      <w:ind w:left="1400" w:hanging="200"/>
      <w:jc w:val="both"/>
    </w:pPr>
    <w:rPr>
      <w:rFonts w:ascii="Century Schoolbook" w:hAnsi="Century Schoolbook" w:cs="Verdana"/>
      <w:szCs w:val="20"/>
    </w:rPr>
  </w:style>
  <w:style w:type="paragraph" w:styleId="Index8">
    <w:name w:val="index 8"/>
    <w:basedOn w:val="Normal"/>
    <w:next w:val="Normal"/>
    <w:autoRedefine/>
    <w:uiPriority w:val="99"/>
    <w:semiHidden/>
    <w:rsid w:val="00E71FF2"/>
    <w:pPr>
      <w:spacing w:line="240" w:lineRule="auto"/>
      <w:ind w:left="1600" w:hanging="200"/>
      <w:jc w:val="both"/>
    </w:pPr>
    <w:rPr>
      <w:rFonts w:ascii="Century Schoolbook" w:hAnsi="Century Schoolbook" w:cs="Verdana"/>
      <w:szCs w:val="20"/>
    </w:rPr>
  </w:style>
  <w:style w:type="paragraph" w:styleId="Index9">
    <w:name w:val="index 9"/>
    <w:basedOn w:val="Normal"/>
    <w:next w:val="Normal"/>
    <w:autoRedefine/>
    <w:uiPriority w:val="99"/>
    <w:semiHidden/>
    <w:rsid w:val="00E71FF2"/>
    <w:pPr>
      <w:spacing w:line="240" w:lineRule="auto"/>
      <w:ind w:left="1800" w:hanging="200"/>
      <w:jc w:val="both"/>
    </w:pPr>
    <w:rPr>
      <w:rFonts w:ascii="Century Schoolbook" w:hAnsi="Century Schoolbook" w:cs="Verdana"/>
      <w:szCs w:val="20"/>
    </w:rPr>
  </w:style>
  <w:style w:type="paragraph" w:styleId="IndexHeading">
    <w:name w:val="index heading"/>
    <w:basedOn w:val="Normal"/>
    <w:next w:val="Index1"/>
    <w:uiPriority w:val="99"/>
    <w:semiHidden/>
    <w:rsid w:val="00E71FF2"/>
    <w:pPr>
      <w:spacing w:line="312" w:lineRule="auto"/>
      <w:jc w:val="both"/>
    </w:pPr>
    <w:rPr>
      <w:rFonts w:asciiTheme="majorHAnsi" w:eastAsiaTheme="majorEastAsia" w:hAnsiTheme="majorHAnsi" w:cstheme="majorBidi"/>
      <w:b/>
      <w:bCs/>
      <w:szCs w:val="20"/>
    </w:rPr>
  </w:style>
  <w:style w:type="table" w:styleId="LightGrid">
    <w:name w:val="Light Grid"/>
    <w:basedOn w:val="TableNormal"/>
    <w:uiPriority w:val="62"/>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0097A7" w:themeColor="accent1"/>
        <w:left w:val="single" w:sz="8" w:space="0" w:color="0097A7" w:themeColor="accent1"/>
        <w:bottom w:val="single" w:sz="8" w:space="0" w:color="0097A7" w:themeColor="accent1"/>
        <w:right w:val="single" w:sz="8" w:space="0" w:color="0097A7" w:themeColor="accent1"/>
        <w:insideH w:val="single" w:sz="8" w:space="0" w:color="0097A7" w:themeColor="accent1"/>
        <w:insideV w:val="single" w:sz="8" w:space="0" w:color="0097A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7A7" w:themeColor="accent1"/>
          <w:left w:val="single" w:sz="8" w:space="0" w:color="0097A7" w:themeColor="accent1"/>
          <w:bottom w:val="single" w:sz="18" w:space="0" w:color="0097A7" w:themeColor="accent1"/>
          <w:right w:val="single" w:sz="8" w:space="0" w:color="0097A7" w:themeColor="accent1"/>
          <w:insideH w:val="nil"/>
          <w:insideV w:val="single" w:sz="8" w:space="0" w:color="0097A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7A7" w:themeColor="accent1"/>
          <w:left w:val="single" w:sz="8" w:space="0" w:color="0097A7" w:themeColor="accent1"/>
          <w:bottom w:val="single" w:sz="8" w:space="0" w:color="0097A7" w:themeColor="accent1"/>
          <w:right w:val="single" w:sz="8" w:space="0" w:color="0097A7" w:themeColor="accent1"/>
          <w:insideH w:val="nil"/>
          <w:insideV w:val="single" w:sz="8" w:space="0" w:color="0097A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tblStylePr w:type="band1Vert">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shd w:val="clear" w:color="auto" w:fill="AAF6FF" w:themeFill="accent1" w:themeFillTint="3F"/>
      </w:tcPr>
    </w:tblStylePr>
    <w:tblStylePr w:type="band1Horz">
      <w:tblPr/>
      <w:tcPr>
        <w:tcBorders>
          <w:top w:val="single" w:sz="8" w:space="0" w:color="0097A7" w:themeColor="accent1"/>
          <w:left w:val="single" w:sz="8" w:space="0" w:color="0097A7" w:themeColor="accent1"/>
          <w:bottom w:val="single" w:sz="8" w:space="0" w:color="0097A7" w:themeColor="accent1"/>
          <w:right w:val="single" w:sz="8" w:space="0" w:color="0097A7" w:themeColor="accent1"/>
          <w:insideV w:val="single" w:sz="8" w:space="0" w:color="0097A7" w:themeColor="accent1"/>
        </w:tcBorders>
        <w:shd w:val="clear" w:color="auto" w:fill="AAF6FF" w:themeFill="accent1" w:themeFillTint="3F"/>
      </w:tcPr>
    </w:tblStylePr>
    <w:tblStylePr w:type="band2Horz">
      <w:tblPr/>
      <w:tcPr>
        <w:tcBorders>
          <w:top w:val="single" w:sz="8" w:space="0" w:color="0097A7" w:themeColor="accent1"/>
          <w:left w:val="single" w:sz="8" w:space="0" w:color="0097A7" w:themeColor="accent1"/>
          <w:bottom w:val="single" w:sz="8" w:space="0" w:color="0097A7" w:themeColor="accent1"/>
          <w:right w:val="single" w:sz="8" w:space="0" w:color="0097A7" w:themeColor="accent1"/>
          <w:insideV w:val="single" w:sz="8" w:space="0" w:color="0097A7" w:themeColor="accent1"/>
        </w:tcBorders>
      </w:tcPr>
    </w:tblStylePr>
  </w:style>
  <w:style w:type="table" w:styleId="LightGrid-Accent2">
    <w:name w:val="Light Grid Accent 2"/>
    <w:basedOn w:val="TableNormal"/>
    <w:uiPriority w:val="62"/>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9EDADD" w:themeColor="accent2"/>
        <w:left w:val="single" w:sz="8" w:space="0" w:color="9EDADD" w:themeColor="accent2"/>
        <w:bottom w:val="single" w:sz="8" w:space="0" w:color="9EDADD" w:themeColor="accent2"/>
        <w:right w:val="single" w:sz="8" w:space="0" w:color="9EDADD" w:themeColor="accent2"/>
        <w:insideH w:val="single" w:sz="8" w:space="0" w:color="9EDADD" w:themeColor="accent2"/>
        <w:insideV w:val="single" w:sz="8" w:space="0" w:color="9EDAD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DADD" w:themeColor="accent2"/>
          <w:left w:val="single" w:sz="8" w:space="0" w:color="9EDADD" w:themeColor="accent2"/>
          <w:bottom w:val="single" w:sz="18" w:space="0" w:color="9EDADD" w:themeColor="accent2"/>
          <w:right w:val="single" w:sz="8" w:space="0" w:color="9EDADD" w:themeColor="accent2"/>
          <w:insideH w:val="nil"/>
          <w:insideV w:val="single" w:sz="8" w:space="0" w:color="9EDAD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DADD" w:themeColor="accent2"/>
          <w:left w:val="single" w:sz="8" w:space="0" w:color="9EDADD" w:themeColor="accent2"/>
          <w:bottom w:val="single" w:sz="8" w:space="0" w:color="9EDADD" w:themeColor="accent2"/>
          <w:right w:val="single" w:sz="8" w:space="0" w:color="9EDADD" w:themeColor="accent2"/>
          <w:insideH w:val="nil"/>
          <w:insideV w:val="single" w:sz="8" w:space="0" w:color="9EDAD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DADD" w:themeColor="accent2"/>
          <w:left w:val="single" w:sz="8" w:space="0" w:color="9EDADD" w:themeColor="accent2"/>
          <w:bottom w:val="single" w:sz="8" w:space="0" w:color="9EDADD" w:themeColor="accent2"/>
          <w:right w:val="single" w:sz="8" w:space="0" w:color="9EDADD" w:themeColor="accent2"/>
        </w:tcBorders>
      </w:tcPr>
    </w:tblStylePr>
    <w:tblStylePr w:type="band1Vert">
      <w:tblPr/>
      <w:tcPr>
        <w:tcBorders>
          <w:top w:val="single" w:sz="8" w:space="0" w:color="9EDADD" w:themeColor="accent2"/>
          <w:left w:val="single" w:sz="8" w:space="0" w:color="9EDADD" w:themeColor="accent2"/>
          <w:bottom w:val="single" w:sz="8" w:space="0" w:color="9EDADD" w:themeColor="accent2"/>
          <w:right w:val="single" w:sz="8" w:space="0" w:color="9EDADD" w:themeColor="accent2"/>
        </w:tcBorders>
        <w:shd w:val="clear" w:color="auto" w:fill="E6F5F6" w:themeFill="accent2" w:themeFillTint="3F"/>
      </w:tcPr>
    </w:tblStylePr>
    <w:tblStylePr w:type="band1Horz">
      <w:tblPr/>
      <w:tcPr>
        <w:tcBorders>
          <w:top w:val="single" w:sz="8" w:space="0" w:color="9EDADD" w:themeColor="accent2"/>
          <w:left w:val="single" w:sz="8" w:space="0" w:color="9EDADD" w:themeColor="accent2"/>
          <w:bottom w:val="single" w:sz="8" w:space="0" w:color="9EDADD" w:themeColor="accent2"/>
          <w:right w:val="single" w:sz="8" w:space="0" w:color="9EDADD" w:themeColor="accent2"/>
          <w:insideV w:val="single" w:sz="8" w:space="0" w:color="9EDADD" w:themeColor="accent2"/>
        </w:tcBorders>
        <w:shd w:val="clear" w:color="auto" w:fill="E6F5F6" w:themeFill="accent2" w:themeFillTint="3F"/>
      </w:tcPr>
    </w:tblStylePr>
    <w:tblStylePr w:type="band2Horz">
      <w:tblPr/>
      <w:tcPr>
        <w:tcBorders>
          <w:top w:val="single" w:sz="8" w:space="0" w:color="9EDADD" w:themeColor="accent2"/>
          <w:left w:val="single" w:sz="8" w:space="0" w:color="9EDADD" w:themeColor="accent2"/>
          <w:bottom w:val="single" w:sz="8" w:space="0" w:color="9EDADD" w:themeColor="accent2"/>
          <w:right w:val="single" w:sz="8" w:space="0" w:color="9EDADD" w:themeColor="accent2"/>
          <w:insideV w:val="single" w:sz="8" w:space="0" w:color="9EDADD" w:themeColor="accent2"/>
        </w:tcBorders>
      </w:tcPr>
    </w:tblStylePr>
  </w:style>
  <w:style w:type="table" w:styleId="LightGrid-Accent3">
    <w:name w:val="Light Grid Accent 3"/>
    <w:basedOn w:val="TableNormal"/>
    <w:uiPriority w:val="62"/>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DDD3A" w:themeColor="accent3"/>
        <w:left w:val="single" w:sz="8" w:space="0" w:color="FDDD3A" w:themeColor="accent3"/>
        <w:bottom w:val="single" w:sz="8" w:space="0" w:color="FDDD3A" w:themeColor="accent3"/>
        <w:right w:val="single" w:sz="8" w:space="0" w:color="FDDD3A" w:themeColor="accent3"/>
        <w:insideH w:val="single" w:sz="8" w:space="0" w:color="FDDD3A" w:themeColor="accent3"/>
        <w:insideV w:val="single" w:sz="8" w:space="0" w:color="FDDD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D3A" w:themeColor="accent3"/>
          <w:left w:val="single" w:sz="8" w:space="0" w:color="FDDD3A" w:themeColor="accent3"/>
          <w:bottom w:val="single" w:sz="18" w:space="0" w:color="FDDD3A" w:themeColor="accent3"/>
          <w:right w:val="single" w:sz="8" w:space="0" w:color="FDDD3A" w:themeColor="accent3"/>
          <w:insideH w:val="nil"/>
          <w:insideV w:val="single" w:sz="8" w:space="0" w:color="FDDD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D3A" w:themeColor="accent3"/>
          <w:left w:val="single" w:sz="8" w:space="0" w:color="FDDD3A" w:themeColor="accent3"/>
          <w:bottom w:val="single" w:sz="8" w:space="0" w:color="FDDD3A" w:themeColor="accent3"/>
          <w:right w:val="single" w:sz="8" w:space="0" w:color="FDDD3A" w:themeColor="accent3"/>
          <w:insideH w:val="nil"/>
          <w:insideV w:val="single" w:sz="8" w:space="0" w:color="FDDD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D3A" w:themeColor="accent3"/>
          <w:left w:val="single" w:sz="8" w:space="0" w:color="FDDD3A" w:themeColor="accent3"/>
          <w:bottom w:val="single" w:sz="8" w:space="0" w:color="FDDD3A" w:themeColor="accent3"/>
          <w:right w:val="single" w:sz="8" w:space="0" w:color="FDDD3A" w:themeColor="accent3"/>
        </w:tcBorders>
      </w:tcPr>
    </w:tblStylePr>
    <w:tblStylePr w:type="band1Vert">
      <w:tblPr/>
      <w:tcPr>
        <w:tcBorders>
          <w:top w:val="single" w:sz="8" w:space="0" w:color="FDDD3A" w:themeColor="accent3"/>
          <w:left w:val="single" w:sz="8" w:space="0" w:color="FDDD3A" w:themeColor="accent3"/>
          <w:bottom w:val="single" w:sz="8" w:space="0" w:color="FDDD3A" w:themeColor="accent3"/>
          <w:right w:val="single" w:sz="8" w:space="0" w:color="FDDD3A" w:themeColor="accent3"/>
        </w:tcBorders>
        <w:shd w:val="clear" w:color="auto" w:fill="FEF6CE" w:themeFill="accent3" w:themeFillTint="3F"/>
      </w:tcPr>
    </w:tblStylePr>
    <w:tblStylePr w:type="band1Horz">
      <w:tblPr/>
      <w:tcPr>
        <w:tcBorders>
          <w:top w:val="single" w:sz="8" w:space="0" w:color="FDDD3A" w:themeColor="accent3"/>
          <w:left w:val="single" w:sz="8" w:space="0" w:color="FDDD3A" w:themeColor="accent3"/>
          <w:bottom w:val="single" w:sz="8" w:space="0" w:color="FDDD3A" w:themeColor="accent3"/>
          <w:right w:val="single" w:sz="8" w:space="0" w:color="FDDD3A" w:themeColor="accent3"/>
          <w:insideV w:val="single" w:sz="8" w:space="0" w:color="FDDD3A" w:themeColor="accent3"/>
        </w:tcBorders>
        <w:shd w:val="clear" w:color="auto" w:fill="FEF6CE" w:themeFill="accent3" w:themeFillTint="3F"/>
      </w:tcPr>
    </w:tblStylePr>
    <w:tblStylePr w:type="band2Horz">
      <w:tblPr/>
      <w:tcPr>
        <w:tcBorders>
          <w:top w:val="single" w:sz="8" w:space="0" w:color="FDDD3A" w:themeColor="accent3"/>
          <w:left w:val="single" w:sz="8" w:space="0" w:color="FDDD3A" w:themeColor="accent3"/>
          <w:bottom w:val="single" w:sz="8" w:space="0" w:color="FDDD3A" w:themeColor="accent3"/>
          <w:right w:val="single" w:sz="8" w:space="0" w:color="FDDD3A" w:themeColor="accent3"/>
          <w:insideV w:val="single" w:sz="8" w:space="0" w:color="FDDD3A" w:themeColor="accent3"/>
        </w:tcBorders>
      </w:tcPr>
    </w:tblStylePr>
  </w:style>
  <w:style w:type="table" w:styleId="LightGrid-Accent4">
    <w:name w:val="Light Grid Accent 4"/>
    <w:basedOn w:val="TableNormal"/>
    <w:uiPriority w:val="62"/>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0F7883" w:themeColor="accent4"/>
        <w:left w:val="single" w:sz="8" w:space="0" w:color="0F7883" w:themeColor="accent4"/>
        <w:bottom w:val="single" w:sz="8" w:space="0" w:color="0F7883" w:themeColor="accent4"/>
        <w:right w:val="single" w:sz="8" w:space="0" w:color="0F7883" w:themeColor="accent4"/>
        <w:insideH w:val="single" w:sz="8" w:space="0" w:color="0F7883" w:themeColor="accent4"/>
        <w:insideV w:val="single" w:sz="8" w:space="0" w:color="0F78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7883" w:themeColor="accent4"/>
          <w:left w:val="single" w:sz="8" w:space="0" w:color="0F7883" w:themeColor="accent4"/>
          <w:bottom w:val="single" w:sz="18" w:space="0" w:color="0F7883" w:themeColor="accent4"/>
          <w:right w:val="single" w:sz="8" w:space="0" w:color="0F7883" w:themeColor="accent4"/>
          <w:insideH w:val="nil"/>
          <w:insideV w:val="single" w:sz="8" w:space="0" w:color="0F78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7883" w:themeColor="accent4"/>
          <w:left w:val="single" w:sz="8" w:space="0" w:color="0F7883" w:themeColor="accent4"/>
          <w:bottom w:val="single" w:sz="8" w:space="0" w:color="0F7883" w:themeColor="accent4"/>
          <w:right w:val="single" w:sz="8" w:space="0" w:color="0F7883" w:themeColor="accent4"/>
          <w:insideH w:val="nil"/>
          <w:insideV w:val="single" w:sz="8" w:space="0" w:color="0F78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7883" w:themeColor="accent4"/>
          <w:left w:val="single" w:sz="8" w:space="0" w:color="0F7883" w:themeColor="accent4"/>
          <w:bottom w:val="single" w:sz="8" w:space="0" w:color="0F7883" w:themeColor="accent4"/>
          <w:right w:val="single" w:sz="8" w:space="0" w:color="0F7883" w:themeColor="accent4"/>
        </w:tcBorders>
      </w:tcPr>
    </w:tblStylePr>
    <w:tblStylePr w:type="band1Vert">
      <w:tblPr/>
      <w:tcPr>
        <w:tcBorders>
          <w:top w:val="single" w:sz="8" w:space="0" w:color="0F7883" w:themeColor="accent4"/>
          <w:left w:val="single" w:sz="8" w:space="0" w:color="0F7883" w:themeColor="accent4"/>
          <w:bottom w:val="single" w:sz="8" w:space="0" w:color="0F7883" w:themeColor="accent4"/>
          <w:right w:val="single" w:sz="8" w:space="0" w:color="0F7883" w:themeColor="accent4"/>
        </w:tcBorders>
        <w:shd w:val="clear" w:color="auto" w:fill="AEEEF5" w:themeFill="accent4" w:themeFillTint="3F"/>
      </w:tcPr>
    </w:tblStylePr>
    <w:tblStylePr w:type="band1Horz">
      <w:tblPr/>
      <w:tcPr>
        <w:tcBorders>
          <w:top w:val="single" w:sz="8" w:space="0" w:color="0F7883" w:themeColor="accent4"/>
          <w:left w:val="single" w:sz="8" w:space="0" w:color="0F7883" w:themeColor="accent4"/>
          <w:bottom w:val="single" w:sz="8" w:space="0" w:color="0F7883" w:themeColor="accent4"/>
          <w:right w:val="single" w:sz="8" w:space="0" w:color="0F7883" w:themeColor="accent4"/>
          <w:insideV w:val="single" w:sz="8" w:space="0" w:color="0F7883" w:themeColor="accent4"/>
        </w:tcBorders>
        <w:shd w:val="clear" w:color="auto" w:fill="AEEEF5" w:themeFill="accent4" w:themeFillTint="3F"/>
      </w:tcPr>
    </w:tblStylePr>
    <w:tblStylePr w:type="band2Horz">
      <w:tblPr/>
      <w:tcPr>
        <w:tcBorders>
          <w:top w:val="single" w:sz="8" w:space="0" w:color="0F7883" w:themeColor="accent4"/>
          <w:left w:val="single" w:sz="8" w:space="0" w:color="0F7883" w:themeColor="accent4"/>
          <w:bottom w:val="single" w:sz="8" w:space="0" w:color="0F7883" w:themeColor="accent4"/>
          <w:right w:val="single" w:sz="8" w:space="0" w:color="0F7883" w:themeColor="accent4"/>
          <w:insideV w:val="single" w:sz="8" w:space="0" w:color="0F7883" w:themeColor="accent4"/>
        </w:tcBorders>
      </w:tcPr>
    </w:tblStylePr>
  </w:style>
  <w:style w:type="table" w:styleId="LightGrid-Accent5">
    <w:name w:val="Light Grid Accent 5"/>
    <w:basedOn w:val="TableNormal"/>
    <w:uiPriority w:val="62"/>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47D2A" w:themeColor="accent5"/>
        <w:left w:val="single" w:sz="8" w:space="0" w:color="F47D2A" w:themeColor="accent5"/>
        <w:bottom w:val="single" w:sz="8" w:space="0" w:color="F47D2A" w:themeColor="accent5"/>
        <w:right w:val="single" w:sz="8" w:space="0" w:color="F47D2A" w:themeColor="accent5"/>
        <w:insideH w:val="single" w:sz="8" w:space="0" w:color="F47D2A" w:themeColor="accent5"/>
        <w:insideV w:val="single" w:sz="8" w:space="0" w:color="F47D2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7D2A" w:themeColor="accent5"/>
          <w:left w:val="single" w:sz="8" w:space="0" w:color="F47D2A" w:themeColor="accent5"/>
          <w:bottom w:val="single" w:sz="18" w:space="0" w:color="F47D2A" w:themeColor="accent5"/>
          <w:right w:val="single" w:sz="8" w:space="0" w:color="F47D2A" w:themeColor="accent5"/>
          <w:insideH w:val="nil"/>
          <w:insideV w:val="single" w:sz="8" w:space="0" w:color="F47D2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7D2A" w:themeColor="accent5"/>
          <w:left w:val="single" w:sz="8" w:space="0" w:color="F47D2A" w:themeColor="accent5"/>
          <w:bottom w:val="single" w:sz="8" w:space="0" w:color="F47D2A" w:themeColor="accent5"/>
          <w:right w:val="single" w:sz="8" w:space="0" w:color="F47D2A" w:themeColor="accent5"/>
          <w:insideH w:val="nil"/>
          <w:insideV w:val="single" w:sz="8" w:space="0" w:color="F47D2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7D2A" w:themeColor="accent5"/>
          <w:left w:val="single" w:sz="8" w:space="0" w:color="F47D2A" w:themeColor="accent5"/>
          <w:bottom w:val="single" w:sz="8" w:space="0" w:color="F47D2A" w:themeColor="accent5"/>
          <w:right w:val="single" w:sz="8" w:space="0" w:color="F47D2A" w:themeColor="accent5"/>
        </w:tcBorders>
      </w:tcPr>
    </w:tblStylePr>
    <w:tblStylePr w:type="band1Vert">
      <w:tblPr/>
      <w:tcPr>
        <w:tcBorders>
          <w:top w:val="single" w:sz="8" w:space="0" w:color="F47D2A" w:themeColor="accent5"/>
          <w:left w:val="single" w:sz="8" w:space="0" w:color="F47D2A" w:themeColor="accent5"/>
          <w:bottom w:val="single" w:sz="8" w:space="0" w:color="F47D2A" w:themeColor="accent5"/>
          <w:right w:val="single" w:sz="8" w:space="0" w:color="F47D2A" w:themeColor="accent5"/>
        </w:tcBorders>
        <w:shd w:val="clear" w:color="auto" w:fill="FCDECA" w:themeFill="accent5" w:themeFillTint="3F"/>
      </w:tcPr>
    </w:tblStylePr>
    <w:tblStylePr w:type="band1Horz">
      <w:tblPr/>
      <w:tcPr>
        <w:tcBorders>
          <w:top w:val="single" w:sz="8" w:space="0" w:color="F47D2A" w:themeColor="accent5"/>
          <w:left w:val="single" w:sz="8" w:space="0" w:color="F47D2A" w:themeColor="accent5"/>
          <w:bottom w:val="single" w:sz="8" w:space="0" w:color="F47D2A" w:themeColor="accent5"/>
          <w:right w:val="single" w:sz="8" w:space="0" w:color="F47D2A" w:themeColor="accent5"/>
          <w:insideV w:val="single" w:sz="8" w:space="0" w:color="F47D2A" w:themeColor="accent5"/>
        </w:tcBorders>
        <w:shd w:val="clear" w:color="auto" w:fill="FCDECA" w:themeFill="accent5" w:themeFillTint="3F"/>
      </w:tcPr>
    </w:tblStylePr>
    <w:tblStylePr w:type="band2Horz">
      <w:tblPr/>
      <w:tcPr>
        <w:tcBorders>
          <w:top w:val="single" w:sz="8" w:space="0" w:color="F47D2A" w:themeColor="accent5"/>
          <w:left w:val="single" w:sz="8" w:space="0" w:color="F47D2A" w:themeColor="accent5"/>
          <w:bottom w:val="single" w:sz="8" w:space="0" w:color="F47D2A" w:themeColor="accent5"/>
          <w:right w:val="single" w:sz="8" w:space="0" w:color="F47D2A" w:themeColor="accent5"/>
          <w:insideV w:val="single" w:sz="8" w:space="0" w:color="F47D2A" w:themeColor="accent5"/>
        </w:tcBorders>
      </w:tcPr>
    </w:tblStylePr>
  </w:style>
  <w:style w:type="table" w:styleId="LightGrid-Accent6">
    <w:name w:val="Light Grid Accent 6"/>
    <w:basedOn w:val="TableNormal"/>
    <w:uiPriority w:val="62"/>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EC4B62" w:themeColor="accent6"/>
        <w:left w:val="single" w:sz="8" w:space="0" w:color="EC4B62" w:themeColor="accent6"/>
        <w:bottom w:val="single" w:sz="8" w:space="0" w:color="EC4B62" w:themeColor="accent6"/>
        <w:right w:val="single" w:sz="8" w:space="0" w:color="EC4B62" w:themeColor="accent6"/>
        <w:insideH w:val="single" w:sz="8" w:space="0" w:color="EC4B62" w:themeColor="accent6"/>
        <w:insideV w:val="single" w:sz="8" w:space="0" w:color="EC4B6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4B62" w:themeColor="accent6"/>
          <w:left w:val="single" w:sz="8" w:space="0" w:color="EC4B62" w:themeColor="accent6"/>
          <w:bottom w:val="single" w:sz="18" w:space="0" w:color="EC4B62" w:themeColor="accent6"/>
          <w:right w:val="single" w:sz="8" w:space="0" w:color="EC4B62" w:themeColor="accent6"/>
          <w:insideH w:val="nil"/>
          <w:insideV w:val="single" w:sz="8" w:space="0" w:color="EC4B6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4B62" w:themeColor="accent6"/>
          <w:left w:val="single" w:sz="8" w:space="0" w:color="EC4B62" w:themeColor="accent6"/>
          <w:bottom w:val="single" w:sz="8" w:space="0" w:color="EC4B62" w:themeColor="accent6"/>
          <w:right w:val="single" w:sz="8" w:space="0" w:color="EC4B62" w:themeColor="accent6"/>
          <w:insideH w:val="nil"/>
          <w:insideV w:val="single" w:sz="8" w:space="0" w:color="EC4B6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4B62" w:themeColor="accent6"/>
          <w:left w:val="single" w:sz="8" w:space="0" w:color="EC4B62" w:themeColor="accent6"/>
          <w:bottom w:val="single" w:sz="8" w:space="0" w:color="EC4B62" w:themeColor="accent6"/>
          <w:right w:val="single" w:sz="8" w:space="0" w:color="EC4B62" w:themeColor="accent6"/>
        </w:tcBorders>
      </w:tcPr>
    </w:tblStylePr>
    <w:tblStylePr w:type="band1Vert">
      <w:tblPr/>
      <w:tcPr>
        <w:tcBorders>
          <w:top w:val="single" w:sz="8" w:space="0" w:color="EC4B62" w:themeColor="accent6"/>
          <w:left w:val="single" w:sz="8" w:space="0" w:color="EC4B62" w:themeColor="accent6"/>
          <w:bottom w:val="single" w:sz="8" w:space="0" w:color="EC4B62" w:themeColor="accent6"/>
          <w:right w:val="single" w:sz="8" w:space="0" w:color="EC4B62" w:themeColor="accent6"/>
        </w:tcBorders>
        <w:shd w:val="clear" w:color="auto" w:fill="FAD2D7" w:themeFill="accent6" w:themeFillTint="3F"/>
      </w:tcPr>
    </w:tblStylePr>
    <w:tblStylePr w:type="band1Horz">
      <w:tblPr/>
      <w:tcPr>
        <w:tcBorders>
          <w:top w:val="single" w:sz="8" w:space="0" w:color="EC4B62" w:themeColor="accent6"/>
          <w:left w:val="single" w:sz="8" w:space="0" w:color="EC4B62" w:themeColor="accent6"/>
          <w:bottom w:val="single" w:sz="8" w:space="0" w:color="EC4B62" w:themeColor="accent6"/>
          <w:right w:val="single" w:sz="8" w:space="0" w:color="EC4B62" w:themeColor="accent6"/>
          <w:insideV w:val="single" w:sz="8" w:space="0" w:color="EC4B62" w:themeColor="accent6"/>
        </w:tcBorders>
        <w:shd w:val="clear" w:color="auto" w:fill="FAD2D7" w:themeFill="accent6" w:themeFillTint="3F"/>
      </w:tcPr>
    </w:tblStylePr>
    <w:tblStylePr w:type="band2Horz">
      <w:tblPr/>
      <w:tcPr>
        <w:tcBorders>
          <w:top w:val="single" w:sz="8" w:space="0" w:color="EC4B62" w:themeColor="accent6"/>
          <w:left w:val="single" w:sz="8" w:space="0" w:color="EC4B62" w:themeColor="accent6"/>
          <w:bottom w:val="single" w:sz="8" w:space="0" w:color="EC4B62" w:themeColor="accent6"/>
          <w:right w:val="single" w:sz="8" w:space="0" w:color="EC4B62" w:themeColor="accent6"/>
          <w:insideV w:val="single" w:sz="8" w:space="0" w:color="EC4B62" w:themeColor="accent6"/>
        </w:tcBorders>
      </w:tcPr>
    </w:tblStylePr>
  </w:style>
  <w:style w:type="table" w:styleId="LightList">
    <w:name w:val="Light List"/>
    <w:basedOn w:val="TableNormal"/>
    <w:uiPriority w:val="61"/>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0097A7" w:themeColor="accent1"/>
        <w:left w:val="single" w:sz="8" w:space="0" w:color="0097A7" w:themeColor="accent1"/>
        <w:bottom w:val="single" w:sz="8" w:space="0" w:color="0097A7" w:themeColor="accent1"/>
        <w:right w:val="single" w:sz="8" w:space="0" w:color="0097A7" w:themeColor="accent1"/>
      </w:tblBorders>
    </w:tblPr>
    <w:tblStylePr w:type="firstRow">
      <w:pPr>
        <w:spacing w:before="0" w:after="0" w:line="240" w:lineRule="auto"/>
      </w:pPr>
      <w:rPr>
        <w:b/>
        <w:bCs/>
        <w:color w:val="FFFFFF" w:themeColor="background1"/>
      </w:rPr>
      <w:tblPr/>
      <w:tcPr>
        <w:shd w:val="clear" w:color="auto" w:fill="0097A7" w:themeFill="accent1"/>
      </w:tcPr>
    </w:tblStylePr>
    <w:tblStylePr w:type="lastRow">
      <w:pPr>
        <w:spacing w:before="0" w:after="0" w:line="240" w:lineRule="auto"/>
      </w:pPr>
      <w:rPr>
        <w:b/>
        <w:bCs/>
      </w:rPr>
      <w:tblPr/>
      <w:tcPr>
        <w:tcBorders>
          <w:top w:val="double" w:sz="6" w:space="0" w:color="0097A7" w:themeColor="accent1"/>
          <w:left w:val="single" w:sz="8" w:space="0" w:color="0097A7" w:themeColor="accent1"/>
          <w:bottom w:val="single" w:sz="8" w:space="0" w:color="0097A7" w:themeColor="accent1"/>
          <w:right w:val="single" w:sz="8" w:space="0" w:color="0097A7" w:themeColor="accent1"/>
        </w:tcBorders>
      </w:tcPr>
    </w:tblStylePr>
    <w:tblStylePr w:type="firstCol">
      <w:rPr>
        <w:b/>
        <w:bCs/>
      </w:rPr>
    </w:tblStylePr>
    <w:tblStylePr w:type="lastCol">
      <w:rPr>
        <w:b/>
        <w:bCs/>
      </w:rPr>
    </w:tblStylePr>
    <w:tblStylePr w:type="band1Vert">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tblStylePr w:type="band1Horz">
      <w:tblPr/>
      <w:tcPr>
        <w:tcBorders>
          <w:top w:val="single" w:sz="8" w:space="0" w:color="0097A7" w:themeColor="accent1"/>
          <w:left w:val="single" w:sz="8" w:space="0" w:color="0097A7" w:themeColor="accent1"/>
          <w:bottom w:val="single" w:sz="8" w:space="0" w:color="0097A7" w:themeColor="accent1"/>
          <w:right w:val="single" w:sz="8" w:space="0" w:color="0097A7" w:themeColor="accent1"/>
        </w:tcBorders>
      </w:tcPr>
    </w:tblStylePr>
  </w:style>
  <w:style w:type="table" w:styleId="LightList-Accent2">
    <w:name w:val="Light List Accent 2"/>
    <w:basedOn w:val="TableNormal"/>
    <w:uiPriority w:val="61"/>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9EDADD" w:themeColor="accent2"/>
        <w:left w:val="single" w:sz="8" w:space="0" w:color="9EDADD" w:themeColor="accent2"/>
        <w:bottom w:val="single" w:sz="8" w:space="0" w:color="9EDADD" w:themeColor="accent2"/>
        <w:right w:val="single" w:sz="8" w:space="0" w:color="9EDADD" w:themeColor="accent2"/>
      </w:tblBorders>
    </w:tblPr>
    <w:tblStylePr w:type="firstRow">
      <w:pPr>
        <w:spacing w:before="0" w:after="0" w:line="240" w:lineRule="auto"/>
      </w:pPr>
      <w:rPr>
        <w:b/>
        <w:bCs/>
        <w:color w:val="FFFFFF" w:themeColor="background1"/>
      </w:rPr>
      <w:tblPr/>
      <w:tcPr>
        <w:shd w:val="clear" w:color="auto" w:fill="9EDADD" w:themeFill="accent2"/>
      </w:tcPr>
    </w:tblStylePr>
    <w:tblStylePr w:type="lastRow">
      <w:pPr>
        <w:spacing w:before="0" w:after="0" w:line="240" w:lineRule="auto"/>
      </w:pPr>
      <w:rPr>
        <w:b/>
        <w:bCs/>
      </w:rPr>
      <w:tblPr/>
      <w:tcPr>
        <w:tcBorders>
          <w:top w:val="double" w:sz="6" w:space="0" w:color="9EDADD" w:themeColor="accent2"/>
          <w:left w:val="single" w:sz="8" w:space="0" w:color="9EDADD" w:themeColor="accent2"/>
          <w:bottom w:val="single" w:sz="8" w:space="0" w:color="9EDADD" w:themeColor="accent2"/>
          <w:right w:val="single" w:sz="8" w:space="0" w:color="9EDADD" w:themeColor="accent2"/>
        </w:tcBorders>
      </w:tcPr>
    </w:tblStylePr>
    <w:tblStylePr w:type="firstCol">
      <w:rPr>
        <w:b/>
        <w:bCs/>
      </w:rPr>
    </w:tblStylePr>
    <w:tblStylePr w:type="lastCol">
      <w:rPr>
        <w:b/>
        <w:bCs/>
      </w:rPr>
    </w:tblStylePr>
    <w:tblStylePr w:type="band1Vert">
      <w:tblPr/>
      <w:tcPr>
        <w:tcBorders>
          <w:top w:val="single" w:sz="8" w:space="0" w:color="9EDADD" w:themeColor="accent2"/>
          <w:left w:val="single" w:sz="8" w:space="0" w:color="9EDADD" w:themeColor="accent2"/>
          <w:bottom w:val="single" w:sz="8" w:space="0" w:color="9EDADD" w:themeColor="accent2"/>
          <w:right w:val="single" w:sz="8" w:space="0" w:color="9EDADD" w:themeColor="accent2"/>
        </w:tcBorders>
      </w:tcPr>
    </w:tblStylePr>
    <w:tblStylePr w:type="band1Horz">
      <w:tblPr/>
      <w:tcPr>
        <w:tcBorders>
          <w:top w:val="single" w:sz="8" w:space="0" w:color="9EDADD" w:themeColor="accent2"/>
          <w:left w:val="single" w:sz="8" w:space="0" w:color="9EDADD" w:themeColor="accent2"/>
          <w:bottom w:val="single" w:sz="8" w:space="0" w:color="9EDADD" w:themeColor="accent2"/>
          <w:right w:val="single" w:sz="8" w:space="0" w:color="9EDADD" w:themeColor="accent2"/>
        </w:tcBorders>
      </w:tcPr>
    </w:tblStylePr>
  </w:style>
  <w:style w:type="table" w:styleId="LightList-Accent3">
    <w:name w:val="Light List Accent 3"/>
    <w:basedOn w:val="TableNormal"/>
    <w:uiPriority w:val="61"/>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DDD3A" w:themeColor="accent3"/>
        <w:left w:val="single" w:sz="8" w:space="0" w:color="FDDD3A" w:themeColor="accent3"/>
        <w:bottom w:val="single" w:sz="8" w:space="0" w:color="FDDD3A" w:themeColor="accent3"/>
        <w:right w:val="single" w:sz="8" w:space="0" w:color="FDDD3A" w:themeColor="accent3"/>
      </w:tblBorders>
    </w:tblPr>
    <w:tblStylePr w:type="firstRow">
      <w:pPr>
        <w:spacing w:before="0" w:after="0" w:line="240" w:lineRule="auto"/>
      </w:pPr>
      <w:rPr>
        <w:b/>
        <w:bCs/>
        <w:color w:val="FFFFFF" w:themeColor="background1"/>
      </w:rPr>
      <w:tblPr/>
      <w:tcPr>
        <w:shd w:val="clear" w:color="auto" w:fill="FDDD3A" w:themeFill="accent3"/>
      </w:tcPr>
    </w:tblStylePr>
    <w:tblStylePr w:type="lastRow">
      <w:pPr>
        <w:spacing w:before="0" w:after="0" w:line="240" w:lineRule="auto"/>
      </w:pPr>
      <w:rPr>
        <w:b/>
        <w:bCs/>
      </w:rPr>
      <w:tblPr/>
      <w:tcPr>
        <w:tcBorders>
          <w:top w:val="double" w:sz="6" w:space="0" w:color="FDDD3A" w:themeColor="accent3"/>
          <w:left w:val="single" w:sz="8" w:space="0" w:color="FDDD3A" w:themeColor="accent3"/>
          <w:bottom w:val="single" w:sz="8" w:space="0" w:color="FDDD3A" w:themeColor="accent3"/>
          <w:right w:val="single" w:sz="8" w:space="0" w:color="FDDD3A" w:themeColor="accent3"/>
        </w:tcBorders>
      </w:tcPr>
    </w:tblStylePr>
    <w:tblStylePr w:type="firstCol">
      <w:rPr>
        <w:b/>
        <w:bCs/>
      </w:rPr>
    </w:tblStylePr>
    <w:tblStylePr w:type="lastCol">
      <w:rPr>
        <w:b/>
        <w:bCs/>
      </w:rPr>
    </w:tblStylePr>
    <w:tblStylePr w:type="band1Vert">
      <w:tblPr/>
      <w:tcPr>
        <w:tcBorders>
          <w:top w:val="single" w:sz="8" w:space="0" w:color="FDDD3A" w:themeColor="accent3"/>
          <w:left w:val="single" w:sz="8" w:space="0" w:color="FDDD3A" w:themeColor="accent3"/>
          <w:bottom w:val="single" w:sz="8" w:space="0" w:color="FDDD3A" w:themeColor="accent3"/>
          <w:right w:val="single" w:sz="8" w:space="0" w:color="FDDD3A" w:themeColor="accent3"/>
        </w:tcBorders>
      </w:tcPr>
    </w:tblStylePr>
    <w:tblStylePr w:type="band1Horz">
      <w:tblPr/>
      <w:tcPr>
        <w:tcBorders>
          <w:top w:val="single" w:sz="8" w:space="0" w:color="FDDD3A" w:themeColor="accent3"/>
          <w:left w:val="single" w:sz="8" w:space="0" w:color="FDDD3A" w:themeColor="accent3"/>
          <w:bottom w:val="single" w:sz="8" w:space="0" w:color="FDDD3A" w:themeColor="accent3"/>
          <w:right w:val="single" w:sz="8" w:space="0" w:color="FDDD3A" w:themeColor="accent3"/>
        </w:tcBorders>
      </w:tcPr>
    </w:tblStylePr>
  </w:style>
  <w:style w:type="table" w:styleId="LightList-Accent4">
    <w:name w:val="Light List Accent 4"/>
    <w:basedOn w:val="TableNormal"/>
    <w:uiPriority w:val="61"/>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0F7883" w:themeColor="accent4"/>
        <w:left w:val="single" w:sz="8" w:space="0" w:color="0F7883" w:themeColor="accent4"/>
        <w:bottom w:val="single" w:sz="8" w:space="0" w:color="0F7883" w:themeColor="accent4"/>
        <w:right w:val="single" w:sz="8" w:space="0" w:color="0F7883" w:themeColor="accent4"/>
      </w:tblBorders>
    </w:tblPr>
    <w:tblStylePr w:type="firstRow">
      <w:pPr>
        <w:spacing w:before="0" w:after="0" w:line="240" w:lineRule="auto"/>
      </w:pPr>
      <w:rPr>
        <w:b/>
        <w:bCs/>
        <w:color w:val="FFFFFF" w:themeColor="background1"/>
      </w:rPr>
      <w:tblPr/>
      <w:tcPr>
        <w:shd w:val="clear" w:color="auto" w:fill="0F7883" w:themeFill="accent4"/>
      </w:tcPr>
    </w:tblStylePr>
    <w:tblStylePr w:type="lastRow">
      <w:pPr>
        <w:spacing w:before="0" w:after="0" w:line="240" w:lineRule="auto"/>
      </w:pPr>
      <w:rPr>
        <w:b/>
        <w:bCs/>
      </w:rPr>
      <w:tblPr/>
      <w:tcPr>
        <w:tcBorders>
          <w:top w:val="double" w:sz="6" w:space="0" w:color="0F7883" w:themeColor="accent4"/>
          <w:left w:val="single" w:sz="8" w:space="0" w:color="0F7883" w:themeColor="accent4"/>
          <w:bottom w:val="single" w:sz="8" w:space="0" w:color="0F7883" w:themeColor="accent4"/>
          <w:right w:val="single" w:sz="8" w:space="0" w:color="0F7883" w:themeColor="accent4"/>
        </w:tcBorders>
      </w:tcPr>
    </w:tblStylePr>
    <w:tblStylePr w:type="firstCol">
      <w:rPr>
        <w:b/>
        <w:bCs/>
      </w:rPr>
    </w:tblStylePr>
    <w:tblStylePr w:type="lastCol">
      <w:rPr>
        <w:b/>
        <w:bCs/>
      </w:rPr>
    </w:tblStylePr>
    <w:tblStylePr w:type="band1Vert">
      <w:tblPr/>
      <w:tcPr>
        <w:tcBorders>
          <w:top w:val="single" w:sz="8" w:space="0" w:color="0F7883" w:themeColor="accent4"/>
          <w:left w:val="single" w:sz="8" w:space="0" w:color="0F7883" w:themeColor="accent4"/>
          <w:bottom w:val="single" w:sz="8" w:space="0" w:color="0F7883" w:themeColor="accent4"/>
          <w:right w:val="single" w:sz="8" w:space="0" w:color="0F7883" w:themeColor="accent4"/>
        </w:tcBorders>
      </w:tcPr>
    </w:tblStylePr>
    <w:tblStylePr w:type="band1Horz">
      <w:tblPr/>
      <w:tcPr>
        <w:tcBorders>
          <w:top w:val="single" w:sz="8" w:space="0" w:color="0F7883" w:themeColor="accent4"/>
          <w:left w:val="single" w:sz="8" w:space="0" w:color="0F7883" w:themeColor="accent4"/>
          <w:bottom w:val="single" w:sz="8" w:space="0" w:color="0F7883" w:themeColor="accent4"/>
          <w:right w:val="single" w:sz="8" w:space="0" w:color="0F7883" w:themeColor="accent4"/>
        </w:tcBorders>
      </w:tcPr>
    </w:tblStylePr>
  </w:style>
  <w:style w:type="table" w:styleId="LightList-Accent5">
    <w:name w:val="Light List Accent 5"/>
    <w:basedOn w:val="TableNormal"/>
    <w:uiPriority w:val="61"/>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47D2A" w:themeColor="accent5"/>
        <w:left w:val="single" w:sz="8" w:space="0" w:color="F47D2A" w:themeColor="accent5"/>
        <w:bottom w:val="single" w:sz="8" w:space="0" w:color="F47D2A" w:themeColor="accent5"/>
        <w:right w:val="single" w:sz="8" w:space="0" w:color="F47D2A" w:themeColor="accent5"/>
      </w:tblBorders>
    </w:tblPr>
    <w:tblStylePr w:type="firstRow">
      <w:pPr>
        <w:spacing w:before="0" w:after="0" w:line="240" w:lineRule="auto"/>
      </w:pPr>
      <w:rPr>
        <w:b/>
        <w:bCs/>
        <w:color w:val="FFFFFF" w:themeColor="background1"/>
      </w:rPr>
      <w:tblPr/>
      <w:tcPr>
        <w:shd w:val="clear" w:color="auto" w:fill="F47D2A" w:themeFill="accent5"/>
      </w:tcPr>
    </w:tblStylePr>
    <w:tblStylePr w:type="lastRow">
      <w:pPr>
        <w:spacing w:before="0" w:after="0" w:line="240" w:lineRule="auto"/>
      </w:pPr>
      <w:rPr>
        <w:b/>
        <w:bCs/>
      </w:rPr>
      <w:tblPr/>
      <w:tcPr>
        <w:tcBorders>
          <w:top w:val="double" w:sz="6" w:space="0" w:color="F47D2A" w:themeColor="accent5"/>
          <w:left w:val="single" w:sz="8" w:space="0" w:color="F47D2A" w:themeColor="accent5"/>
          <w:bottom w:val="single" w:sz="8" w:space="0" w:color="F47D2A" w:themeColor="accent5"/>
          <w:right w:val="single" w:sz="8" w:space="0" w:color="F47D2A" w:themeColor="accent5"/>
        </w:tcBorders>
      </w:tcPr>
    </w:tblStylePr>
    <w:tblStylePr w:type="firstCol">
      <w:rPr>
        <w:b/>
        <w:bCs/>
      </w:rPr>
    </w:tblStylePr>
    <w:tblStylePr w:type="lastCol">
      <w:rPr>
        <w:b/>
        <w:bCs/>
      </w:rPr>
    </w:tblStylePr>
    <w:tblStylePr w:type="band1Vert">
      <w:tblPr/>
      <w:tcPr>
        <w:tcBorders>
          <w:top w:val="single" w:sz="8" w:space="0" w:color="F47D2A" w:themeColor="accent5"/>
          <w:left w:val="single" w:sz="8" w:space="0" w:color="F47D2A" w:themeColor="accent5"/>
          <w:bottom w:val="single" w:sz="8" w:space="0" w:color="F47D2A" w:themeColor="accent5"/>
          <w:right w:val="single" w:sz="8" w:space="0" w:color="F47D2A" w:themeColor="accent5"/>
        </w:tcBorders>
      </w:tcPr>
    </w:tblStylePr>
    <w:tblStylePr w:type="band1Horz">
      <w:tblPr/>
      <w:tcPr>
        <w:tcBorders>
          <w:top w:val="single" w:sz="8" w:space="0" w:color="F47D2A" w:themeColor="accent5"/>
          <w:left w:val="single" w:sz="8" w:space="0" w:color="F47D2A" w:themeColor="accent5"/>
          <w:bottom w:val="single" w:sz="8" w:space="0" w:color="F47D2A" w:themeColor="accent5"/>
          <w:right w:val="single" w:sz="8" w:space="0" w:color="F47D2A" w:themeColor="accent5"/>
        </w:tcBorders>
      </w:tcPr>
    </w:tblStylePr>
  </w:style>
  <w:style w:type="table" w:styleId="LightList-Accent6">
    <w:name w:val="Light List Accent 6"/>
    <w:basedOn w:val="TableNormal"/>
    <w:uiPriority w:val="61"/>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EC4B62" w:themeColor="accent6"/>
        <w:left w:val="single" w:sz="8" w:space="0" w:color="EC4B62" w:themeColor="accent6"/>
        <w:bottom w:val="single" w:sz="8" w:space="0" w:color="EC4B62" w:themeColor="accent6"/>
        <w:right w:val="single" w:sz="8" w:space="0" w:color="EC4B62" w:themeColor="accent6"/>
      </w:tblBorders>
    </w:tblPr>
    <w:tblStylePr w:type="firstRow">
      <w:pPr>
        <w:spacing w:before="0" w:after="0" w:line="240" w:lineRule="auto"/>
      </w:pPr>
      <w:rPr>
        <w:b/>
        <w:bCs/>
        <w:color w:val="FFFFFF" w:themeColor="background1"/>
      </w:rPr>
      <w:tblPr/>
      <w:tcPr>
        <w:shd w:val="clear" w:color="auto" w:fill="EC4B62" w:themeFill="accent6"/>
      </w:tcPr>
    </w:tblStylePr>
    <w:tblStylePr w:type="lastRow">
      <w:pPr>
        <w:spacing w:before="0" w:after="0" w:line="240" w:lineRule="auto"/>
      </w:pPr>
      <w:rPr>
        <w:b/>
        <w:bCs/>
      </w:rPr>
      <w:tblPr/>
      <w:tcPr>
        <w:tcBorders>
          <w:top w:val="double" w:sz="6" w:space="0" w:color="EC4B62" w:themeColor="accent6"/>
          <w:left w:val="single" w:sz="8" w:space="0" w:color="EC4B62" w:themeColor="accent6"/>
          <w:bottom w:val="single" w:sz="8" w:space="0" w:color="EC4B62" w:themeColor="accent6"/>
          <w:right w:val="single" w:sz="8" w:space="0" w:color="EC4B62" w:themeColor="accent6"/>
        </w:tcBorders>
      </w:tcPr>
    </w:tblStylePr>
    <w:tblStylePr w:type="firstCol">
      <w:rPr>
        <w:b/>
        <w:bCs/>
      </w:rPr>
    </w:tblStylePr>
    <w:tblStylePr w:type="lastCol">
      <w:rPr>
        <w:b/>
        <w:bCs/>
      </w:rPr>
    </w:tblStylePr>
    <w:tblStylePr w:type="band1Vert">
      <w:tblPr/>
      <w:tcPr>
        <w:tcBorders>
          <w:top w:val="single" w:sz="8" w:space="0" w:color="EC4B62" w:themeColor="accent6"/>
          <w:left w:val="single" w:sz="8" w:space="0" w:color="EC4B62" w:themeColor="accent6"/>
          <w:bottom w:val="single" w:sz="8" w:space="0" w:color="EC4B62" w:themeColor="accent6"/>
          <w:right w:val="single" w:sz="8" w:space="0" w:color="EC4B62" w:themeColor="accent6"/>
        </w:tcBorders>
      </w:tcPr>
    </w:tblStylePr>
    <w:tblStylePr w:type="band1Horz">
      <w:tblPr/>
      <w:tcPr>
        <w:tcBorders>
          <w:top w:val="single" w:sz="8" w:space="0" w:color="EC4B62" w:themeColor="accent6"/>
          <w:left w:val="single" w:sz="8" w:space="0" w:color="EC4B62" w:themeColor="accent6"/>
          <w:bottom w:val="single" w:sz="8" w:space="0" w:color="EC4B62" w:themeColor="accent6"/>
          <w:right w:val="single" w:sz="8" w:space="0" w:color="EC4B62" w:themeColor="accent6"/>
        </w:tcBorders>
      </w:tcPr>
    </w:tblStylePr>
  </w:style>
  <w:style w:type="table" w:styleId="LightShading">
    <w:name w:val="Light Shading"/>
    <w:basedOn w:val="TableNormal"/>
    <w:uiPriority w:val="60"/>
    <w:semiHidden/>
    <w:unhideWhenUsed/>
    <w:rsid w:val="00E71FF2"/>
    <w:pPr>
      <w:spacing w:after="0" w:line="240" w:lineRule="auto"/>
      <w:jc w:val="both"/>
    </w:pPr>
    <w:rPr>
      <w:rFonts w:ascii="Century Schoolbook" w:hAnsi="Century Schoolbook" w:cs="Verdana"/>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71FF2"/>
    <w:pPr>
      <w:spacing w:after="0" w:line="240" w:lineRule="auto"/>
      <w:jc w:val="both"/>
    </w:pPr>
    <w:rPr>
      <w:rFonts w:ascii="Century Schoolbook" w:hAnsi="Century Schoolbook" w:cs="Verdana"/>
      <w:color w:val="00707D" w:themeColor="accent1" w:themeShade="BF"/>
      <w:sz w:val="20"/>
      <w:szCs w:val="20"/>
    </w:rPr>
    <w:tblPr>
      <w:tblStyleRowBandSize w:val="1"/>
      <w:tblStyleColBandSize w:val="1"/>
      <w:tblBorders>
        <w:top w:val="single" w:sz="8" w:space="0" w:color="0097A7" w:themeColor="accent1"/>
        <w:bottom w:val="single" w:sz="8" w:space="0" w:color="0097A7" w:themeColor="accent1"/>
      </w:tblBorders>
    </w:tblPr>
    <w:tblStylePr w:type="firstRow">
      <w:pPr>
        <w:spacing w:before="0" w:after="0" w:line="240" w:lineRule="auto"/>
      </w:pPr>
      <w:rPr>
        <w:b/>
        <w:bCs/>
      </w:rPr>
      <w:tblPr/>
      <w:tcPr>
        <w:tcBorders>
          <w:top w:val="single" w:sz="8" w:space="0" w:color="0097A7" w:themeColor="accent1"/>
          <w:left w:val="nil"/>
          <w:bottom w:val="single" w:sz="8" w:space="0" w:color="0097A7" w:themeColor="accent1"/>
          <w:right w:val="nil"/>
          <w:insideH w:val="nil"/>
          <w:insideV w:val="nil"/>
        </w:tcBorders>
      </w:tcPr>
    </w:tblStylePr>
    <w:tblStylePr w:type="lastRow">
      <w:pPr>
        <w:spacing w:before="0" w:after="0" w:line="240" w:lineRule="auto"/>
      </w:pPr>
      <w:rPr>
        <w:b/>
        <w:bCs/>
      </w:rPr>
      <w:tblPr/>
      <w:tcPr>
        <w:tcBorders>
          <w:top w:val="single" w:sz="8" w:space="0" w:color="0097A7" w:themeColor="accent1"/>
          <w:left w:val="nil"/>
          <w:bottom w:val="single" w:sz="8" w:space="0" w:color="0097A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6FF" w:themeFill="accent1" w:themeFillTint="3F"/>
      </w:tcPr>
    </w:tblStylePr>
    <w:tblStylePr w:type="band1Horz">
      <w:tblPr/>
      <w:tcPr>
        <w:tcBorders>
          <w:left w:val="nil"/>
          <w:right w:val="nil"/>
          <w:insideH w:val="nil"/>
          <w:insideV w:val="nil"/>
        </w:tcBorders>
        <w:shd w:val="clear" w:color="auto" w:fill="AAF6FF" w:themeFill="accent1" w:themeFillTint="3F"/>
      </w:tcPr>
    </w:tblStylePr>
  </w:style>
  <w:style w:type="table" w:styleId="LightShading-Accent2">
    <w:name w:val="Light Shading Accent 2"/>
    <w:basedOn w:val="TableNormal"/>
    <w:uiPriority w:val="60"/>
    <w:semiHidden/>
    <w:unhideWhenUsed/>
    <w:rsid w:val="00E71FF2"/>
    <w:pPr>
      <w:spacing w:after="0" w:line="240" w:lineRule="auto"/>
      <w:jc w:val="both"/>
    </w:pPr>
    <w:rPr>
      <w:rFonts w:ascii="Century Schoolbook" w:hAnsi="Century Schoolbook" w:cs="Verdana"/>
      <w:color w:val="57BEC4" w:themeColor="accent2" w:themeShade="BF"/>
      <w:sz w:val="20"/>
      <w:szCs w:val="20"/>
    </w:rPr>
    <w:tblPr>
      <w:tblStyleRowBandSize w:val="1"/>
      <w:tblStyleColBandSize w:val="1"/>
      <w:tblBorders>
        <w:top w:val="single" w:sz="8" w:space="0" w:color="9EDADD" w:themeColor="accent2"/>
        <w:bottom w:val="single" w:sz="8" w:space="0" w:color="9EDADD" w:themeColor="accent2"/>
      </w:tblBorders>
    </w:tblPr>
    <w:tblStylePr w:type="firstRow">
      <w:pPr>
        <w:spacing w:before="0" w:after="0" w:line="240" w:lineRule="auto"/>
      </w:pPr>
      <w:rPr>
        <w:b/>
        <w:bCs/>
      </w:rPr>
      <w:tblPr/>
      <w:tcPr>
        <w:tcBorders>
          <w:top w:val="single" w:sz="8" w:space="0" w:color="9EDADD" w:themeColor="accent2"/>
          <w:left w:val="nil"/>
          <w:bottom w:val="single" w:sz="8" w:space="0" w:color="9EDADD" w:themeColor="accent2"/>
          <w:right w:val="nil"/>
          <w:insideH w:val="nil"/>
          <w:insideV w:val="nil"/>
        </w:tcBorders>
      </w:tcPr>
    </w:tblStylePr>
    <w:tblStylePr w:type="lastRow">
      <w:pPr>
        <w:spacing w:before="0" w:after="0" w:line="240" w:lineRule="auto"/>
      </w:pPr>
      <w:rPr>
        <w:b/>
        <w:bCs/>
      </w:rPr>
      <w:tblPr/>
      <w:tcPr>
        <w:tcBorders>
          <w:top w:val="single" w:sz="8" w:space="0" w:color="9EDADD" w:themeColor="accent2"/>
          <w:left w:val="nil"/>
          <w:bottom w:val="single" w:sz="8" w:space="0" w:color="9EDAD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F6" w:themeFill="accent2" w:themeFillTint="3F"/>
      </w:tcPr>
    </w:tblStylePr>
    <w:tblStylePr w:type="band1Horz">
      <w:tblPr/>
      <w:tcPr>
        <w:tcBorders>
          <w:left w:val="nil"/>
          <w:right w:val="nil"/>
          <w:insideH w:val="nil"/>
          <w:insideV w:val="nil"/>
        </w:tcBorders>
        <w:shd w:val="clear" w:color="auto" w:fill="E6F5F6" w:themeFill="accent2" w:themeFillTint="3F"/>
      </w:tcPr>
    </w:tblStylePr>
  </w:style>
  <w:style w:type="table" w:styleId="LightShading-Accent3">
    <w:name w:val="Light Shading Accent 3"/>
    <w:basedOn w:val="TableNormal"/>
    <w:uiPriority w:val="60"/>
    <w:semiHidden/>
    <w:unhideWhenUsed/>
    <w:rsid w:val="00E71FF2"/>
    <w:pPr>
      <w:spacing w:after="0" w:line="240" w:lineRule="auto"/>
      <w:jc w:val="both"/>
    </w:pPr>
    <w:rPr>
      <w:rFonts w:ascii="Century Schoolbook" w:hAnsi="Century Schoolbook" w:cs="Verdana"/>
      <w:color w:val="E6C002" w:themeColor="accent3" w:themeShade="BF"/>
      <w:sz w:val="20"/>
      <w:szCs w:val="20"/>
    </w:rPr>
    <w:tblPr>
      <w:tblStyleRowBandSize w:val="1"/>
      <w:tblStyleColBandSize w:val="1"/>
      <w:tblBorders>
        <w:top w:val="single" w:sz="8" w:space="0" w:color="FDDD3A" w:themeColor="accent3"/>
        <w:bottom w:val="single" w:sz="8" w:space="0" w:color="FDDD3A" w:themeColor="accent3"/>
      </w:tblBorders>
    </w:tblPr>
    <w:tblStylePr w:type="firstRow">
      <w:pPr>
        <w:spacing w:before="0" w:after="0" w:line="240" w:lineRule="auto"/>
      </w:pPr>
      <w:rPr>
        <w:b/>
        <w:bCs/>
      </w:rPr>
      <w:tblPr/>
      <w:tcPr>
        <w:tcBorders>
          <w:top w:val="single" w:sz="8" w:space="0" w:color="FDDD3A" w:themeColor="accent3"/>
          <w:left w:val="nil"/>
          <w:bottom w:val="single" w:sz="8" w:space="0" w:color="FDDD3A" w:themeColor="accent3"/>
          <w:right w:val="nil"/>
          <w:insideH w:val="nil"/>
          <w:insideV w:val="nil"/>
        </w:tcBorders>
      </w:tcPr>
    </w:tblStylePr>
    <w:tblStylePr w:type="lastRow">
      <w:pPr>
        <w:spacing w:before="0" w:after="0" w:line="240" w:lineRule="auto"/>
      </w:pPr>
      <w:rPr>
        <w:b/>
        <w:bCs/>
      </w:rPr>
      <w:tblPr/>
      <w:tcPr>
        <w:tcBorders>
          <w:top w:val="single" w:sz="8" w:space="0" w:color="FDDD3A" w:themeColor="accent3"/>
          <w:left w:val="nil"/>
          <w:bottom w:val="single" w:sz="8" w:space="0" w:color="FDDD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6CE" w:themeFill="accent3" w:themeFillTint="3F"/>
      </w:tcPr>
    </w:tblStylePr>
    <w:tblStylePr w:type="band1Horz">
      <w:tblPr/>
      <w:tcPr>
        <w:tcBorders>
          <w:left w:val="nil"/>
          <w:right w:val="nil"/>
          <w:insideH w:val="nil"/>
          <w:insideV w:val="nil"/>
        </w:tcBorders>
        <w:shd w:val="clear" w:color="auto" w:fill="FEF6CE" w:themeFill="accent3" w:themeFillTint="3F"/>
      </w:tcPr>
    </w:tblStylePr>
  </w:style>
  <w:style w:type="table" w:styleId="LightShading-Accent4">
    <w:name w:val="Light Shading Accent 4"/>
    <w:basedOn w:val="TableNormal"/>
    <w:uiPriority w:val="60"/>
    <w:semiHidden/>
    <w:unhideWhenUsed/>
    <w:rsid w:val="00E71FF2"/>
    <w:pPr>
      <w:spacing w:after="0" w:line="240" w:lineRule="auto"/>
      <w:jc w:val="both"/>
    </w:pPr>
    <w:rPr>
      <w:rFonts w:ascii="Century Schoolbook" w:hAnsi="Century Schoolbook" w:cs="Verdana"/>
      <w:color w:val="0B5962" w:themeColor="accent4" w:themeShade="BF"/>
      <w:sz w:val="20"/>
      <w:szCs w:val="20"/>
    </w:rPr>
    <w:tblPr>
      <w:tblStyleRowBandSize w:val="1"/>
      <w:tblStyleColBandSize w:val="1"/>
      <w:tblBorders>
        <w:top w:val="single" w:sz="8" w:space="0" w:color="0F7883" w:themeColor="accent4"/>
        <w:bottom w:val="single" w:sz="8" w:space="0" w:color="0F7883" w:themeColor="accent4"/>
      </w:tblBorders>
    </w:tblPr>
    <w:tblStylePr w:type="firstRow">
      <w:pPr>
        <w:spacing w:before="0" w:after="0" w:line="240" w:lineRule="auto"/>
      </w:pPr>
      <w:rPr>
        <w:b/>
        <w:bCs/>
      </w:rPr>
      <w:tblPr/>
      <w:tcPr>
        <w:tcBorders>
          <w:top w:val="single" w:sz="8" w:space="0" w:color="0F7883" w:themeColor="accent4"/>
          <w:left w:val="nil"/>
          <w:bottom w:val="single" w:sz="8" w:space="0" w:color="0F7883" w:themeColor="accent4"/>
          <w:right w:val="nil"/>
          <w:insideH w:val="nil"/>
          <w:insideV w:val="nil"/>
        </w:tcBorders>
      </w:tcPr>
    </w:tblStylePr>
    <w:tblStylePr w:type="lastRow">
      <w:pPr>
        <w:spacing w:before="0" w:after="0" w:line="240" w:lineRule="auto"/>
      </w:pPr>
      <w:rPr>
        <w:b/>
        <w:bCs/>
      </w:rPr>
      <w:tblPr/>
      <w:tcPr>
        <w:tcBorders>
          <w:top w:val="single" w:sz="8" w:space="0" w:color="0F7883" w:themeColor="accent4"/>
          <w:left w:val="nil"/>
          <w:bottom w:val="single" w:sz="8" w:space="0" w:color="0F78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EEF5" w:themeFill="accent4" w:themeFillTint="3F"/>
      </w:tcPr>
    </w:tblStylePr>
    <w:tblStylePr w:type="band1Horz">
      <w:tblPr/>
      <w:tcPr>
        <w:tcBorders>
          <w:left w:val="nil"/>
          <w:right w:val="nil"/>
          <w:insideH w:val="nil"/>
          <w:insideV w:val="nil"/>
        </w:tcBorders>
        <w:shd w:val="clear" w:color="auto" w:fill="AEEEF5" w:themeFill="accent4" w:themeFillTint="3F"/>
      </w:tcPr>
    </w:tblStylePr>
  </w:style>
  <w:style w:type="table" w:styleId="LightShading-Accent5">
    <w:name w:val="Light Shading Accent 5"/>
    <w:basedOn w:val="TableNormal"/>
    <w:uiPriority w:val="60"/>
    <w:semiHidden/>
    <w:unhideWhenUsed/>
    <w:rsid w:val="00E71FF2"/>
    <w:pPr>
      <w:spacing w:after="0" w:line="240" w:lineRule="auto"/>
      <w:jc w:val="both"/>
    </w:pPr>
    <w:rPr>
      <w:rFonts w:ascii="Century Schoolbook" w:hAnsi="Century Schoolbook" w:cs="Verdana"/>
      <w:color w:val="CB590A" w:themeColor="accent5" w:themeShade="BF"/>
      <w:sz w:val="20"/>
      <w:szCs w:val="20"/>
    </w:rPr>
    <w:tblPr>
      <w:tblStyleRowBandSize w:val="1"/>
      <w:tblStyleColBandSize w:val="1"/>
      <w:tblBorders>
        <w:top w:val="single" w:sz="8" w:space="0" w:color="F47D2A" w:themeColor="accent5"/>
        <w:bottom w:val="single" w:sz="8" w:space="0" w:color="F47D2A" w:themeColor="accent5"/>
      </w:tblBorders>
    </w:tblPr>
    <w:tblStylePr w:type="firstRow">
      <w:pPr>
        <w:spacing w:before="0" w:after="0" w:line="240" w:lineRule="auto"/>
      </w:pPr>
      <w:rPr>
        <w:b/>
        <w:bCs/>
      </w:rPr>
      <w:tblPr/>
      <w:tcPr>
        <w:tcBorders>
          <w:top w:val="single" w:sz="8" w:space="0" w:color="F47D2A" w:themeColor="accent5"/>
          <w:left w:val="nil"/>
          <w:bottom w:val="single" w:sz="8" w:space="0" w:color="F47D2A" w:themeColor="accent5"/>
          <w:right w:val="nil"/>
          <w:insideH w:val="nil"/>
          <w:insideV w:val="nil"/>
        </w:tcBorders>
      </w:tcPr>
    </w:tblStylePr>
    <w:tblStylePr w:type="lastRow">
      <w:pPr>
        <w:spacing w:before="0" w:after="0" w:line="240" w:lineRule="auto"/>
      </w:pPr>
      <w:rPr>
        <w:b/>
        <w:bCs/>
      </w:rPr>
      <w:tblPr/>
      <w:tcPr>
        <w:tcBorders>
          <w:top w:val="single" w:sz="8" w:space="0" w:color="F47D2A" w:themeColor="accent5"/>
          <w:left w:val="nil"/>
          <w:bottom w:val="single" w:sz="8" w:space="0" w:color="F47D2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ECA" w:themeFill="accent5" w:themeFillTint="3F"/>
      </w:tcPr>
    </w:tblStylePr>
    <w:tblStylePr w:type="band1Horz">
      <w:tblPr/>
      <w:tcPr>
        <w:tcBorders>
          <w:left w:val="nil"/>
          <w:right w:val="nil"/>
          <w:insideH w:val="nil"/>
          <w:insideV w:val="nil"/>
        </w:tcBorders>
        <w:shd w:val="clear" w:color="auto" w:fill="FCDECA" w:themeFill="accent5" w:themeFillTint="3F"/>
      </w:tcPr>
    </w:tblStylePr>
  </w:style>
  <w:style w:type="table" w:styleId="LightShading-Accent6">
    <w:name w:val="Light Shading Accent 6"/>
    <w:basedOn w:val="TableNormal"/>
    <w:uiPriority w:val="60"/>
    <w:semiHidden/>
    <w:unhideWhenUsed/>
    <w:rsid w:val="00E71FF2"/>
    <w:pPr>
      <w:spacing w:after="0" w:line="240" w:lineRule="auto"/>
      <w:jc w:val="both"/>
    </w:pPr>
    <w:rPr>
      <w:rFonts w:ascii="Century Schoolbook" w:hAnsi="Century Schoolbook" w:cs="Verdana"/>
      <w:color w:val="D21630" w:themeColor="accent6" w:themeShade="BF"/>
      <w:sz w:val="20"/>
      <w:szCs w:val="20"/>
    </w:rPr>
    <w:tblPr>
      <w:tblStyleRowBandSize w:val="1"/>
      <w:tblStyleColBandSize w:val="1"/>
      <w:tblBorders>
        <w:top w:val="single" w:sz="8" w:space="0" w:color="EC4B62" w:themeColor="accent6"/>
        <w:bottom w:val="single" w:sz="8" w:space="0" w:color="EC4B62" w:themeColor="accent6"/>
      </w:tblBorders>
    </w:tblPr>
    <w:tblStylePr w:type="firstRow">
      <w:pPr>
        <w:spacing w:before="0" w:after="0" w:line="240" w:lineRule="auto"/>
      </w:pPr>
      <w:rPr>
        <w:b/>
        <w:bCs/>
      </w:rPr>
      <w:tblPr/>
      <w:tcPr>
        <w:tcBorders>
          <w:top w:val="single" w:sz="8" w:space="0" w:color="EC4B62" w:themeColor="accent6"/>
          <w:left w:val="nil"/>
          <w:bottom w:val="single" w:sz="8" w:space="0" w:color="EC4B62" w:themeColor="accent6"/>
          <w:right w:val="nil"/>
          <w:insideH w:val="nil"/>
          <w:insideV w:val="nil"/>
        </w:tcBorders>
      </w:tcPr>
    </w:tblStylePr>
    <w:tblStylePr w:type="lastRow">
      <w:pPr>
        <w:spacing w:before="0" w:after="0" w:line="240" w:lineRule="auto"/>
      </w:pPr>
      <w:rPr>
        <w:b/>
        <w:bCs/>
      </w:rPr>
      <w:tblPr/>
      <w:tcPr>
        <w:tcBorders>
          <w:top w:val="single" w:sz="8" w:space="0" w:color="EC4B62" w:themeColor="accent6"/>
          <w:left w:val="nil"/>
          <w:bottom w:val="single" w:sz="8" w:space="0" w:color="EC4B6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2D7" w:themeFill="accent6" w:themeFillTint="3F"/>
      </w:tcPr>
    </w:tblStylePr>
    <w:tblStylePr w:type="band1Horz">
      <w:tblPr/>
      <w:tcPr>
        <w:tcBorders>
          <w:left w:val="nil"/>
          <w:right w:val="nil"/>
          <w:insideH w:val="nil"/>
          <w:insideV w:val="nil"/>
        </w:tcBorders>
        <w:shd w:val="clear" w:color="auto" w:fill="FAD2D7" w:themeFill="accent6" w:themeFillTint="3F"/>
      </w:tcPr>
    </w:tblStylePr>
  </w:style>
  <w:style w:type="character" w:styleId="LineNumber">
    <w:name w:val="line number"/>
    <w:basedOn w:val="DefaultParagraphFont"/>
    <w:uiPriority w:val="99"/>
    <w:semiHidden/>
    <w:rsid w:val="00E71FF2"/>
    <w:rPr>
      <w:lang w:val="da-DK"/>
    </w:rPr>
  </w:style>
  <w:style w:type="paragraph" w:styleId="List">
    <w:name w:val="List"/>
    <w:basedOn w:val="Normal"/>
    <w:uiPriority w:val="99"/>
    <w:semiHidden/>
    <w:rsid w:val="00E71FF2"/>
    <w:pPr>
      <w:spacing w:line="312" w:lineRule="auto"/>
      <w:ind w:left="283" w:hanging="283"/>
      <w:contextualSpacing/>
      <w:jc w:val="both"/>
    </w:pPr>
    <w:rPr>
      <w:rFonts w:ascii="Century Schoolbook" w:hAnsi="Century Schoolbook" w:cs="Verdana"/>
      <w:szCs w:val="20"/>
    </w:rPr>
  </w:style>
  <w:style w:type="paragraph" w:styleId="List2">
    <w:name w:val="List 2"/>
    <w:basedOn w:val="Normal"/>
    <w:uiPriority w:val="99"/>
    <w:semiHidden/>
    <w:rsid w:val="00E71FF2"/>
    <w:pPr>
      <w:spacing w:line="312" w:lineRule="auto"/>
      <w:ind w:left="566" w:hanging="283"/>
      <w:contextualSpacing/>
      <w:jc w:val="both"/>
    </w:pPr>
    <w:rPr>
      <w:rFonts w:ascii="Century Schoolbook" w:hAnsi="Century Schoolbook" w:cs="Verdana"/>
      <w:szCs w:val="20"/>
    </w:rPr>
  </w:style>
  <w:style w:type="paragraph" w:styleId="List3">
    <w:name w:val="List 3"/>
    <w:basedOn w:val="Normal"/>
    <w:uiPriority w:val="99"/>
    <w:semiHidden/>
    <w:rsid w:val="00E71FF2"/>
    <w:pPr>
      <w:spacing w:line="312" w:lineRule="auto"/>
      <w:ind w:left="849" w:hanging="283"/>
      <w:contextualSpacing/>
      <w:jc w:val="both"/>
    </w:pPr>
    <w:rPr>
      <w:rFonts w:ascii="Century Schoolbook" w:hAnsi="Century Schoolbook" w:cs="Verdana"/>
      <w:szCs w:val="20"/>
    </w:rPr>
  </w:style>
  <w:style w:type="paragraph" w:styleId="List4">
    <w:name w:val="List 4"/>
    <w:basedOn w:val="Normal"/>
    <w:uiPriority w:val="99"/>
    <w:semiHidden/>
    <w:rsid w:val="00E71FF2"/>
    <w:pPr>
      <w:spacing w:line="312" w:lineRule="auto"/>
      <w:ind w:left="1132" w:hanging="283"/>
      <w:contextualSpacing/>
      <w:jc w:val="both"/>
    </w:pPr>
    <w:rPr>
      <w:rFonts w:ascii="Century Schoolbook" w:hAnsi="Century Schoolbook" w:cs="Verdana"/>
      <w:szCs w:val="20"/>
    </w:rPr>
  </w:style>
  <w:style w:type="paragraph" w:styleId="List5">
    <w:name w:val="List 5"/>
    <w:basedOn w:val="Normal"/>
    <w:uiPriority w:val="99"/>
    <w:semiHidden/>
    <w:rsid w:val="00E71FF2"/>
    <w:pPr>
      <w:spacing w:line="312" w:lineRule="auto"/>
      <w:ind w:left="1415" w:hanging="283"/>
      <w:contextualSpacing/>
      <w:jc w:val="both"/>
    </w:pPr>
    <w:rPr>
      <w:rFonts w:ascii="Century Schoolbook" w:hAnsi="Century Schoolbook" w:cs="Verdana"/>
      <w:szCs w:val="20"/>
    </w:rPr>
  </w:style>
  <w:style w:type="paragraph" w:styleId="ListContinue">
    <w:name w:val="List Continue"/>
    <w:basedOn w:val="Normal"/>
    <w:uiPriority w:val="99"/>
    <w:semiHidden/>
    <w:rsid w:val="00E71FF2"/>
    <w:pPr>
      <w:spacing w:after="120" w:line="312" w:lineRule="auto"/>
      <w:ind w:left="283"/>
      <w:contextualSpacing/>
      <w:jc w:val="both"/>
    </w:pPr>
    <w:rPr>
      <w:rFonts w:ascii="Century Schoolbook" w:hAnsi="Century Schoolbook" w:cs="Verdana"/>
      <w:szCs w:val="20"/>
    </w:rPr>
  </w:style>
  <w:style w:type="paragraph" w:styleId="ListContinue2">
    <w:name w:val="List Continue 2"/>
    <w:basedOn w:val="Normal"/>
    <w:uiPriority w:val="99"/>
    <w:semiHidden/>
    <w:rsid w:val="00E71FF2"/>
    <w:pPr>
      <w:spacing w:after="120" w:line="312" w:lineRule="auto"/>
      <w:ind w:left="566"/>
      <w:contextualSpacing/>
      <w:jc w:val="both"/>
    </w:pPr>
    <w:rPr>
      <w:rFonts w:ascii="Century Schoolbook" w:hAnsi="Century Schoolbook" w:cs="Verdana"/>
      <w:szCs w:val="20"/>
    </w:rPr>
  </w:style>
  <w:style w:type="paragraph" w:styleId="ListContinue3">
    <w:name w:val="List Continue 3"/>
    <w:basedOn w:val="Normal"/>
    <w:uiPriority w:val="99"/>
    <w:semiHidden/>
    <w:rsid w:val="00E71FF2"/>
    <w:pPr>
      <w:spacing w:after="120" w:line="312" w:lineRule="auto"/>
      <w:ind w:left="849"/>
      <w:contextualSpacing/>
      <w:jc w:val="both"/>
    </w:pPr>
    <w:rPr>
      <w:rFonts w:ascii="Century Schoolbook" w:hAnsi="Century Schoolbook" w:cs="Verdana"/>
      <w:szCs w:val="20"/>
    </w:rPr>
  </w:style>
  <w:style w:type="paragraph" w:styleId="ListContinue4">
    <w:name w:val="List Continue 4"/>
    <w:basedOn w:val="Normal"/>
    <w:uiPriority w:val="99"/>
    <w:semiHidden/>
    <w:rsid w:val="00E71FF2"/>
    <w:pPr>
      <w:spacing w:after="120" w:line="312" w:lineRule="auto"/>
      <w:ind w:left="1132"/>
      <w:contextualSpacing/>
      <w:jc w:val="both"/>
    </w:pPr>
    <w:rPr>
      <w:rFonts w:ascii="Century Schoolbook" w:hAnsi="Century Schoolbook" w:cs="Verdana"/>
      <w:szCs w:val="20"/>
    </w:rPr>
  </w:style>
  <w:style w:type="paragraph" w:styleId="ListContinue5">
    <w:name w:val="List Continue 5"/>
    <w:basedOn w:val="Normal"/>
    <w:uiPriority w:val="99"/>
    <w:semiHidden/>
    <w:rsid w:val="00E71FF2"/>
    <w:pPr>
      <w:spacing w:after="120" w:line="312" w:lineRule="auto"/>
      <w:ind w:left="1415"/>
      <w:contextualSpacing/>
      <w:jc w:val="both"/>
    </w:pPr>
    <w:rPr>
      <w:rFonts w:ascii="Century Schoolbook" w:hAnsi="Century Schoolbook" w:cs="Verdana"/>
      <w:szCs w:val="20"/>
    </w:rPr>
  </w:style>
  <w:style w:type="table" w:styleId="ListTable1Light">
    <w:name w:val="List Table 1 Light"/>
    <w:basedOn w:val="TableNormal"/>
    <w:uiPriority w:val="46"/>
    <w:rsid w:val="00E71FF2"/>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71FF2"/>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31EAFF" w:themeColor="accent1" w:themeTint="99"/>
        </w:tcBorders>
      </w:tcPr>
    </w:tblStylePr>
    <w:tblStylePr w:type="lastRow">
      <w:rPr>
        <w:b/>
        <w:bCs/>
      </w:rPr>
      <w:tblPr/>
      <w:tcPr>
        <w:tcBorders>
          <w:top w:val="single" w:sz="4" w:space="0" w:color="31EAFF" w:themeColor="accent1" w:themeTint="99"/>
        </w:tcBorders>
      </w:tcPr>
    </w:tblStylePr>
    <w:tblStylePr w:type="firstCol">
      <w:rPr>
        <w:b/>
        <w:bCs/>
      </w:rPr>
    </w:tblStylePr>
    <w:tblStylePr w:type="lastCol">
      <w:rPr>
        <w:b/>
        <w:bCs/>
      </w:rPr>
    </w:tblStylePr>
    <w:tblStylePr w:type="band1Vert">
      <w:tblPr/>
      <w:tcPr>
        <w:shd w:val="clear" w:color="auto" w:fill="BAF8FF" w:themeFill="accent1" w:themeFillTint="33"/>
      </w:tcPr>
    </w:tblStylePr>
    <w:tblStylePr w:type="band1Horz">
      <w:tblPr/>
      <w:tcPr>
        <w:shd w:val="clear" w:color="auto" w:fill="BAF8FF" w:themeFill="accent1" w:themeFillTint="33"/>
      </w:tcPr>
    </w:tblStylePr>
  </w:style>
  <w:style w:type="table" w:styleId="ListTable1Light-Accent2">
    <w:name w:val="List Table 1 Light Accent 2"/>
    <w:basedOn w:val="TableNormal"/>
    <w:uiPriority w:val="46"/>
    <w:rsid w:val="00E71FF2"/>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C4E8EA" w:themeColor="accent2" w:themeTint="99"/>
        </w:tcBorders>
      </w:tcPr>
    </w:tblStylePr>
    <w:tblStylePr w:type="lastRow">
      <w:rPr>
        <w:b/>
        <w:bCs/>
      </w:rPr>
      <w:tblPr/>
      <w:tcPr>
        <w:tcBorders>
          <w:top w:val="single" w:sz="4" w:space="0" w:color="C4E8EA" w:themeColor="accent2" w:themeTint="99"/>
        </w:tcBorders>
      </w:tcPr>
    </w:tblStylePr>
    <w:tblStylePr w:type="firstCol">
      <w:rPr>
        <w:b/>
        <w:bCs/>
      </w:rPr>
    </w:tblStylePr>
    <w:tblStylePr w:type="lastCol">
      <w:rPr>
        <w:b/>
        <w:bCs/>
      </w:rPr>
    </w:tblStylePr>
    <w:tblStylePr w:type="band1Vert">
      <w:tblPr/>
      <w:tcPr>
        <w:shd w:val="clear" w:color="auto" w:fill="EBF7F8" w:themeFill="accent2" w:themeFillTint="33"/>
      </w:tcPr>
    </w:tblStylePr>
    <w:tblStylePr w:type="band1Horz">
      <w:tblPr/>
      <w:tcPr>
        <w:shd w:val="clear" w:color="auto" w:fill="EBF7F8" w:themeFill="accent2" w:themeFillTint="33"/>
      </w:tcPr>
    </w:tblStylePr>
  </w:style>
  <w:style w:type="table" w:styleId="ListTable1Light-Accent3">
    <w:name w:val="List Table 1 Light Accent 3"/>
    <w:basedOn w:val="TableNormal"/>
    <w:uiPriority w:val="46"/>
    <w:rsid w:val="00E71FF2"/>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FDEA88" w:themeColor="accent3" w:themeTint="99"/>
        </w:tcBorders>
      </w:tcPr>
    </w:tblStylePr>
    <w:tblStylePr w:type="lastRow">
      <w:rPr>
        <w:b/>
        <w:bCs/>
      </w:rPr>
      <w:tblPr/>
      <w:tcPr>
        <w:tcBorders>
          <w:top w:val="single" w:sz="4" w:space="0" w:color="FDEA88" w:themeColor="accent3" w:themeTint="99"/>
        </w:tcBorders>
      </w:tcPr>
    </w:tblStylePr>
    <w:tblStylePr w:type="firstCol">
      <w:rPr>
        <w:b/>
        <w:bCs/>
      </w:rPr>
    </w:tblStylePr>
    <w:tblStylePr w:type="lastCol">
      <w:rPr>
        <w:b/>
        <w:bCs/>
      </w:rPr>
    </w:tblStylePr>
    <w:tblStylePr w:type="band1Vert">
      <w:tblPr/>
      <w:tcPr>
        <w:shd w:val="clear" w:color="auto" w:fill="FEF8D7" w:themeFill="accent3" w:themeFillTint="33"/>
      </w:tcPr>
    </w:tblStylePr>
    <w:tblStylePr w:type="band1Horz">
      <w:tblPr/>
      <w:tcPr>
        <w:shd w:val="clear" w:color="auto" w:fill="FEF8D7" w:themeFill="accent3" w:themeFillTint="33"/>
      </w:tcPr>
    </w:tblStylePr>
  </w:style>
  <w:style w:type="table" w:styleId="ListTable1Light-Accent4">
    <w:name w:val="List Table 1 Light Accent 4"/>
    <w:basedOn w:val="TableNormal"/>
    <w:uiPriority w:val="46"/>
    <w:rsid w:val="00E71FF2"/>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3AD7E8" w:themeColor="accent4" w:themeTint="99"/>
        </w:tcBorders>
      </w:tcPr>
    </w:tblStylePr>
    <w:tblStylePr w:type="lastRow">
      <w:rPr>
        <w:b/>
        <w:bCs/>
      </w:rPr>
      <w:tblPr/>
      <w:tcPr>
        <w:tcBorders>
          <w:top w:val="single" w:sz="4" w:space="0" w:color="3AD7E8" w:themeColor="accent4" w:themeTint="99"/>
        </w:tcBorders>
      </w:tcPr>
    </w:tblStylePr>
    <w:tblStylePr w:type="firstCol">
      <w:rPr>
        <w:b/>
        <w:bCs/>
      </w:rPr>
    </w:tblStylePr>
    <w:tblStylePr w:type="lastCol">
      <w:rPr>
        <w:b/>
        <w:bCs/>
      </w:rPr>
    </w:tblStylePr>
    <w:tblStylePr w:type="band1Vert">
      <w:tblPr/>
      <w:tcPr>
        <w:shd w:val="clear" w:color="auto" w:fill="BDF1F7" w:themeFill="accent4" w:themeFillTint="33"/>
      </w:tcPr>
    </w:tblStylePr>
    <w:tblStylePr w:type="band1Horz">
      <w:tblPr/>
      <w:tcPr>
        <w:shd w:val="clear" w:color="auto" w:fill="BDF1F7" w:themeFill="accent4" w:themeFillTint="33"/>
      </w:tcPr>
    </w:tblStylePr>
  </w:style>
  <w:style w:type="table" w:styleId="ListTable1Light-Accent5">
    <w:name w:val="List Table 1 Light Accent 5"/>
    <w:basedOn w:val="TableNormal"/>
    <w:uiPriority w:val="46"/>
    <w:rsid w:val="00E71FF2"/>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F8B07E" w:themeColor="accent5" w:themeTint="99"/>
        </w:tcBorders>
      </w:tcPr>
    </w:tblStylePr>
    <w:tblStylePr w:type="lastRow">
      <w:rPr>
        <w:b/>
        <w:bCs/>
      </w:rPr>
      <w:tblPr/>
      <w:tcPr>
        <w:tcBorders>
          <w:top w:val="single" w:sz="4" w:space="0" w:color="F8B07E" w:themeColor="accent5" w:themeTint="99"/>
        </w:tcBorders>
      </w:tcPr>
    </w:tblStylePr>
    <w:tblStylePr w:type="firstCol">
      <w:rPr>
        <w:b/>
        <w:bCs/>
      </w:rPr>
    </w:tblStylePr>
    <w:tblStylePr w:type="lastCol">
      <w:rPr>
        <w:b/>
        <w:bCs/>
      </w:rPr>
    </w:tblStylePr>
    <w:tblStylePr w:type="band1Vert">
      <w:tblPr/>
      <w:tcPr>
        <w:shd w:val="clear" w:color="auto" w:fill="FCE4D4" w:themeFill="accent5" w:themeFillTint="33"/>
      </w:tcPr>
    </w:tblStylePr>
    <w:tblStylePr w:type="band1Horz">
      <w:tblPr/>
      <w:tcPr>
        <w:shd w:val="clear" w:color="auto" w:fill="FCE4D4" w:themeFill="accent5" w:themeFillTint="33"/>
      </w:tcPr>
    </w:tblStylePr>
  </w:style>
  <w:style w:type="table" w:styleId="ListTable1Light-Accent6">
    <w:name w:val="List Table 1 Light Accent 6"/>
    <w:basedOn w:val="TableNormal"/>
    <w:uiPriority w:val="46"/>
    <w:rsid w:val="00E71FF2"/>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Pr/>
      <w:tcPr>
        <w:tcBorders>
          <w:bottom w:val="single" w:sz="4" w:space="0" w:color="F392A0" w:themeColor="accent6" w:themeTint="99"/>
        </w:tcBorders>
      </w:tcPr>
    </w:tblStylePr>
    <w:tblStylePr w:type="lastRow">
      <w:rPr>
        <w:b/>
        <w:bCs/>
      </w:rPr>
      <w:tblPr/>
      <w:tcPr>
        <w:tcBorders>
          <w:top w:val="single" w:sz="4" w:space="0" w:color="F392A0" w:themeColor="accent6" w:themeTint="99"/>
        </w:tcBorders>
      </w:tcPr>
    </w:tblStylePr>
    <w:tblStylePr w:type="firstCol">
      <w:rPr>
        <w:b/>
        <w:bCs/>
      </w:rPr>
    </w:tblStylePr>
    <w:tblStylePr w:type="lastCol">
      <w:rPr>
        <w:b/>
        <w:bCs/>
      </w:rPr>
    </w:tblStylePr>
    <w:tblStylePr w:type="band1Vert">
      <w:tblPr/>
      <w:tcPr>
        <w:shd w:val="clear" w:color="auto" w:fill="FBDADF" w:themeFill="accent6" w:themeFillTint="33"/>
      </w:tcPr>
    </w:tblStylePr>
    <w:tblStylePr w:type="band1Horz">
      <w:tblPr/>
      <w:tcPr>
        <w:shd w:val="clear" w:color="auto" w:fill="FBDADF" w:themeFill="accent6" w:themeFillTint="33"/>
      </w:tcPr>
    </w:tblStylePr>
  </w:style>
  <w:style w:type="table" w:styleId="ListTable2">
    <w:name w:val="List Table 2"/>
    <w:basedOn w:val="TableNormal"/>
    <w:uiPriority w:val="47"/>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31EAFF" w:themeColor="accent1" w:themeTint="99"/>
        <w:bottom w:val="single" w:sz="4" w:space="0" w:color="31EAFF" w:themeColor="accent1" w:themeTint="99"/>
        <w:insideH w:val="single" w:sz="4" w:space="0" w:color="31E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8FF" w:themeFill="accent1" w:themeFillTint="33"/>
      </w:tcPr>
    </w:tblStylePr>
    <w:tblStylePr w:type="band1Horz">
      <w:tblPr/>
      <w:tcPr>
        <w:shd w:val="clear" w:color="auto" w:fill="BAF8FF" w:themeFill="accent1" w:themeFillTint="33"/>
      </w:tcPr>
    </w:tblStylePr>
  </w:style>
  <w:style w:type="table" w:styleId="ListTable2-Accent2">
    <w:name w:val="List Table 2 Accent 2"/>
    <w:basedOn w:val="TableNormal"/>
    <w:uiPriority w:val="47"/>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C4E8EA" w:themeColor="accent2" w:themeTint="99"/>
        <w:bottom w:val="single" w:sz="4" w:space="0" w:color="C4E8EA" w:themeColor="accent2" w:themeTint="99"/>
        <w:insideH w:val="single" w:sz="4" w:space="0" w:color="C4E8E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7F8" w:themeFill="accent2" w:themeFillTint="33"/>
      </w:tcPr>
    </w:tblStylePr>
    <w:tblStylePr w:type="band1Horz">
      <w:tblPr/>
      <w:tcPr>
        <w:shd w:val="clear" w:color="auto" w:fill="EBF7F8" w:themeFill="accent2" w:themeFillTint="33"/>
      </w:tcPr>
    </w:tblStylePr>
  </w:style>
  <w:style w:type="table" w:styleId="ListTable2-Accent3">
    <w:name w:val="List Table 2 Accent 3"/>
    <w:basedOn w:val="TableNormal"/>
    <w:uiPriority w:val="47"/>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DEA88" w:themeColor="accent3" w:themeTint="99"/>
        <w:bottom w:val="single" w:sz="4" w:space="0" w:color="FDEA88" w:themeColor="accent3" w:themeTint="99"/>
        <w:insideH w:val="single" w:sz="4" w:space="0" w:color="FDEA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8D7" w:themeFill="accent3" w:themeFillTint="33"/>
      </w:tcPr>
    </w:tblStylePr>
    <w:tblStylePr w:type="band1Horz">
      <w:tblPr/>
      <w:tcPr>
        <w:shd w:val="clear" w:color="auto" w:fill="FEF8D7" w:themeFill="accent3" w:themeFillTint="33"/>
      </w:tcPr>
    </w:tblStylePr>
  </w:style>
  <w:style w:type="table" w:styleId="ListTable2-Accent4">
    <w:name w:val="List Table 2 Accent 4"/>
    <w:basedOn w:val="TableNormal"/>
    <w:uiPriority w:val="47"/>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3AD7E8" w:themeColor="accent4" w:themeTint="99"/>
        <w:bottom w:val="single" w:sz="4" w:space="0" w:color="3AD7E8" w:themeColor="accent4" w:themeTint="99"/>
        <w:insideH w:val="single" w:sz="4" w:space="0" w:color="3AD7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1F7" w:themeFill="accent4" w:themeFillTint="33"/>
      </w:tcPr>
    </w:tblStylePr>
    <w:tblStylePr w:type="band1Horz">
      <w:tblPr/>
      <w:tcPr>
        <w:shd w:val="clear" w:color="auto" w:fill="BDF1F7" w:themeFill="accent4" w:themeFillTint="33"/>
      </w:tcPr>
    </w:tblStylePr>
  </w:style>
  <w:style w:type="table" w:styleId="ListTable2-Accent5">
    <w:name w:val="List Table 2 Accent 5"/>
    <w:basedOn w:val="TableNormal"/>
    <w:uiPriority w:val="47"/>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8B07E" w:themeColor="accent5" w:themeTint="99"/>
        <w:bottom w:val="single" w:sz="4" w:space="0" w:color="F8B07E" w:themeColor="accent5" w:themeTint="99"/>
        <w:insideH w:val="single" w:sz="4" w:space="0" w:color="F8B07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4D4" w:themeFill="accent5" w:themeFillTint="33"/>
      </w:tcPr>
    </w:tblStylePr>
    <w:tblStylePr w:type="band1Horz">
      <w:tblPr/>
      <w:tcPr>
        <w:shd w:val="clear" w:color="auto" w:fill="FCE4D4" w:themeFill="accent5" w:themeFillTint="33"/>
      </w:tcPr>
    </w:tblStylePr>
  </w:style>
  <w:style w:type="table" w:styleId="ListTable2-Accent6">
    <w:name w:val="List Table 2 Accent 6"/>
    <w:basedOn w:val="TableNormal"/>
    <w:uiPriority w:val="47"/>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392A0" w:themeColor="accent6" w:themeTint="99"/>
        <w:bottom w:val="single" w:sz="4" w:space="0" w:color="F392A0" w:themeColor="accent6" w:themeTint="99"/>
        <w:insideH w:val="single" w:sz="4" w:space="0" w:color="F392A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ADF" w:themeFill="accent6" w:themeFillTint="33"/>
      </w:tcPr>
    </w:tblStylePr>
    <w:tblStylePr w:type="band1Horz">
      <w:tblPr/>
      <w:tcPr>
        <w:shd w:val="clear" w:color="auto" w:fill="FBDADF" w:themeFill="accent6" w:themeFillTint="33"/>
      </w:tcPr>
    </w:tblStylePr>
  </w:style>
  <w:style w:type="table" w:styleId="ListTable3">
    <w:name w:val="List Table 3"/>
    <w:basedOn w:val="TableNormal"/>
    <w:uiPriority w:val="48"/>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0097A7" w:themeColor="accent1"/>
        <w:left w:val="single" w:sz="4" w:space="0" w:color="0097A7" w:themeColor="accent1"/>
        <w:bottom w:val="single" w:sz="4" w:space="0" w:color="0097A7" w:themeColor="accent1"/>
        <w:right w:val="single" w:sz="4" w:space="0" w:color="0097A7" w:themeColor="accent1"/>
      </w:tblBorders>
    </w:tblPr>
    <w:tblStylePr w:type="firstRow">
      <w:rPr>
        <w:b/>
        <w:bCs/>
        <w:color w:val="FFFFFF" w:themeColor="background1"/>
      </w:rPr>
      <w:tblPr/>
      <w:tcPr>
        <w:shd w:val="clear" w:color="auto" w:fill="0097A7" w:themeFill="accent1"/>
      </w:tcPr>
    </w:tblStylePr>
    <w:tblStylePr w:type="lastRow">
      <w:rPr>
        <w:b/>
        <w:bCs/>
      </w:rPr>
      <w:tblPr/>
      <w:tcPr>
        <w:tcBorders>
          <w:top w:val="double" w:sz="4" w:space="0" w:color="0097A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A7" w:themeColor="accent1"/>
          <w:right w:val="single" w:sz="4" w:space="0" w:color="0097A7" w:themeColor="accent1"/>
        </w:tcBorders>
      </w:tcPr>
    </w:tblStylePr>
    <w:tblStylePr w:type="band1Horz">
      <w:tblPr/>
      <w:tcPr>
        <w:tcBorders>
          <w:top w:val="single" w:sz="4" w:space="0" w:color="0097A7" w:themeColor="accent1"/>
          <w:bottom w:val="single" w:sz="4" w:space="0" w:color="0097A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A7" w:themeColor="accent1"/>
          <w:left w:val="nil"/>
        </w:tcBorders>
      </w:tcPr>
    </w:tblStylePr>
    <w:tblStylePr w:type="swCell">
      <w:tblPr/>
      <w:tcPr>
        <w:tcBorders>
          <w:top w:val="double" w:sz="4" w:space="0" w:color="0097A7" w:themeColor="accent1"/>
          <w:right w:val="nil"/>
        </w:tcBorders>
      </w:tcPr>
    </w:tblStylePr>
  </w:style>
  <w:style w:type="table" w:styleId="ListTable3-Accent2">
    <w:name w:val="List Table 3 Accent 2"/>
    <w:basedOn w:val="TableNormal"/>
    <w:uiPriority w:val="48"/>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9EDADD" w:themeColor="accent2"/>
        <w:left w:val="single" w:sz="4" w:space="0" w:color="9EDADD" w:themeColor="accent2"/>
        <w:bottom w:val="single" w:sz="4" w:space="0" w:color="9EDADD" w:themeColor="accent2"/>
        <w:right w:val="single" w:sz="4" w:space="0" w:color="9EDADD" w:themeColor="accent2"/>
      </w:tblBorders>
    </w:tblPr>
    <w:tblStylePr w:type="firstRow">
      <w:rPr>
        <w:b/>
        <w:bCs/>
        <w:color w:val="FFFFFF" w:themeColor="background1"/>
      </w:rPr>
      <w:tblPr/>
      <w:tcPr>
        <w:shd w:val="clear" w:color="auto" w:fill="9EDADD" w:themeFill="accent2"/>
      </w:tcPr>
    </w:tblStylePr>
    <w:tblStylePr w:type="lastRow">
      <w:rPr>
        <w:b/>
        <w:bCs/>
      </w:rPr>
      <w:tblPr/>
      <w:tcPr>
        <w:tcBorders>
          <w:top w:val="double" w:sz="4" w:space="0" w:color="9EDAD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DADD" w:themeColor="accent2"/>
          <w:right w:val="single" w:sz="4" w:space="0" w:color="9EDADD" w:themeColor="accent2"/>
        </w:tcBorders>
      </w:tcPr>
    </w:tblStylePr>
    <w:tblStylePr w:type="band1Horz">
      <w:tblPr/>
      <w:tcPr>
        <w:tcBorders>
          <w:top w:val="single" w:sz="4" w:space="0" w:color="9EDADD" w:themeColor="accent2"/>
          <w:bottom w:val="single" w:sz="4" w:space="0" w:color="9EDAD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DADD" w:themeColor="accent2"/>
          <w:left w:val="nil"/>
        </w:tcBorders>
      </w:tcPr>
    </w:tblStylePr>
    <w:tblStylePr w:type="swCell">
      <w:tblPr/>
      <w:tcPr>
        <w:tcBorders>
          <w:top w:val="double" w:sz="4" w:space="0" w:color="9EDADD" w:themeColor="accent2"/>
          <w:right w:val="nil"/>
        </w:tcBorders>
      </w:tcPr>
    </w:tblStylePr>
  </w:style>
  <w:style w:type="table" w:styleId="ListTable3-Accent3">
    <w:name w:val="List Table 3 Accent 3"/>
    <w:basedOn w:val="TableNormal"/>
    <w:uiPriority w:val="48"/>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DDD3A" w:themeColor="accent3"/>
        <w:left w:val="single" w:sz="4" w:space="0" w:color="FDDD3A" w:themeColor="accent3"/>
        <w:bottom w:val="single" w:sz="4" w:space="0" w:color="FDDD3A" w:themeColor="accent3"/>
        <w:right w:val="single" w:sz="4" w:space="0" w:color="FDDD3A" w:themeColor="accent3"/>
      </w:tblBorders>
    </w:tblPr>
    <w:tblStylePr w:type="firstRow">
      <w:rPr>
        <w:b/>
        <w:bCs/>
        <w:color w:val="FFFFFF" w:themeColor="background1"/>
      </w:rPr>
      <w:tblPr/>
      <w:tcPr>
        <w:shd w:val="clear" w:color="auto" w:fill="FDDD3A" w:themeFill="accent3"/>
      </w:tcPr>
    </w:tblStylePr>
    <w:tblStylePr w:type="lastRow">
      <w:rPr>
        <w:b/>
        <w:bCs/>
      </w:rPr>
      <w:tblPr/>
      <w:tcPr>
        <w:tcBorders>
          <w:top w:val="double" w:sz="4" w:space="0" w:color="FDDD3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D3A" w:themeColor="accent3"/>
          <w:right w:val="single" w:sz="4" w:space="0" w:color="FDDD3A" w:themeColor="accent3"/>
        </w:tcBorders>
      </w:tcPr>
    </w:tblStylePr>
    <w:tblStylePr w:type="band1Horz">
      <w:tblPr/>
      <w:tcPr>
        <w:tcBorders>
          <w:top w:val="single" w:sz="4" w:space="0" w:color="FDDD3A" w:themeColor="accent3"/>
          <w:bottom w:val="single" w:sz="4" w:space="0" w:color="FDDD3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D3A" w:themeColor="accent3"/>
          <w:left w:val="nil"/>
        </w:tcBorders>
      </w:tcPr>
    </w:tblStylePr>
    <w:tblStylePr w:type="swCell">
      <w:tblPr/>
      <w:tcPr>
        <w:tcBorders>
          <w:top w:val="double" w:sz="4" w:space="0" w:color="FDDD3A" w:themeColor="accent3"/>
          <w:right w:val="nil"/>
        </w:tcBorders>
      </w:tcPr>
    </w:tblStylePr>
  </w:style>
  <w:style w:type="table" w:styleId="ListTable3-Accent4">
    <w:name w:val="List Table 3 Accent 4"/>
    <w:basedOn w:val="TableNormal"/>
    <w:uiPriority w:val="48"/>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0F7883" w:themeColor="accent4"/>
        <w:left w:val="single" w:sz="4" w:space="0" w:color="0F7883" w:themeColor="accent4"/>
        <w:bottom w:val="single" w:sz="4" w:space="0" w:color="0F7883" w:themeColor="accent4"/>
        <w:right w:val="single" w:sz="4" w:space="0" w:color="0F7883" w:themeColor="accent4"/>
      </w:tblBorders>
    </w:tblPr>
    <w:tblStylePr w:type="firstRow">
      <w:rPr>
        <w:b/>
        <w:bCs/>
        <w:color w:val="FFFFFF" w:themeColor="background1"/>
      </w:rPr>
      <w:tblPr/>
      <w:tcPr>
        <w:shd w:val="clear" w:color="auto" w:fill="0F7883" w:themeFill="accent4"/>
      </w:tcPr>
    </w:tblStylePr>
    <w:tblStylePr w:type="lastRow">
      <w:rPr>
        <w:b/>
        <w:bCs/>
      </w:rPr>
      <w:tblPr/>
      <w:tcPr>
        <w:tcBorders>
          <w:top w:val="double" w:sz="4" w:space="0" w:color="0F78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7883" w:themeColor="accent4"/>
          <w:right w:val="single" w:sz="4" w:space="0" w:color="0F7883" w:themeColor="accent4"/>
        </w:tcBorders>
      </w:tcPr>
    </w:tblStylePr>
    <w:tblStylePr w:type="band1Horz">
      <w:tblPr/>
      <w:tcPr>
        <w:tcBorders>
          <w:top w:val="single" w:sz="4" w:space="0" w:color="0F7883" w:themeColor="accent4"/>
          <w:bottom w:val="single" w:sz="4" w:space="0" w:color="0F78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7883" w:themeColor="accent4"/>
          <w:left w:val="nil"/>
        </w:tcBorders>
      </w:tcPr>
    </w:tblStylePr>
    <w:tblStylePr w:type="swCell">
      <w:tblPr/>
      <w:tcPr>
        <w:tcBorders>
          <w:top w:val="double" w:sz="4" w:space="0" w:color="0F7883" w:themeColor="accent4"/>
          <w:right w:val="nil"/>
        </w:tcBorders>
      </w:tcPr>
    </w:tblStylePr>
  </w:style>
  <w:style w:type="table" w:styleId="ListTable3-Accent5">
    <w:name w:val="List Table 3 Accent 5"/>
    <w:basedOn w:val="TableNormal"/>
    <w:uiPriority w:val="48"/>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47D2A" w:themeColor="accent5"/>
        <w:left w:val="single" w:sz="4" w:space="0" w:color="F47D2A" w:themeColor="accent5"/>
        <w:bottom w:val="single" w:sz="4" w:space="0" w:color="F47D2A" w:themeColor="accent5"/>
        <w:right w:val="single" w:sz="4" w:space="0" w:color="F47D2A" w:themeColor="accent5"/>
      </w:tblBorders>
    </w:tblPr>
    <w:tblStylePr w:type="firstRow">
      <w:rPr>
        <w:b/>
        <w:bCs/>
        <w:color w:val="FFFFFF" w:themeColor="background1"/>
      </w:rPr>
      <w:tblPr/>
      <w:tcPr>
        <w:shd w:val="clear" w:color="auto" w:fill="F47D2A" w:themeFill="accent5"/>
      </w:tcPr>
    </w:tblStylePr>
    <w:tblStylePr w:type="lastRow">
      <w:rPr>
        <w:b/>
        <w:bCs/>
      </w:rPr>
      <w:tblPr/>
      <w:tcPr>
        <w:tcBorders>
          <w:top w:val="double" w:sz="4" w:space="0" w:color="F47D2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7D2A" w:themeColor="accent5"/>
          <w:right w:val="single" w:sz="4" w:space="0" w:color="F47D2A" w:themeColor="accent5"/>
        </w:tcBorders>
      </w:tcPr>
    </w:tblStylePr>
    <w:tblStylePr w:type="band1Horz">
      <w:tblPr/>
      <w:tcPr>
        <w:tcBorders>
          <w:top w:val="single" w:sz="4" w:space="0" w:color="F47D2A" w:themeColor="accent5"/>
          <w:bottom w:val="single" w:sz="4" w:space="0" w:color="F47D2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7D2A" w:themeColor="accent5"/>
          <w:left w:val="nil"/>
        </w:tcBorders>
      </w:tcPr>
    </w:tblStylePr>
    <w:tblStylePr w:type="swCell">
      <w:tblPr/>
      <w:tcPr>
        <w:tcBorders>
          <w:top w:val="double" w:sz="4" w:space="0" w:color="F47D2A" w:themeColor="accent5"/>
          <w:right w:val="nil"/>
        </w:tcBorders>
      </w:tcPr>
    </w:tblStylePr>
  </w:style>
  <w:style w:type="table" w:styleId="ListTable3-Accent6">
    <w:name w:val="List Table 3 Accent 6"/>
    <w:basedOn w:val="TableNormal"/>
    <w:uiPriority w:val="48"/>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EC4B62" w:themeColor="accent6"/>
        <w:left w:val="single" w:sz="4" w:space="0" w:color="EC4B62" w:themeColor="accent6"/>
        <w:bottom w:val="single" w:sz="4" w:space="0" w:color="EC4B62" w:themeColor="accent6"/>
        <w:right w:val="single" w:sz="4" w:space="0" w:color="EC4B62" w:themeColor="accent6"/>
      </w:tblBorders>
    </w:tblPr>
    <w:tblStylePr w:type="firstRow">
      <w:rPr>
        <w:b/>
        <w:bCs/>
        <w:color w:val="FFFFFF" w:themeColor="background1"/>
      </w:rPr>
      <w:tblPr/>
      <w:tcPr>
        <w:shd w:val="clear" w:color="auto" w:fill="EC4B62" w:themeFill="accent6"/>
      </w:tcPr>
    </w:tblStylePr>
    <w:tblStylePr w:type="lastRow">
      <w:rPr>
        <w:b/>
        <w:bCs/>
      </w:rPr>
      <w:tblPr/>
      <w:tcPr>
        <w:tcBorders>
          <w:top w:val="double" w:sz="4" w:space="0" w:color="EC4B6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4B62" w:themeColor="accent6"/>
          <w:right w:val="single" w:sz="4" w:space="0" w:color="EC4B62" w:themeColor="accent6"/>
        </w:tcBorders>
      </w:tcPr>
    </w:tblStylePr>
    <w:tblStylePr w:type="band1Horz">
      <w:tblPr/>
      <w:tcPr>
        <w:tcBorders>
          <w:top w:val="single" w:sz="4" w:space="0" w:color="EC4B62" w:themeColor="accent6"/>
          <w:bottom w:val="single" w:sz="4" w:space="0" w:color="EC4B6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4B62" w:themeColor="accent6"/>
          <w:left w:val="nil"/>
        </w:tcBorders>
      </w:tcPr>
    </w:tblStylePr>
    <w:tblStylePr w:type="swCell">
      <w:tblPr/>
      <w:tcPr>
        <w:tcBorders>
          <w:top w:val="double" w:sz="4" w:space="0" w:color="EC4B62" w:themeColor="accent6"/>
          <w:right w:val="nil"/>
        </w:tcBorders>
      </w:tcPr>
    </w:tblStylePr>
  </w:style>
  <w:style w:type="table" w:styleId="ListTable4">
    <w:name w:val="List Table 4"/>
    <w:basedOn w:val="TableNormal"/>
    <w:uiPriority w:val="49"/>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31EAFF" w:themeColor="accent1" w:themeTint="99"/>
        <w:left w:val="single" w:sz="4" w:space="0" w:color="31EAFF" w:themeColor="accent1" w:themeTint="99"/>
        <w:bottom w:val="single" w:sz="4" w:space="0" w:color="31EAFF" w:themeColor="accent1" w:themeTint="99"/>
        <w:right w:val="single" w:sz="4" w:space="0" w:color="31EAFF" w:themeColor="accent1" w:themeTint="99"/>
        <w:insideH w:val="single" w:sz="4" w:space="0" w:color="31EAFF" w:themeColor="accent1" w:themeTint="99"/>
      </w:tblBorders>
    </w:tblPr>
    <w:tblStylePr w:type="firstRow">
      <w:rPr>
        <w:b/>
        <w:bCs/>
        <w:color w:val="FFFFFF" w:themeColor="background1"/>
      </w:rPr>
      <w:tblPr/>
      <w:tcPr>
        <w:tcBorders>
          <w:top w:val="single" w:sz="4" w:space="0" w:color="0097A7" w:themeColor="accent1"/>
          <w:left w:val="single" w:sz="4" w:space="0" w:color="0097A7" w:themeColor="accent1"/>
          <w:bottom w:val="single" w:sz="4" w:space="0" w:color="0097A7" w:themeColor="accent1"/>
          <w:right w:val="single" w:sz="4" w:space="0" w:color="0097A7" w:themeColor="accent1"/>
          <w:insideH w:val="nil"/>
        </w:tcBorders>
        <w:shd w:val="clear" w:color="auto" w:fill="0097A7" w:themeFill="accent1"/>
      </w:tcPr>
    </w:tblStylePr>
    <w:tblStylePr w:type="lastRow">
      <w:rPr>
        <w:b/>
        <w:bCs/>
      </w:rPr>
      <w:tblPr/>
      <w:tcPr>
        <w:tcBorders>
          <w:top w:val="double" w:sz="4" w:space="0" w:color="31EAFF" w:themeColor="accent1" w:themeTint="99"/>
        </w:tcBorders>
      </w:tcPr>
    </w:tblStylePr>
    <w:tblStylePr w:type="firstCol">
      <w:rPr>
        <w:b/>
        <w:bCs/>
      </w:rPr>
    </w:tblStylePr>
    <w:tblStylePr w:type="lastCol">
      <w:rPr>
        <w:b/>
        <w:bCs/>
      </w:rPr>
    </w:tblStylePr>
    <w:tblStylePr w:type="band1Vert">
      <w:tblPr/>
      <w:tcPr>
        <w:shd w:val="clear" w:color="auto" w:fill="BAF8FF" w:themeFill="accent1" w:themeFillTint="33"/>
      </w:tcPr>
    </w:tblStylePr>
    <w:tblStylePr w:type="band1Horz">
      <w:tblPr/>
      <w:tcPr>
        <w:shd w:val="clear" w:color="auto" w:fill="BAF8FF" w:themeFill="accent1" w:themeFillTint="33"/>
      </w:tcPr>
    </w:tblStylePr>
  </w:style>
  <w:style w:type="table" w:styleId="ListTable4-Accent2">
    <w:name w:val="List Table 4 Accent 2"/>
    <w:basedOn w:val="TableNormal"/>
    <w:uiPriority w:val="49"/>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C4E8EA" w:themeColor="accent2" w:themeTint="99"/>
        <w:left w:val="single" w:sz="4" w:space="0" w:color="C4E8EA" w:themeColor="accent2" w:themeTint="99"/>
        <w:bottom w:val="single" w:sz="4" w:space="0" w:color="C4E8EA" w:themeColor="accent2" w:themeTint="99"/>
        <w:right w:val="single" w:sz="4" w:space="0" w:color="C4E8EA" w:themeColor="accent2" w:themeTint="99"/>
        <w:insideH w:val="single" w:sz="4" w:space="0" w:color="C4E8EA" w:themeColor="accent2" w:themeTint="99"/>
      </w:tblBorders>
    </w:tblPr>
    <w:tblStylePr w:type="firstRow">
      <w:rPr>
        <w:b/>
        <w:bCs/>
        <w:color w:val="FFFFFF" w:themeColor="background1"/>
      </w:rPr>
      <w:tblPr/>
      <w:tcPr>
        <w:tcBorders>
          <w:top w:val="single" w:sz="4" w:space="0" w:color="9EDADD" w:themeColor="accent2"/>
          <w:left w:val="single" w:sz="4" w:space="0" w:color="9EDADD" w:themeColor="accent2"/>
          <w:bottom w:val="single" w:sz="4" w:space="0" w:color="9EDADD" w:themeColor="accent2"/>
          <w:right w:val="single" w:sz="4" w:space="0" w:color="9EDADD" w:themeColor="accent2"/>
          <w:insideH w:val="nil"/>
        </w:tcBorders>
        <w:shd w:val="clear" w:color="auto" w:fill="9EDADD" w:themeFill="accent2"/>
      </w:tcPr>
    </w:tblStylePr>
    <w:tblStylePr w:type="lastRow">
      <w:rPr>
        <w:b/>
        <w:bCs/>
      </w:rPr>
      <w:tblPr/>
      <w:tcPr>
        <w:tcBorders>
          <w:top w:val="double" w:sz="4" w:space="0" w:color="C4E8EA" w:themeColor="accent2" w:themeTint="99"/>
        </w:tcBorders>
      </w:tcPr>
    </w:tblStylePr>
    <w:tblStylePr w:type="firstCol">
      <w:rPr>
        <w:b/>
        <w:bCs/>
      </w:rPr>
    </w:tblStylePr>
    <w:tblStylePr w:type="lastCol">
      <w:rPr>
        <w:b/>
        <w:bCs/>
      </w:rPr>
    </w:tblStylePr>
    <w:tblStylePr w:type="band1Vert">
      <w:tblPr/>
      <w:tcPr>
        <w:shd w:val="clear" w:color="auto" w:fill="EBF7F8" w:themeFill="accent2" w:themeFillTint="33"/>
      </w:tcPr>
    </w:tblStylePr>
    <w:tblStylePr w:type="band1Horz">
      <w:tblPr/>
      <w:tcPr>
        <w:shd w:val="clear" w:color="auto" w:fill="EBF7F8" w:themeFill="accent2" w:themeFillTint="33"/>
      </w:tcPr>
    </w:tblStylePr>
  </w:style>
  <w:style w:type="table" w:styleId="ListTable4-Accent3">
    <w:name w:val="List Table 4 Accent 3"/>
    <w:basedOn w:val="TableNormal"/>
    <w:uiPriority w:val="49"/>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DEA88" w:themeColor="accent3" w:themeTint="99"/>
        <w:left w:val="single" w:sz="4" w:space="0" w:color="FDEA88" w:themeColor="accent3" w:themeTint="99"/>
        <w:bottom w:val="single" w:sz="4" w:space="0" w:color="FDEA88" w:themeColor="accent3" w:themeTint="99"/>
        <w:right w:val="single" w:sz="4" w:space="0" w:color="FDEA88" w:themeColor="accent3" w:themeTint="99"/>
        <w:insideH w:val="single" w:sz="4" w:space="0" w:color="FDEA88" w:themeColor="accent3" w:themeTint="99"/>
      </w:tblBorders>
    </w:tblPr>
    <w:tblStylePr w:type="firstRow">
      <w:rPr>
        <w:b/>
        <w:bCs/>
        <w:color w:val="FFFFFF" w:themeColor="background1"/>
      </w:rPr>
      <w:tblPr/>
      <w:tcPr>
        <w:tcBorders>
          <w:top w:val="single" w:sz="4" w:space="0" w:color="FDDD3A" w:themeColor="accent3"/>
          <w:left w:val="single" w:sz="4" w:space="0" w:color="FDDD3A" w:themeColor="accent3"/>
          <w:bottom w:val="single" w:sz="4" w:space="0" w:color="FDDD3A" w:themeColor="accent3"/>
          <w:right w:val="single" w:sz="4" w:space="0" w:color="FDDD3A" w:themeColor="accent3"/>
          <w:insideH w:val="nil"/>
        </w:tcBorders>
        <w:shd w:val="clear" w:color="auto" w:fill="FDDD3A" w:themeFill="accent3"/>
      </w:tcPr>
    </w:tblStylePr>
    <w:tblStylePr w:type="lastRow">
      <w:rPr>
        <w:b/>
        <w:bCs/>
      </w:rPr>
      <w:tblPr/>
      <w:tcPr>
        <w:tcBorders>
          <w:top w:val="double" w:sz="4" w:space="0" w:color="FDEA88" w:themeColor="accent3" w:themeTint="99"/>
        </w:tcBorders>
      </w:tcPr>
    </w:tblStylePr>
    <w:tblStylePr w:type="firstCol">
      <w:rPr>
        <w:b/>
        <w:bCs/>
      </w:rPr>
    </w:tblStylePr>
    <w:tblStylePr w:type="lastCol">
      <w:rPr>
        <w:b/>
        <w:bCs/>
      </w:rPr>
    </w:tblStylePr>
    <w:tblStylePr w:type="band1Vert">
      <w:tblPr/>
      <w:tcPr>
        <w:shd w:val="clear" w:color="auto" w:fill="FEF8D7" w:themeFill="accent3" w:themeFillTint="33"/>
      </w:tcPr>
    </w:tblStylePr>
    <w:tblStylePr w:type="band1Horz">
      <w:tblPr/>
      <w:tcPr>
        <w:shd w:val="clear" w:color="auto" w:fill="FEF8D7" w:themeFill="accent3" w:themeFillTint="33"/>
      </w:tcPr>
    </w:tblStylePr>
  </w:style>
  <w:style w:type="table" w:styleId="ListTable4-Accent4">
    <w:name w:val="List Table 4 Accent 4"/>
    <w:basedOn w:val="TableNormal"/>
    <w:uiPriority w:val="49"/>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3AD7E8" w:themeColor="accent4" w:themeTint="99"/>
        <w:left w:val="single" w:sz="4" w:space="0" w:color="3AD7E8" w:themeColor="accent4" w:themeTint="99"/>
        <w:bottom w:val="single" w:sz="4" w:space="0" w:color="3AD7E8" w:themeColor="accent4" w:themeTint="99"/>
        <w:right w:val="single" w:sz="4" w:space="0" w:color="3AD7E8" w:themeColor="accent4" w:themeTint="99"/>
        <w:insideH w:val="single" w:sz="4" w:space="0" w:color="3AD7E8" w:themeColor="accent4" w:themeTint="99"/>
      </w:tblBorders>
    </w:tblPr>
    <w:tblStylePr w:type="firstRow">
      <w:rPr>
        <w:b/>
        <w:bCs/>
        <w:color w:val="FFFFFF" w:themeColor="background1"/>
      </w:rPr>
      <w:tblPr/>
      <w:tcPr>
        <w:tcBorders>
          <w:top w:val="single" w:sz="4" w:space="0" w:color="0F7883" w:themeColor="accent4"/>
          <w:left w:val="single" w:sz="4" w:space="0" w:color="0F7883" w:themeColor="accent4"/>
          <w:bottom w:val="single" w:sz="4" w:space="0" w:color="0F7883" w:themeColor="accent4"/>
          <w:right w:val="single" w:sz="4" w:space="0" w:color="0F7883" w:themeColor="accent4"/>
          <w:insideH w:val="nil"/>
        </w:tcBorders>
        <w:shd w:val="clear" w:color="auto" w:fill="0F7883" w:themeFill="accent4"/>
      </w:tcPr>
    </w:tblStylePr>
    <w:tblStylePr w:type="lastRow">
      <w:rPr>
        <w:b/>
        <w:bCs/>
      </w:rPr>
      <w:tblPr/>
      <w:tcPr>
        <w:tcBorders>
          <w:top w:val="double" w:sz="4" w:space="0" w:color="3AD7E8" w:themeColor="accent4" w:themeTint="99"/>
        </w:tcBorders>
      </w:tcPr>
    </w:tblStylePr>
    <w:tblStylePr w:type="firstCol">
      <w:rPr>
        <w:b/>
        <w:bCs/>
      </w:rPr>
    </w:tblStylePr>
    <w:tblStylePr w:type="lastCol">
      <w:rPr>
        <w:b/>
        <w:bCs/>
      </w:rPr>
    </w:tblStylePr>
    <w:tblStylePr w:type="band1Vert">
      <w:tblPr/>
      <w:tcPr>
        <w:shd w:val="clear" w:color="auto" w:fill="BDF1F7" w:themeFill="accent4" w:themeFillTint="33"/>
      </w:tcPr>
    </w:tblStylePr>
    <w:tblStylePr w:type="band1Horz">
      <w:tblPr/>
      <w:tcPr>
        <w:shd w:val="clear" w:color="auto" w:fill="BDF1F7" w:themeFill="accent4" w:themeFillTint="33"/>
      </w:tcPr>
    </w:tblStylePr>
  </w:style>
  <w:style w:type="table" w:styleId="ListTable4-Accent5">
    <w:name w:val="List Table 4 Accent 5"/>
    <w:basedOn w:val="TableNormal"/>
    <w:uiPriority w:val="49"/>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8B07E" w:themeColor="accent5" w:themeTint="99"/>
        <w:left w:val="single" w:sz="4" w:space="0" w:color="F8B07E" w:themeColor="accent5" w:themeTint="99"/>
        <w:bottom w:val="single" w:sz="4" w:space="0" w:color="F8B07E" w:themeColor="accent5" w:themeTint="99"/>
        <w:right w:val="single" w:sz="4" w:space="0" w:color="F8B07E" w:themeColor="accent5" w:themeTint="99"/>
        <w:insideH w:val="single" w:sz="4" w:space="0" w:color="F8B07E" w:themeColor="accent5" w:themeTint="99"/>
      </w:tblBorders>
    </w:tblPr>
    <w:tblStylePr w:type="firstRow">
      <w:rPr>
        <w:b/>
        <w:bCs/>
        <w:color w:val="FFFFFF" w:themeColor="background1"/>
      </w:rPr>
      <w:tblPr/>
      <w:tcPr>
        <w:tcBorders>
          <w:top w:val="single" w:sz="4" w:space="0" w:color="F47D2A" w:themeColor="accent5"/>
          <w:left w:val="single" w:sz="4" w:space="0" w:color="F47D2A" w:themeColor="accent5"/>
          <w:bottom w:val="single" w:sz="4" w:space="0" w:color="F47D2A" w:themeColor="accent5"/>
          <w:right w:val="single" w:sz="4" w:space="0" w:color="F47D2A" w:themeColor="accent5"/>
          <w:insideH w:val="nil"/>
        </w:tcBorders>
        <w:shd w:val="clear" w:color="auto" w:fill="F47D2A" w:themeFill="accent5"/>
      </w:tcPr>
    </w:tblStylePr>
    <w:tblStylePr w:type="lastRow">
      <w:rPr>
        <w:b/>
        <w:bCs/>
      </w:rPr>
      <w:tblPr/>
      <w:tcPr>
        <w:tcBorders>
          <w:top w:val="double" w:sz="4" w:space="0" w:color="F8B07E" w:themeColor="accent5" w:themeTint="99"/>
        </w:tcBorders>
      </w:tcPr>
    </w:tblStylePr>
    <w:tblStylePr w:type="firstCol">
      <w:rPr>
        <w:b/>
        <w:bCs/>
      </w:rPr>
    </w:tblStylePr>
    <w:tblStylePr w:type="lastCol">
      <w:rPr>
        <w:b/>
        <w:bCs/>
      </w:rPr>
    </w:tblStylePr>
    <w:tblStylePr w:type="band1Vert">
      <w:tblPr/>
      <w:tcPr>
        <w:shd w:val="clear" w:color="auto" w:fill="FCE4D4" w:themeFill="accent5" w:themeFillTint="33"/>
      </w:tcPr>
    </w:tblStylePr>
    <w:tblStylePr w:type="band1Horz">
      <w:tblPr/>
      <w:tcPr>
        <w:shd w:val="clear" w:color="auto" w:fill="FCE4D4" w:themeFill="accent5" w:themeFillTint="33"/>
      </w:tcPr>
    </w:tblStylePr>
  </w:style>
  <w:style w:type="table" w:styleId="ListTable4-Accent6">
    <w:name w:val="List Table 4 Accent 6"/>
    <w:basedOn w:val="TableNormal"/>
    <w:uiPriority w:val="49"/>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F392A0" w:themeColor="accent6" w:themeTint="99"/>
        <w:left w:val="single" w:sz="4" w:space="0" w:color="F392A0" w:themeColor="accent6" w:themeTint="99"/>
        <w:bottom w:val="single" w:sz="4" w:space="0" w:color="F392A0" w:themeColor="accent6" w:themeTint="99"/>
        <w:right w:val="single" w:sz="4" w:space="0" w:color="F392A0" w:themeColor="accent6" w:themeTint="99"/>
        <w:insideH w:val="single" w:sz="4" w:space="0" w:color="F392A0" w:themeColor="accent6" w:themeTint="99"/>
      </w:tblBorders>
    </w:tblPr>
    <w:tblStylePr w:type="firstRow">
      <w:rPr>
        <w:b/>
        <w:bCs/>
        <w:color w:val="FFFFFF" w:themeColor="background1"/>
      </w:rPr>
      <w:tblPr/>
      <w:tcPr>
        <w:tcBorders>
          <w:top w:val="single" w:sz="4" w:space="0" w:color="EC4B62" w:themeColor="accent6"/>
          <w:left w:val="single" w:sz="4" w:space="0" w:color="EC4B62" w:themeColor="accent6"/>
          <w:bottom w:val="single" w:sz="4" w:space="0" w:color="EC4B62" w:themeColor="accent6"/>
          <w:right w:val="single" w:sz="4" w:space="0" w:color="EC4B62" w:themeColor="accent6"/>
          <w:insideH w:val="nil"/>
        </w:tcBorders>
        <w:shd w:val="clear" w:color="auto" w:fill="EC4B62" w:themeFill="accent6"/>
      </w:tcPr>
    </w:tblStylePr>
    <w:tblStylePr w:type="lastRow">
      <w:rPr>
        <w:b/>
        <w:bCs/>
      </w:rPr>
      <w:tblPr/>
      <w:tcPr>
        <w:tcBorders>
          <w:top w:val="double" w:sz="4" w:space="0" w:color="F392A0" w:themeColor="accent6" w:themeTint="99"/>
        </w:tcBorders>
      </w:tcPr>
    </w:tblStylePr>
    <w:tblStylePr w:type="firstCol">
      <w:rPr>
        <w:b/>
        <w:bCs/>
      </w:rPr>
    </w:tblStylePr>
    <w:tblStylePr w:type="lastCol">
      <w:rPr>
        <w:b/>
        <w:bCs/>
      </w:rPr>
    </w:tblStylePr>
    <w:tblStylePr w:type="band1Vert">
      <w:tblPr/>
      <w:tcPr>
        <w:shd w:val="clear" w:color="auto" w:fill="FBDADF" w:themeFill="accent6" w:themeFillTint="33"/>
      </w:tcPr>
    </w:tblStylePr>
    <w:tblStylePr w:type="band1Horz">
      <w:tblPr/>
      <w:tcPr>
        <w:shd w:val="clear" w:color="auto" w:fill="FBDADF" w:themeFill="accent6" w:themeFillTint="33"/>
      </w:tcPr>
    </w:tblStylePr>
  </w:style>
  <w:style w:type="table" w:styleId="ListTable5Dark">
    <w:name w:val="List Table 5 Dark"/>
    <w:basedOn w:val="TableNormal"/>
    <w:uiPriority w:val="50"/>
    <w:rsid w:val="00E71FF2"/>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71FF2"/>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0097A7" w:themeColor="accent1"/>
        <w:left w:val="single" w:sz="24" w:space="0" w:color="0097A7" w:themeColor="accent1"/>
        <w:bottom w:val="single" w:sz="24" w:space="0" w:color="0097A7" w:themeColor="accent1"/>
        <w:right w:val="single" w:sz="24" w:space="0" w:color="0097A7" w:themeColor="accent1"/>
      </w:tblBorders>
    </w:tblPr>
    <w:tcPr>
      <w:shd w:val="clear" w:color="auto" w:fill="0097A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71FF2"/>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9EDADD" w:themeColor="accent2"/>
        <w:left w:val="single" w:sz="24" w:space="0" w:color="9EDADD" w:themeColor="accent2"/>
        <w:bottom w:val="single" w:sz="24" w:space="0" w:color="9EDADD" w:themeColor="accent2"/>
        <w:right w:val="single" w:sz="24" w:space="0" w:color="9EDADD" w:themeColor="accent2"/>
      </w:tblBorders>
    </w:tblPr>
    <w:tcPr>
      <w:shd w:val="clear" w:color="auto" w:fill="9EDAD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71FF2"/>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FDDD3A" w:themeColor="accent3"/>
        <w:left w:val="single" w:sz="24" w:space="0" w:color="FDDD3A" w:themeColor="accent3"/>
        <w:bottom w:val="single" w:sz="24" w:space="0" w:color="FDDD3A" w:themeColor="accent3"/>
        <w:right w:val="single" w:sz="24" w:space="0" w:color="FDDD3A" w:themeColor="accent3"/>
      </w:tblBorders>
    </w:tblPr>
    <w:tcPr>
      <w:shd w:val="clear" w:color="auto" w:fill="FDDD3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71FF2"/>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0F7883" w:themeColor="accent4"/>
        <w:left w:val="single" w:sz="24" w:space="0" w:color="0F7883" w:themeColor="accent4"/>
        <w:bottom w:val="single" w:sz="24" w:space="0" w:color="0F7883" w:themeColor="accent4"/>
        <w:right w:val="single" w:sz="24" w:space="0" w:color="0F7883" w:themeColor="accent4"/>
      </w:tblBorders>
    </w:tblPr>
    <w:tcPr>
      <w:shd w:val="clear" w:color="auto" w:fill="0F78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71FF2"/>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F47D2A" w:themeColor="accent5"/>
        <w:left w:val="single" w:sz="24" w:space="0" w:color="F47D2A" w:themeColor="accent5"/>
        <w:bottom w:val="single" w:sz="24" w:space="0" w:color="F47D2A" w:themeColor="accent5"/>
        <w:right w:val="single" w:sz="24" w:space="0" w:color="F47D2A" w:themeColor="accent5"/>
      </w:tblBorders>
    </w:tblPr>
    <w:tcPr>
      <w:shd w:val="clear" w:color="auto" w:fill="F47D2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71FF2"/>
    <w:pPr>
      <w:spacing w:after="0" w:line="240" w:lineRule="auto"/>
      <w:jc w:val="both"/>
    </w:pPr>
    <w:rPr>
      <w:rFonts w:ascii="Century Schoolbook" w:hAnsi="Century Schoolbook" w:cs="Verdana"/>
      <w:color w:val="FFFFFF" w:themeColor="background1"/>
      <w:sz w:val="20"/>
      <w:szCs w:val="20"/>
    </w:rPr>
    <w:tblPr>
      <w:tblStyleRowBandSize w:val="1"/>
      <w:tblStyleColBandSize w:val="1"/>
      <w:tblBorders>
        <w:top w:val="single" w:sz="24" w:space="0" w:color="EC4B62" w:themeColor="accent6"/>
        <w:left w:val="single" w:sz="24" w:space="0" w:color="EC4B62" w:themeColor="accent6"/>
        <w:bottom w:val="single" w:sz="24" w:space="0" w:color="EC4B62" w:themeColor="accent6"/>
        <w:right w:val="single" w:sz="24" w:space="0" w:color="EC4B62" w:themeColor="accent6"/>
      </w:tblBorders>
    </w:tblPr>
    <w:tcPr>
      <w:shd w:val="clear" w:color="auto" w:fill="EC4B6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71FF2"/>
    <w:pPr>
      <w:spacing w:after="0" w:line="240" w:lineRule="auto"/>
      <w:jc w:val="both"/>
    </w:pPr>
    <w:rPr>
      <w:rFonts w:ascii="Century Schoolbook" w:hAnsi="Century Schoolbook" w:cs="Verdana"/>
      <w:color w:val="00707D" w:themeColor="accent1" w:themeShade="BF"/>
      <w:sz w:val="20"/>
      <w:szCs w:val="20"/>
    </w:rPr>
    <w:tblPr>
      <w:tblStyleRowBandSize w:val="1"/>
      <w:tblStyleColBandSize w:val="1"/>
      <w:tblBorders>
        <w:top w:val="single" w:sz="4" w:space="0" w:color="0097A7" w:themeColor="accent1"/>
        <w:bottom w:val="single" w:sz="4" w:space="0" w:color="0097A7" w:themeColor="accent1"/>
      </w:tblBorders>
    </w:tblPr>
    <w:tblStylePr w:type="firstRow">
      <w:rPr>
        <w:b/>
        <w:bCs/>
      </w:rPr>
      <w:tblPr/>
      <w:tcPr>
        <w:tcBorders>
          <w:bottom w:val="single" w:sz="4" w:space="0" w:color="0097A7" w:themeColor="accent1"/>
        </w:tcBorders>
      </w:tcPr>
    </w:tblStylePr>
    <w:tblStylePr w:type="lastRow">
      <w:rPr>
        <w:b/>
        <w:bCs/>
      </w:rPr>
      <w:tblPr/>
      <w:tcPr>
        <w:tcBorders>
          <w:top w:val="double" w:sz="4" w:space="0" w:color="0097A7" w:themeColor="accent1"/>
        </w:tcBorders>
      </w:tcPr>
    </w:tblStylePr>
    <w:tblStylePr w:type="firstCol">
      <w:rPr>
        <w:b/>
        <w:bCs/>
      </w:rPr>
    </w:tblStylePr>
    <w:tblStylePr w:type="lastCol">
      <w:rPr>
        <w:b/>
        <w:bCs/>
      </w:rPr>
    </w:tblStylePr>
    <w:tblStylePr w:type="band1Vert">
      <w:tblPr/>
      <w:tcPr>
        <w:shd w:val="clear" w:color="auto" w:fill="BAF8FF" w:themeFill="accent1" w:themeFillTint="33"/>
      </w:tcPr>
    </w:tblStylePr>
    <w:tblStylePr w:type="band1Horz">
      <w:tblPr/>
      <w:tcPr>
        <w:shd w:val="clear" w:color="auto" w:fill="BAF8FF" w:themeFill="accent1" w:themeFillTint="33"/>
      </w:tcPr>
    </w:tblStylePr>
  </w:style>
  <w:style w:type="table" w:styleId="ListTable6Colorful-Accent2">
    <w:name w:val="List Table 6 Colorful Accent 2"/>
    <w:basedOn w:val="TableNormal"/>
    <w:uiPriority w:val="51"/>
    <w:rsid w:val="00E71FF2"/>
    <w:pPr>
      <w:spacing w:after="0" w:line="240" w:lineRule="auto"/>
      <w:jc w:val="both"/>
    </w:pPr>
    <w:rPr>
      <w:rFonts w:ascii="Century Schoolbook" w:hAnsi="Century Schoolbook" w:cs="Verdana"/>
      <w:color w:val="57BEC4" w:themeColor="accent2" w:themeShade="BF"/>
      <w:sz w:val="20"/>
      <w:szCs w:val="20"/>
    </w:rPr>
    <w:tblPr>
      <w:tblStyleRowBandSize w:val="1"/>
      <w:tblStyleColBandSize w:val="1"/>
      <w:tblBorders>
        <w:top w:val="single" w:sz="4" w:space="0" w:color="9EDADD" w:themeColor="accent2"/>
        <w:bottom w:val="single" w:sz="4" w:space="0" w:color="9EDADD" w:themeColor="accent2"/>
      </w:tblBorders>
    </w:tblPr>
    <w:tblStylePr w:type="firstRow">
      <w:rPr>
        <w:b/>
        <w:bCs/>
      </w:rPr>
      <w:tblPr/>
      <w:tcPr>
        <w:tcBorders>
          <w:bottom w:val="single" w:sz="4" w:space="0" w:color="9EDADD" w:themeColor="accent2"/>
        </w:tcBorders>
      </w:tcPr>
    </w:tblStylePr>
    <w:tblStylePr w:type="lastRow">
      <w:rPr>
        <w:b/>
        <w:bCs/>
      </w:rPr>
      <w:tblPr/>
      <w:tcPr>
        <w:tcBorders>
          <w:top w:val="double" w:sz="4" w:space="0" w:color="9EDADD" w:themeColor="accent2"/>
        </w:tcBorders>
      </w:tcPr>
    </w:tblStylePr>
    <w:tblStylePr w:type="firstCol">
      <w:rPr>
        <w:b/>
        <w:bCs/>
      </w:rPr>
    </w:tblStylePr>
    <w:tblStylePr w:type="lastCol">
      <w:rPr>
        <w:b/>
        <w:bCs/>
      </w:rPr>
    </w:tblStylePr>
    <w:tblStylePr w:type="band1Vert">
      <w:tblPr/>
      <w:tcPr>
        <w:shd w:val="clear" w:color="auto" w:fill="EBF7F8" w:themeFill="accent2" w:themeFillTint="33"/>
      </w:tcPr>
    </w:tblStylePr>
    <w:tblStylePr w:type="band1Horz">
      <w:tblPr/>
      <w:tcPr>
        <w:shd w:val="clear" w:color="auto" w:fill="EBF7F8" w:themeFill="accent2" w:themeFillTint="33"/>
      </w:tcPr>
    </w:tblStylePr>
  </w:style>
  <w:style w:type="table" w:styleId="ListTable6Colorful-Accent3">
    <w:name w:val="List Table 6 Colorful Accent 3"/>
    <w:basedOn w:val="TableNormal"/>
    <w:uiPriority w:val="51"/>
    <w:rsid w:val="00E71FF2"/>
    <w:pPr>
      <w:spacing w:after="0" w:line="240" w:lineRule="auto"/>
      <w:jc w:val="both"/>
    </w:pPr>
    <w:rPr>
      <w:rFonts w:ascii="Century Schoolbook" w:hAnsi="Century Schoolbook" w:cs="Verdana"/>
      <w:color w:val="E6C002" w:themeColor="accent3" w:themeShade="BF"/>
      <w:sz w:val="20"/>
      <w:szCs w:val="20"/>
    </w:rPr>
    <w:tblPr>
      <w:tblStyleRowBandSize w:val="1"/>
      <w:tblStyleColBandSize w:val="1"/>
      <w:tblBorders>
        <w:top w:val="single" w:sz="4" w:space="0" w:color="FDDD3A" w:themeColor="accent3"/>
        <w:bottom w:val="single" w:sz="4" w:space="0" w:color="FDDD3A" w:themeColor="accent3"/>
      </w:tblBorders>
    </w:tblPr>
    <w:tblStylePr w:type="firstRow">
      <w:rPr>
        <w:b/>
        <w:bCs/>
      </w:rPr>
      <w:tblPr/>
      <w:tcPr>
        <w:tcBorders>
          <w:bottom w:val="single" w:sz="4" w:space="0" w:color="FDDD3A" w:themeColor="accent3"/>
        </w:tcBorders>
      </w:tcPr>
    </w:tblStylePr>
    <w:tblStylePr w:type="lastRow">
      <w:rPr>
        <w:b/>
        <w:bCs/>
      </w:rPr>
      <w:tblPr/>
      <w:tcPr>
        <w:tcBorders>
          <w:top w:val="double" w:sz="4" w:space="0" w:color="FDDD3A" w:themeColor="accent3"/>
        </w:tcBorders>
      </w:tcPr>
    </w:tblStylePr>
    <w:tblStylePr w:type="firstCol">
      <w:rPr>
        <w:b/>
        <w:bCs/>
      </w:rPr>
    </w:tblStylePr>
    <w:tblStylePr w:type="lastCol">
      <w:rPr>
        <w:b/>
        <w:bCs/>
      </w:rPr>
    </w:tblStylePr>
    <w:tblStylePr w:type="band1Vert">
      <w:tblPr/>
      <w:tcPr>
        <w:shd w:val="clear" w:color="auto" w:fill="FEF8D7" w:themeFill="accent3" w:themeFillTint="33"/>
      </w:tcPr>
    </w:tblStylePr>
    <w:tblStylePr w:type="band1Horz">
      <w:tblPr/>
      <w:tcPr>
        <w:shd w:val="clear" w:color="auto" w:fill="FEF8D7" w:themeFill="accent3" w:themeFillTint="33"/>
      </w:tcPr>
    </w:tblStylePr>
  </w:style>
  <w:style w:type="table" w:styleId="ListTable6Colorful-Accent4">
    <w:name w:val="List Table 6 Colorful Accent 4"/>
    <w:basedOn w:val="TableNormal"/>
    <w:uiPriority w:val="51"/>
    <w:rsid w:val="00E71FF2"/>
    <w:pPr>
      <w:spacing w:after="0" w:line="240" w:lineRule="auto"/>
      <w:jc w:val="both"/>
    </w:pPr>
    <w:rPr>
      <w:rFonts w:ascii="Century Schoolbook" w:hAnsi="Century Schoolbook" w:cs="Verdana"/>
      <w:color w:val="0B5962" w:themeColor="accent4" w:themeShade="BF"/>
      <w:sz w:val="20"/>
      <w:szCs w:val="20"/>
    </w:rPr>
    <w:tblPr>
      <w:tblStyleRowBandSize w:val="1"/>
      <w:tblStyleColBandSize w:val="1"/>
      <w:tblBorders>
        <w:top w:val="single" w:sz="4" w:space="0" w:color="0F7883" w:themeColor="accent4"/>
        <w:bottom w:val="single" w:sz="4" w:space="0" w:color="0F7883" w:themeColor="accent4"/>
      </w:tblBorders>
    </w:tblPr>
    <w:tblStylePr w:type="firstRow">
      <w:rPr>
        <w:b/>
        <w:bCs/>
      </w:rPr>
      <w:tblPr/>
      <w:tcPr>
        <w:tcBorders>
          <w:bottom w:val="single" w:sz="4" w:space="0" w:color="0F7883" w:themeColor="accent4"/>
        </w:tcBorders>
      </w:tcPr>
    </w:tblStylePr>
    <w:tblStylePr w:type="lastRow">
      <w:rPr>
        <w:b/>
        <w:bCs/>
      </w:rPr>
      <w:tblPr/>
      <w:tcPr>
        <w:tcBorders>
          <w:top w:val="double" w:sz="4" w:space="0" w:color="0F7883" w:themeColor="accent4"/>
        </w:tcBorders>
      </w:tcPr>
    </w:tblStylePr>
    <w:tblStylePr w:type="firstCol">
      <w:rPr>
        <w:b/>
        <w:bCs/>
      </w:rPr>
    </w:tblStylePr>
    <w:tblStylePr w:type="lastCol">
      <w:rPr>
        <w:b/>
        <w:bCs/>
      </w:rPr>
    </w:tblStylePr>
    <w:tblStylePr w:type="band1Vert">
      <w:tblPr/>
      <w:tcPr>
        <w:shd w:val="clear" w:color="auto" w:fill="BDF1F7" w:themeFill="accent4" w:themeFillTint="33"/>
      </w:tcPr>
    </w:tblStylePr>
    <w:tblStylePr w:type="band1Horz">
      <w:tblPr/>
      <w:tcPr>
        <w:shd w:val="clear" w:color="auto" w:fill="BDF1F7" w:themeFill="accent4" w:themeFillTint="33"/>
      </w:tcPr>
    </w:tblStylePr>
  </w:style>
  <w:style w:type="table" w:styleId="ListTable6Colorful-Accent5">
    <w:name w:val="List Table 6 Colorful Accent 5"/>
    <w:basedOn w:val="TableNormal"/>
    <w:uiPriority w:val="51"/>
    <w:rsid w:val="00E71FF2"/>
    <w:pPr>
      <w:spacing w:after="0" w:line="240" w:lineRule="auto"/>
      <w:jc w:val="both"/>
    </w:pPr>
    <w:rPr>
      <w:rFonts w:ascii="Century Schoolbook" w:hAnsi="Century Schoolbook" w:cs="Verdana"/>
      <w:color w:val="CB590A" w:themeColor="accent5" w:themeShade="BF"/>
      <w:sz w:val="20"/>
      <w:szCs w:val="20"/>
    </w:rPr>
    <w:tblPr>
      <w:tblStyleRowBandSize w:val="1"/>
      <w:tblStyleColBandSize w:val="1"/>
      <w:tblBorders>
        <w:top w:val="single" w:sz="4" w:space="0" w:color="F47D2A" w:themeColor="accent5"/>
        <w:bottom w:val="single" w:sz="4" w:space="0" w:color="F47D2A" w:themeColor="accent5"/>
      </w:tblBorders>
    </w:tblPr>
    <w:tblStylePr w:type="firstRow">
      <w:rPr>
        <w:b/>
        <w:bCs/>
      </w:rPr>
      <w:tblPr/>
      <w:tcPr>
        <w:tcBorders>
          <w:bottom w:val="single" w:sz="4" w:space="0" w:color="F47D2A" w:themeColor="accent5"/>
        </w:tcBorders>
      </w:tcPr>
    </w:tblStylePr>
    <w:tblStylePr w:type="lastRow">
      <w:rPr>
        <w:b/>
        <w:bCs/>
      </w:rPr>
      <w:tblPr/>
      <w:tcPr>
        <w:tcBorders>
          <w:top w:val="double" w:sz="4" w:space="0" w:color="F47D2A" w:themeColor="accent5"/>
        </w:tcBorders>
      </w:tcPr>
    </w:tblStylePr>
    <w:tblStylePr w:type="firstCol">
      <w:rPr>
        <w:b/>
        <w:bCs/>
      </w:rPr>
    </w:tblStylePr>
    <w:tblStylePr w:type="lastCol">
      <w:rPr>
        <w:b/>
        <w:bCs/>
      </w:rPr>
    </w:tblStylePr>
    <w:tblStylePr w:type="band1Vert">
      <w:tblPr/>
      <w:tcPr>
        <w:shd w:val="clear" w:color="auto" w:fill="FCE4D4" w:themeFill="accent5" w:themeFillTint="33"/>
      </w:tcPr>
    </w:tblStylePr>
    <w:tblStylePr w:type="band1Horz">
      <w:tblPr/>
      <w:tcPr>
        <w:shd w:val="clear" w:color="auto" w:fill="FCE4D4" w:themeFill="accent5" w:themeFillTint="33"/>
      </w:tcPr>
    </w:tblStylePr>
  </w:style>
  <w:style w:type="table" w:styleId="ListTable6Colorful-Accent6">
    <w:name w:val="List Table 6 Colorful Accent 6"/>
    <w:basedOn w:val="TableNormal"/>
    <w:uiPriority w:val="51"/>
    <w:rsid w:val="00E71FF2"/>
    <w:pPr>
      <w:spacing w:after="0" w:line="240" w:lineRule="auto"/>
      <w:jc w:val="both"/>
    </w:pPr>
    <w:rPr>
      <w:rFonts w:ascii="Century Schoolbook" w:hAnsi="Century Schoolbook" w:cs="Verdana"/>
      <w:color w:val="D21630" w:themeColor="accent6" w:themeShade="BF"/>
      <w:sz w:val="20"/>
      <w:szCs w:val="20"/>
    </w:rPr>
    <w:tblPr>
      <w:tblStyleRowBandSize w:val="1"/>
      <w:tblStyleColBandSize w:val="1"/>
      <w:tblBorders>
        <w:top w:val="single" w:sz="4" w:space="0" w:color="EC4B62" w:themeColor="accent6"/>
        <w:bottom w:val="single" w:sz="4" w:space="0" w:color="EC4B62" w:themeColor="accent6"/>
      </w:tblBorders>
    </w:tblPr>
    <w:tblStylePr w:type="firstRow">
      <w:rPr>
        <w:b/>
        <w:bCs/>
      </w:rPr>
      <w:tblPr/>
      <w:tcPr>
        <w:tcBorders>
          <w:bottom w:val="single" w:sz="4" w:space="0" w:color="EC4B62" w:themeColor="accent6"/>
        </w:tcBorders>
      </w:tcPr>
    </w:tblStylePr>
    <w:tblStylePr w:type="lastRow">
      <w:rPr>
        <w:b/>
        <w:bCs/>
      </w:rPr>
      <w:tblPr/>
      <w:tcPr>
        <w:tcBorders>
          <w:top w:val="double" w:sz="4" w:space="0" w:color="EC4B62" w:themeColor="accent6"/>
        </w:tcBorders>
      </w:tcPr>
    </w:tblStylePr>
    <w:tblStylePr w:type="firstCol">
      <w:rPr>
        <w:b/>
        <w:bCs/>
      </w:rPr>
    </w:tblStylePr>
    <w:tblStylePr w:type="lastCol">
      <w:rPr>
        <w:b/>
        <w:bCs/>
      </w:rPr>
    </w:tblStylePr>
    <w:tblStylePr w:type="band1Vert">
      <w:tblPr/>
      <w:tcPr>
        <w:shd w:val="clear" w:color="auto" w:fill="FBDADF" w:themeFill="accent6" w:themeFillTint="33"/>
      </w:tcPr>
    </w:tblStylePr>
    <w:tblStylePr w:type="band1Horz">
      <w:tblPr/>
      <w:tcPr>
        <w:shd w:val="clear" w:color="auto" w:fill="FBDADF" w:themeFill="accent6" w:themeFillTint="33"/>
      </w:tcPr>
    </w:tblStylePr>
  </w:style>
  <w:style w:type="table" w:styleId="ListTable7Colorful">
    <w:name w:val="List Table 7 Colorful"/>
    <w:basedOn w:val="TableNormal"/>
    <w:uiPriority w:val="52"/>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71FF2"/>
    <w:pPr>
      <w:spacing w:after="0" w:line="240" w:lineRule="auto"/>
      <w:jc w:val="both"/>
    </w:pPr>
    <w:rPr>
      <w:rFonts w:ascii="Century Schoolbook" w:hAnsi="Century Schoolbook" w:cs="Verdana"/>
      <w:color w:val="00707D"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7A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7A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7A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7A7" w:themeColor="accent1"/>
        </w:tcBorders>
        <w:shd w:val="clear" w:color="auto" w:fill="FFFFFF" w:themeFill="background1"/>
      </w:tcPr>
    </w:tblStylePr>
    <w:tblStylePr w:type="band1Vert">
      <w:tblPr/>
      <w:tcPr>
        <w:shd w:val="clear" w:color="auto" w:fill="BAF8FF" w:themeFill="accent1" w:themeFillTint="33"/>
      </w:tcPr>
    </w:tblStylePr>
    <w:tblStylePr w:type="band1Horz">
      <w:tblPr/>
      <w:tcPr>
        <w:shd w:val="clear" w:color="auto" w:fill="BAF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71FF2"/>
    <w:pPr>
      <w:spacing w:after="0" w:line="240" w:lineRule="auto"/>
      <w:jc w:val="both"/>
    </w:pPr>
    <w:rPr>
      <w:rFonts w:ascii="Century Schoolbook" w:hAnsi="Century Schoolbook" w:cs="Verdana"/>
      <w:color w:val="57BEC4"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DAD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DAD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DAD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DADD" w:themeColor="accent2"/>
        </w:tcBorders>
        <w:shd w:val="clear" w:color="auto" w:fill="FFFFFF" w:themeFill="background1"/>
      </w:tcPr>
    </w:tblStylePr>
    <w:tblStylePr w:type="band1Vert">
      <w:tblPr/>
      <w:tcPr>
        <w:shd w:val="clear" w:color="auto" w:fill="EBF7F8" w:themeFill="accent2" w:themeFillTint="33"/>
      </w:tcPr>
    </w:tblStylePr>
    <w:tblStylePr w:type="band1Horz">
      <w:tblPr/>
      <w:tcPr>
        <w:shd w:val="clear" w:color="auto" w:fill="EB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71FF2"/>
    <w:pPr>
      <w:spacing w:after="0" w:line="240" w:lineRule="auto"/>
      <w:jc w:val="both"/>
    </w:pPr>
    <w:rPr>
      <w:rFonts w:ascii="Century Schoolbook" w:hAnsi="Century Schoolbook" w:cs="Verdana"/>
      <w:color w:val="E6C002"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D3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D3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D3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D3A" w:themeColor="accent3"/>
        </w:tcBorders>
        <w:shd w:val="clear" w:color="auto" w:fill="FFFFFF" w:themeFill="background1"/>
      </w:tcPr>
    </w:tblStylePr>
    <w:tblStylePr w:type="band1Vert">
      <w:tblPr/>
      <w:tcPr>
        <w:shd w:val="clear" w:color="auto" w:fill="FEF8D7" w:themeFill="accent3" w:themeFillTint="33"/>
      </w:tcPr>
    </w:tblStylePr>
    <w:tblStylePr w:type="band1Horz">
      <w:tblPr/>
      <w:tcPr>
        <w:shd w:val="clear" w:color="auto" w:fill="FEF8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71FF2"/>
    <w:pPr>
      <w:spacing w:after="0" w:line="240" w:lineRule="auto"/>
      <w:jc w:val="both"/>
    </w:pPr>
    <w:rPr>
      <w:rFonts w:ascii="Century Schoolbook" w:hAnsi="Century Schoolbook" w:cs="Verdana"/>
      <w:color w:val="0B5962"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78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78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78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7883" w:themeColor="accent4"/>
        </w:tcBorders>
        <w:shd w:val="clear" w:color="auto" w:fill="FFFFFF" w:themeFill="background1"/>
      </w:tcPr>
    </w:tblStylePr>
    <w:tblStylePr w:type="band1Vert">
      <w:tblPr/>
      <w:tcPr>
        <w:shd w:val="clear" w:color="auto" w:fill="BDF1F7" w:themeFill="accent4" w:themeFillTint="33"/>
      </w:tcPr>
    </w:tblStylePr>
    <w:tblStylePr w:type="band1Horz">
      <w:tblPr/>
      <w:tcPr>
        <w:shd w:val="clear" w:color="auto" w:fill="BDF1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71FF2"/>
    <w:pPr>
      <w:spacing w:after="0" w:line="240" w:lineRule="auto"/>
      <w:jc w:val="both"/>
    </w:pPr>
    <w:rPr>
      <w:rFonts w:ascii="Century Schoolbook" w:hAnsi="Century Schoolbook" w:cs="Verdana"/>
      <w:color w:val="CB590A"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7D2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7D2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7D2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7D2A" w:themeColor="accent5"/>
        </w:tcBorders>
        <w:shd w:val="clear" w:color="auto" w:fill="FFFFFF" w:themeFill="background1"/>
      </w:tcPr>
    </w:tblStylePr>
    <w:tblStylePr w:type="band1Vert">
      <w:tblPr/>
      <w:tcPr>
        <w:shd w:val="clear" w:color="auto" w:fill="FCE4D4" w:themeFill="accent5" w:themeFillTint="33"/>
      </w:tcPr>
    </w:tblStylePr>
    <w:tblStylePr w:type="band1Horz">
      <w:tblPr/>
      <w:tcPr>
        <w:shd w:val="clear" w:color="auto" w:fill="FCE4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71FF2"/>
    <w:pPr>
      <w:spacing w:after="0" w:line="240" w:lineRule="auto"/>
      <w:jc w:val="both"/>
    </w:pPr>
    <w:rPr>
      <w:rFonts w:ascii="Century Schoolbook" w:hAnsi="Century Schoolbook" w:cs="Verdana"/>
      <w:color w:val="D21630"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4B6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4B6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4B6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4B62" w:themeColor="accent6"/>
        </w:tcBorders>
        <w:shd w:val="clear" w:color="auto" w:fill="FFFFFF" w:themeFill="background1"/>
      </w:tcPr>
    </w:tblStylePr>
    <w:tblStylePr w:type="band1Vert">
      <w:tblPr/>
      <w:tcPr>
        <w:shd w:val="clear" w:color="auto" w:fill="FBDADF" w:themeFill="accent6" w:themeFillTint="33"/>
      </w:tcPr>
    </w:tblStylePr>
    <w:tblStylePr w:type="band1Horz">
      <w:tblPr/>
      <w:tcPr>
        <w:shd w:val="clear" w:color="auto" w:fill="FBDA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E71FF2"/>
    <w:pPr>
      <w:tabs>
        <w:tab w:val="left" w:pos="480"/>
        <w:tab w:val="left" w:pos="960"/>
        <w:tab w:val="left" w:pos="1440"/>
        <w:tab w:val="left" w:pos="1920"/>
        <w:tab w:val="left" w:pos="2400"/>
        <w:tab w:val="left" w:pos="2880"/>
        <w:tab w:val="left" w:pos="3360"/>
        <w:tab w:val="left" w:pos="3840"/>
        <w:tab w:val="left" w:pos="4320"/>
      </w:tabs>
      <w:spacing w:after="0" w:line="312" w:lineRule="auto"/>
      <w:jc w:val="both"/>
    </w:pPr>
    <w:rPr>
      <w:rFonts w:ascii="Consolas" w:hAnsi="Consolas" w:cs="Verdana"/>
      <w:sz w:val="20"/>
      <w:szCs w:val="20"/>
    </w:rPr>
  </w:style>
  <w:style w:type="character" w:customStyle="1" w:styleId="MacroTextChar">
    <w:name w:val="Macro Text Char"/>
    <w:basedOn w:val="DefaultParagraphFont"/>
    <w:link w:val="MacroText"/>
    <w:uiPriority w:val="99"/>
    <w:semiHidden/>
    <w:rsid w:val="00E71FF2"/>
    <w:rPr>
      <w:rFonts w:ascii="Consolas" w:hAnsi="Consolas" w:cs="Verdana"/>
      <w:sz w:val="20"/>
      <w:szCs w:val="20"/>
    </w:rPr>
  </w:style>
  <w:style w:type="table" w:styleId="MediumGrid1">
    <w:name w:val="Medium Grid 1"/>
    <w:basedOn w:val="TableNormal"/>
    <w:uiPriority w:val="67"/>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00E4FD" w:themeColor="accent1" w:themeTint="BF"/>
        <w:left w:val="single" w:sz="8" w:space="0" w:color="00E4FD" w:themeColor="accent1" w:themeTint="BF"/>
        <w:bottom w:val="single" w:sz="8" w:space="0" w:color="00E4FD" w:themeColor="accent1" w:themeTint="BF"/>
        <w:right w:val="single" w:sz="8" w:space="0" w:color="00E4FD" w:themeColor="accent1" w:themeTint="BF"/>
        <w:insideH w:val="single" w:sz="8" w:space="0" w:color="00E4FD" w:themeColor="accent1" w:themeTint="BF"/>
        <w:insideV w:val="single" w:sz="8" w:space="0" w:color="00E4FD" w:themeColor="accent1" w:themeTint="BF"/>
      </w:tblBorders>
    </w:tblPr>
    <w:tcPr>
      <w:shd w:val="clear" w:color="auto" w:fill="AAF6FF" w:themeFill="accent1" w:themeFillTint="3F"/>
    </w:tcPr>
    <w:tblStylePr w:type="firstRow">
      <w:rPr>
        <w:b/>
        <w:bCs/>
      </w:rPr>
    </w:tblStylePr>
    <w:tblStylePr w:type="lastRow">
      <w:rPr>
        <w:b/>
        <w:bCs/>
      </w:rPr>
      <w:tblPr/>
      <w:tcPr>
        <w:tcBorders>
          <w:top w:val="single" w:sz="18" w:space="0" w:color="00E4FD" w:themeColor="accent1" w:themeTint="BF"/>
        </w:tcBorders>
      </w:tcPr>
    </w:tblStylePr>
    <w:tblStylePr w:type="firstCol">
      <w:rPr>
        <w:b/>
        <w:bCs/>
      </w:rPr>
    </w:tblStylePr>
    <w:tblStylePr w:type="lastCol">
      <w:rPr>
        <w:b/>
        <w:bCs/>
      </w:rPr>
    </w:tblStylePr>
    <w:tblStylePr w:type="band1Vert">
      <w:tblPr/>
      <w:tcPr>
        <w:shd w:val="clear" w:color="auto" w:fill="54EEFF" w:themeFill="accent1" w:themeFillTint="7F"/>
      </w:tcPr>
    </w:tblStylePr>
    <w:tblStylePr w:type="band1Horz">
      <w:tblPr/>
      <w:tcPr>
        <w:shd w:val="clear" w:color="auto" w:fill="54EEFF" w:themeFill="accent1" w:themeFillTint="7F"/>
      </w:tcPr>
    </w:tblStylePr>
  </w:style>
  <w:style w:type="table" w:styleId="MediumGrid1-Accent2">
    <w:name w:val="Medium Grid 1 Accent 2"/>
    <w:basedOn w:val="TableNormal"/>
    <w:uiPriority w:val="67"/>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B6E3E5" w:themeColor="accent2" w:themeTint="BF"/>
        <w:left w:val="single" w:sz="8" w:space="0" w:color="B6E3E5" w:themeColor="accent2" w:themeTint="BF"/>
        <w:bottom w:val="single" w:sz="8" w:space="0" w:color="B6E3E5" w:themeColor="accent2" w:themeTint="BF"/>
        <w:right w:val="single" w:sz="8" w:space="0" w:color="B6E3E5" w:themeColor="accent2" w:themeTint="BF"/>
        <w:insideH w:val="single" w:sz="8" w:space="0" w:color="B6E3E5" w:themeColor="accent2" w:themeTint="BF"/>
        <w:insideV w:val="single" w:sz="8" w:space="0" w:color="B6E3E5" w:themeColor="accent2" w:themeTint="BF"/>
      </w:tblBorders>
    </w:tblPr>
    <w:tcPr>
      <w:shd w:val="clear" w:color="auto" w:fill="E6F5F6" w:themeFill="accent2" w:themeFillTint="3F"/>
    </w:tcPr>
    <w:tblStylePr w:type="firstRow">
      <w:rPr>
        <w:b/>
        <w:bCs/>
      </w:rPr>
    </w:tblStylePr>
    <w:tblStylePr w:type="lastRow">
      <w:rPr>
        <w:b/>
        <w:bCs/>
      </w:rPr>
      <w:tblPr/>
      <w:tcPr>
        <w:tcBorders>
          <w:top w:val="single" w:sz="18" w:space="0" w:color="B6E3E5" w:themeColor="accent2" w:themeTint="BF"/>
        </w:tcBorders>
      </w:tcPr>
    </w:tblStylePr>
    <w:tblStylePr w:type="firstCol">
      <w:rPr>
        <w:b/>
        <w:bCs/>
      </w:rPr>
    </w:tblStylePr>
    <w:tblStylePr w:type="lastCol">
      <w:rPr>
        <w:b/>
        <w:bCs/>
      </w:rPr>
    </w:tblStylePr>
    <w:tblStylePr w:type="band1Vert">
      <w:tblPr/>
      <w:tcPr>
        <w:shd w:val="clear" w:color="auto" w:fill="CEECEE" w:themeFill="accent2" w:themeFillTint="7F"/>
      </w:tcPr>
    </w:tblStylePr>
    <w:tblStylePr w:type="band1Horz">
      <w:tblPr/>
      <w:tcPr>
        <w:shd w:val="clear" w:color="auto" w:fill="CEECEE" w:themeFill="accent2" w:themeFillTint="7F"/>
      </w:tcPr>
    </w:tblStylePr>
  </w:style>
  <w:style w:type="table" w:styleId="MediumGrid1-Accent3">
    <w:name w:val="Medium Grid 1 Accent 3"/>
    <w:basedOn w:val="TableNormal"/>
    <w:uiPriority w:val="67"/>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DE56B" w:themeColor="accent3" w:themeTint="BF"/>
        <w:left w:val="single" w:sz="8" w:space="0" w:color="FDE56B" w:themeColor="accent3" w:themeTint="BF"/>
        <w:bottom w:val="single" w:sz="8" w:space="0" w:color="FDE56B" w:themeColor="accent3" w:themeTint="BF"/>
        <w:right w:val="single" w:sz="8" w:space="0" w:color="FDE56B" w:themeColor="accent3" w:themeTint="BF"/>
        <w:insideH w:val="single" w:sz="8" w:space="0" w:color="FDE56B" w:themeColor="accent3" w:themeTint="BF"/>
        <w:insideV w:val="single" w:sz="8" w:space="0" w:color="FDE56B" w:themeColor="accent3" w:themeTint="BF"/>
      </w:tblBorders>
    </w:tblPr>
    <w:tcPr>
      <w:shd w:val="clear" w:color="auto" w:fill="FEF6CE" w:themeFill="accent3" w:themeFillTint="3F"/>
    </w:tcPr>
    <w:tblStylePr w:type="firstRow">
      <w:rPr>
        <w:b/>
        <w:bCs/>
      </w:rPr>
    </w:tblStylePr>
    <w:tblStylePr w:type="lastRow">
      <w:rPr>
        <w:b/>
        <w:bCs/>
      </w:rPr>
      <w:tblPr/>
      <w:tcPr>
        <w:tcBorders>
          <w:top w:val="single" w:sz="18" w:space="0" w:color="FDE56B" w:themeColor="accent3" w:themeTint="BF"/>
        </w:tcBorders>
      </w:tcPr>
    </w:tblStylePr>
    <w:tblStylePr w:type="firstCol">
      <w:rPr>
        <w:b/>
        <w:bCs/>
      </w:rPr>
    </w:tblStylePr>
    <w:tblStylePr w:type="lastCol">
      <w:rPr>
        <w:b/>
        <w:bCs/>
      </w:rPr>
    </w:tblStylePr>
    <w:tblStylePr w:type="band1Vert">
      <w:tblPr/>
      <w:tcPr>
        <w:shd w:val="clear" w:color="auto" w:fill="FEED9C" w:themeFill="accent3" w:themeFillTint="7F"/>
      </w:tcPr>
    </w:tblStylePr>
    <w:tblStylePr w:type="band1Horz">
      <w:tblPr/>
      <w:tcPr>
        <w:shd w:val="clear" w:color="auto" w:fill="FEED9C" w:themeFill="accent3" w:themeFillTint="7F"/>
      </w:tcPr>
    </w:tblStylePr>
  </w:style>
  <w:style w:type="table" w:styleId="MediumGrid1-Accent4">
    <w:name w:val="Medium Grid 1 Accent 4"/>
    <w:basedOn w:val="TableNormal"/>
    <w:uiPriority w:val="67"/>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18C2D4" w:themeColor="accent4" w:themeTint="BF"/>
        <w:left w:val="single" w:sz="8" w:space="0" w:color="18C2D4" w:themeColor="accent4" w:themeTint="BF"/>
        <w:bottom w:val="single" w:sz="8" w:space="0" w:color="18C2D4" w:themeColor="accent4" w:themeTint="BF"/>
        <w:right w:val="single" w:sz="8" w:space="0" w:color="18C2D4" w:themeColor="accent4" w:themeTint="BF"/>
        <w:insideH w:val="single" w:sz="8" w:space="0" w:color="18C2D4" w:themeColor="accent4" w:themeTint="BF"/>
        <w:insideV w:val="single" w:sz="8" w:space="0" w:color="18C2D4" w:themeColor="accent4" w:themeTint="BF"/>
      </w:tblBorders>
    </w:tblPr>
    <w:tcPr>
      <w:shd w:val="clear" w:color="auto" w:fill="AEEEF5" w:themeFill="accent4" w:themeFillTint="3F"/>
    </w:tcPr>
    <w:tblStylePr w:type="firstRow">
      <w:rPr>
        <w:b/>
        <w:bCs/>
      </w:rPr>
    </w:tblStylePr>
    <w:tblStylePr w:type="lastRow">
      <w:rPr>
        <w:b/>
        <w:bCs/>
      </w:rPr>
      <w:tblPr/>
      <w:tcPr>
        <w:tcBorders>
          <w:top w:val="single" w:sz="18" w:space="0" w:color="18C2D4" w:themeColor="accent4" w:themeTint="BF"/>
        </w:tcBorders>
      </w:tcPr>
    </w:tblStylePr>
    <w:tblStylePr w:type="firstCol">
      <w:rPr>
        <w:b/>
        <w:bCs/>
      </w:rPr>
    </w:tblStylePr>
    <w:tblStylePr w:type="lastCol">
      <w:rPr>
        <w:b/>
        <w:bCs/>
      </w:rPr>
    </w:tblStylePr>
    <w:tblStylePr w:type="band1Vert">
      <w:tblPr/>
      <w:tcPr>
        <w:shd w:val="clear" w:color="auto" w:fill="5CDEEC" w:themeFill="accent4" w:themeFillTint="7F"/>
      </w:tcPr>
    </w:tblStylePr>
    <w:tblStylePr w:type="band1Horz">
      <w:tblPr/>
      <w:tcPr>
        <w:shd w:val="clear" w:color="auto" w:fill="5CDEEC" w:themeFill="accent4" w:themeFillTint="7F"/>
      </w:tcPr>
    </w:tblStylePr>
  </w:style>
  <w:style w:type="table" w:styleId="MediumGrid1-Accent5">
    <w:name w:val="Medium Grid 1 Accent 5"/>
    <w:basedOn w:val="TableNormal"/>
    <w:uiPriority w:val="67"/>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69D5F" w:themeColor="accent5" w:themeTint="BF"/>
        <w:left w:val="single" w:sz="8" w:space="0" w:color="F69D5F" w:themeColor="accent5" w:themeTint="BF"/>
        <w:bottom w:val="single" w:sz="8" w:space="0" w:color="F69D5F" w:themeColor="accent5" w:themeTint="BF"/>
        <w:right w:val="single" w:sz="8" w:space="0" w:color="F69D5F" w:themeColor="accent5" w:themeTint="BF"/>
        <w:insideH w:val="single" w:sz="8" w:space="0" w:color="F69D5F" w:themeColor="accent5" w:themeTint="BF"/>
        <w:insideV w:val="single" w:sz="8" w:space="0" w:color="F69D5F" w:themeColor="accent5" w:themeTint="BF"/>
      </w:tblBorders>
    </w:tblPr>
    <w:tcPr>
      <w:shd w:val="clear" w:color="auto" w:fill="FCDECA" w:themeFill="accent5" w:themeFillTint="3F"/>
    </w:tcPr>
    <w:tblStylePr w:type="firstRow">
      <w:rPr>
        <w:b/>
        <w:bCs/>
      </w:rPr>
    </w:tblStylePr>
    <w:tblStylePr w:type="lastRow">
      <w:rPr>
        <w:b/>
        <w:bCs/>
      </w:rPr>
      <w:tblPr/>
      <w:tcPr>
        <w:tcBorders>
          <w:top w:val="single" w:sz="18" w:space="0" w:color="F69D5F" w:themeColor="accent5" w:themeTint="BF"/>
        </w:tcBorders>
      </w:tcPr>
    </w:tblStylePr>
    <w:tblStylePr w:type="firstCol">
      <w:rPr>
        <w:b/>
        <w:bCs/>
      </w:rPr>
    </w:tblStylePr>
    <w:tblStylePr w:type="lastCol">
      <w:rPr>
        <w:b/>
        <w:bCs/>
      </w:rPr>
    </w:tblStylePr>
    <w:tblStylePr w:type="band1Vert">
      <w:tblPr/>
      <w:tcPr>
        <w:shd w:val="clear" w:color="auto" w:fill="F9BD94" w:themeFill="accent5" w:themeFillTint="7F"/>
      </w:tcPr>
    </w:tblStylePr>
    <w:tblStylePr w:type="band1Horz">
      <w:tblPr/>
      <w:tcPr>
        <w:shd w:val="clear" w:color="auto" w:fill="F9BD94" w:themeFill="accent5" w:themeFillTint="7F"/>
      </w:tcPr>
    </w:tblStylePr>
  </w:style>
  <w:style w:type="table" w:styleId="MediumGrid1-Accent6">
    <w:name w:val="Medium Grid 1 Accent 6"/>
    <w:basedOn w:val="TableNormal"/>
    <w:uiPriority w:val="67"/>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07788" w:themeColor="accent6" w:themeTint="BF"/>
        <w:left w:val="single" w:sz="8" w:space="0" w:color="F07788" w:themeColor="accent6" w:themeTint="BF"/>
        <w:bottom w:val="single" w:sz="8" w:space="0" w:color="F07788" w:themeColor="accent6" w:themeTint="BF"/>
        <w:right w:val="single" w:sz="8" w:space="0" w:color="F07788" w:themeColor="accent6" w:themeTint="BF"/>
        <w:insideH w:val="single" w:sz="8" w:space="0" w:color="F07788" w:themeColor="accent6" w:themeTint="BF"/>
        <w:insideV w:val="single" w:sz="8" w:space="0" w:color="F07788" w:themeColor="accent6" w:themeTint="BF"/>
      </w:tblBorders>
    </w:tblPr>
    <w:tcPr>
      <w:shd w:val="clear" w:color="auto" w:fill="FAD2D7" w:themeFill="accent6" w:themeFillTint="3F"/>
    </w:tcPr>
    <w:tblStylePr w:type="firstRow">
      <w:rPr>
        <w:b/>
        <w:bCs/>
      </w:rPr>
    </w:tblStylePr>
    <w:tblStylePr w:type="lastRow">
      <w:rPr>
        <w:b/>
        <w:bCs/>
      </w:rPr>
      <w:tblPr/>
      <w:tcPr>
        <w:tcBorders>
          <w:top w:val="single" w:sz="18" w:space="0" w:color="F07788" w:themeColor="accent6" w:themeTint="BF"/>
        </w:tcBorders>
      </w:tcPr>
    </w:tblStylePr>
    <w:tblStylePr w:type="firstCol">
      <w:rPr>
        <w:b/>
        <w:bCs/>
      </w:rPr>
    </w:tblStylePr>
    <w:tblStylePr w:type="lastCol">
      <w:rPr>
        <w:b/>
        <w:bCs/>
      </w:rPr>
    </w:tblStylePr>
    <w:tblStylePr w:type="band1Vert">
      <w:tblPr/>
      <w:tcPr>
        <w:shd w:val="clear" w:color="auto" w:fill="F5A5B0" w:themeFill="accent6" w:themeFillTint="7F"/>
      </w:tcPr>
    </w:tblStylePr>
    <w:tblStylePr w:type="band1Horz">
      <w:tblPr/>
      <w:tcPr>
        <w:shd w:val="clear" w:color="auto" w:fill="F5A5B0" w:themeFill="accent6" w:themeFillTint="7F"/>
      </w:tcPr>
    </w:tblStylePr>
  </w:style>
  <w:style w:type="table" w:styleId="MediumGrid2">
    <w:name w:val="Medium Grid 2"/>
    <w:basedOn w:val="TableNormal"/>
    <w:uiPriority w:val="68"/>
    <w:semiHidden/>
    <w:unhideWhenUsed/>
    <w:rsid w:val="00E71FF2"/>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71FF2"/>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97A7" w:themeColor="accent1"/>
        <w:left w:val="single" w:sz="8" w:space="0" w:color="0097A7" w:themeColor="accent1"/>
        <w:bottom w:val="single" w:sz="8" w:space="0" w:color="0097A7" w:themeColor="accent1"/>
        <w:right w:val="single" w:sz="8" w:space="0" w:color="0097A7" w:themeColor="accent1"/>
        <w:insideH w:val="single" w:sz="8" w:space="0" w:color="0097A7" w:themeColor="accent1"/>
        <w:insideV w:val="single" w:sz="8" w:space="0" w:color="0097A7" w:themeColor="accent1"/>
      </w:tblBorders>
    </w:tblPr>
    <w:tcPr>
      <w:shd w:val="clear" w:color="auto" w:fill="AAF6FF" w:themeFill="accent1" w:themeFillTint="3F"/>
    </w:tcPr>
    <w:tblStylePr w:type="firstRow">
      <w:rPr>
        <w:b/>
        <w:bCs/>
        <w:color w:val="000000" w:themeColor="text1"/>
      </w:rPr>
      <w:tblPr/>
      <w:tcPr>
        <w:shd w:val="clear" w:color="auto" w:fill="DD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8FF" w:themeFill="accent1" w:themeFillTint="33"/>
      </w:tcPr>
    </w:tblStylePr>
    <w:tblStylePr w:type="band1Vert">
      <w:tblPr/>
      <w:tcPr>
        <w:shd w:val="clear" w:color="auto" w:fill="54EEFF" w:themeFill="accent1" w:themeFillTint="7F"/>
      </w:tcPr>
    </w:tblStylePr>
    <w:tblStylePr w:type="band1Horz">
      <w:tblPr/>
      <w:tcPr>
        <w:tcBorders>
          <w:insideH w:val="single" w:sz="6" w:space="0" w:color="0097A7" w:themeColor="accent1"/>
          <w:insideV w:val="single" w:sz="6" w:space="0" w:color="0097A7" w:themeColor="accent1"/>
        </w:tcBorders>
        <w:shd w:val="clear" w:color="auto" w:fill="54EE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71FF2"/>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EDADD" w:themeColor="accent2"/>
        <w:left w:val="single" w:sz="8" w:space="0" w:color="9EDADD" w:themeColor="accent2"/>
        <w:bottom w:val="single" w:sz="8" w:space="0" w:color="9EDADD" w:themeColor="accent2"/>
        <w:right w:val="single" w:sz="8" w:space="0" w:color="9EDADD" w:themeColor="accent2"/>
        <w:insideH w:val="single" w:sz="8" w:space="0" w:color="9EDADD" w:themeColor="accent2"/>
        <w:insideV w:val="single" w:sz="8" w:space="0" w:color="9EDADD" w:themeColor="accent2"/>
      </w:tblBorders>
    </w:tblPr>
    <w:tcPr>
      <w:shd w:val="clear" w:color="auto" w:fill="E6F5F6" w:themeFill="accent2" w:themeFillTint="3F"/>
    </w:tcPr>
    <w:tblStylePr w:type="firstRow">
      <w:rPr>
        <w:b/>
        <w:bCs/>
        <w:color w:val="000000" w:themeColor="text1"/>
      </w:rPr>
      <w:tblPr/>
      <w:tcPr>
        <w:shd w:val="clear" w:color="auto" w:fill="F5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7F8" w:themeFill="accent2" w:themeFillTint="33"/>
      </w:tcPr>
    </w:tblStylePr>
    <w:tblStylePr w:type="band1Vert">
      <w:tblPr/>
      <w:tcPr>
        <w:shd w:val="clear" w:color="auto" w:fill="CEECEE" w:themeFill="accent2" w:themeFillTint="7F"/>
      </w:tcPr>
    </w:tblStylePr>
    <w:tblStylePr w:type="band1Horz">
      <w:tblPr/>
      <w:tcPr>
        <w:tcBorders>
          <w:insideH w:val="single" w:sz="6" w:space="0" w:color="9EDADD" w:themeColor="accent2"/>
          <w:insideV w:val="single" w:sz="6" w:space="0" w:color="9EDADD" w:themeColor="accent2"/>
        </w:tcBorders>
        <w:shd w:val="clear" w:color="auto" w:fill="CEECE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71FF2"/>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DDD3A" w:themeColor="accent3"/>
        <w:left w:val="single" w:sz="8" w:space="0" w:color="FDDD3A" w:themeColor="accent3"/>
        <w:bottom w:val="single" w:sz="8" w:space="0" w:color="FDDD3A" w:themeColor="accent3"/>
        <w:right w:val="single" w:sz="8" w:space="0" w:color="FDDD3A" w:themeColor="accent3"/>
        <w:insideH w:val="single" w:sz="8" w:space="0" w:color="FDDD3A" w:themeColor="accent3"/>
        <w:insideV w:val="single" w:sz="8" w:space="0" w:color="FDDD3A" w:themeColor="accent3"/>
      </w:tblBorders>
    </w:tblPr>
    <w:tcPr>
      <w:shd w:val="clear" w:color="auto" w:fill="FEF6CE" w:themeFill="accent3" w:themeFillTint="3F"/>
    </w:tcPr>
    <w:tblStylePr w:type="firstRow">
      <w:rPr>
        <w:b/>
        <w:bCs/>
        <w:color w:val="000000" w:themeColor="text1"/>
      </w:rPr>
      <w:tblPr/>
      <w:tcPr>
        <w:shd w:val="clear" w:color="auto" w:fill="FEF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8D7" w:themeFill="accent3" w:themeFillTint="33"/>
      </w:tcPr>
    </w:tblStylePr>
    <w:tblStylePr w:type="band1Vert">
      <w:tblPr/>
      <w:tcPr>
        <w:shd w:val="clear" w:color="auto" w:fill="FEED9C" w:themeFill="accent3" w:themeFillTint="7F"/>
      </w:tcPr>
    </w:tblStylePr>
    <w:tblStylePr w:type="band1Horz">
      <w:tblPr/>
      <w:tcPr>
        <w:tcBorders>
          <w:insideH w:val="single" w:sz="6" w:space="0" w:color="FDDD3A" w:themeColor="accent3"/>
          <w:insideV w:val="single" w:sz="6" w:space="0" w:color="FDDD3A" w:themeColor="accent3"/>
        </w:tcBorders>
        <w:shd w:val="clear" w:color="auto" w:fill="FEED9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71FF2"/>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F7883" w:themeColor="accent4"/>
        <w:left w:val="single" w:sz="8" w:space="0" w:color="0F7883" w:themeColor="accent4"/>
        <w:bottom w:val="single" w:sz="8" w:space="0" w:color="0F7883" w:themeColor="accent4"/>
        <w:right w:val="single" w:sz="8" w:space="0" w:color="0F7883" w:themeColor="accent4"/>
        <w:insideH w:val="single" w:sz="8" w:space="0" w:color="0F7883" w:themeColor="accent4"/>
        <w:insideV w:val="single" w:sz="8" w:space="0" w:color="0F7883" w:themeColor="accent4"/>
      </w:tblBorders>
    </w:tblPr>
    <w:tcPr>
      <w:shd w:val="clear" w:color="auto" w:fill="AEEEF5" w:themeFill="accent4" w:themeFillTint="3F"/>
    </w:tcPr>
    <w:tblStylePr w:type="firstRow">
      <w:rPr>
        <w:b/>
        <w:bCs/>
        <w:color w:val="000000" w:themeColor="text1"/>
      </w:rPr>
      <w:tblPr/>
      <w:tcPr>
        <w:shd w:val="clear" w:color="auto" w:fill="DEF8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1F7" w:themeFill="accent4" w:themeFillTint="33"/>
      </w:tcPr>
    </w:tblStylePr>
    <w:tblStylePr w:type="band1Vert">
      <w:tblPr/>
      <w:tcPr>
        <w:shd w:val="clear" w:color="auto" w:fill="5CDEEC" w:themeFill="accent4" w:themeFillTint="7F"/>
      </w:tcPr>
    </w:tblStylePr>
    <w:tblStylePr w:type="band1Horz">
      <w:tblPr/>
      <w:tcPr>
        <w:tcBorders>
          <w:insideH w:val="single" w:sz="6" w:space="0" w:color="0F7883" w:themeColor="accent4"/>
          <w:insideV w:val="single" w:sz="6" w:space="0" w:color="0F7883" w:themeColor="accent4"/>
        </w:tcBorders>
        <w:shd w:val="clear" w:color="auto" w:fill="5CDE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71FF2"/>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47D2A" w:themeColor="accent5"/>
        <w:left w:val="single" w:sz="8" w:space="0" w:color="F47D2A" w:themeColor="accent5"/>
        <w:bottom w:val="single" w:sz="8" w:space="0" w:color="F47D2A" w:themeColor="accent5"/>
        <w:right w:val="single" w:sz="8" w:space="0" w:color="F47D2A" w:themeColor="accent5"/>
        <w:insideH w:val="single" w:sz="8" w:space="0" w:color="F47D2A" w:themeColor="accent5"/>
        <w:insideV w:val="single" w:sz="8" w:space="0" w:color="F47D2A" w:themeColor="accent5"/>
      </w:tblBorders>
    </w:tblPr>
    <w:tcPr>
      <w:shd w:val="clear" w:color="auto" w:fill="FCDECA" w:themeFill="accent5" w:themeFillTint="3F"/>
    </w:tcPr>
    <w:tblStylePr w:type="firstRow">
      <w:rPr>
        <w:b/>
        <w:bCs/>
        <w:color w:val="000000" w:themeColor="text1"/>
      </w:rPr>
      <w:tblPr/>
      <w:tcPr>
        <w:shd w:val="clear" w:color="auto" w:fill="FEF2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4D4" w:themeFill="accent5" w:themeFillTint="33"/>
      </w:tcPr>
    </w:tblStylePr>
    <w:tblStylePr w:type="band1Vert">
      <w:tblPr/>
      <w:tcPr>
        <w:shd w:val="clear" w:color="auto" w:fill="F9BD94" w:themeFill="accent5" w:themeFillTint="7F"/>
      </w:tcPr>
    </w:tblStylePr>
    <w:tblStylePr w:type="band1Horz">
      <w:tblPr/>
      <w:tcPr>
        <w:tcBorders>
          <w:insideH w:val="single" w:sz="6" w:space="0" w:color="F47D2A" w:themeColor="accent5"/>
          <w:insideV w:val="single" w:sz="6" w:space="0" w:color="F47D2A" w:themeColor="accent5"/>
        </w:tcBorders>
        <w:shd w:val="clear" w:color="auto" w:fill="F9BD9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71FF2"/>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C4B62" w:themeColor="accent6"/>
        <w:left w:val="single" w:sz="8" w:space="0" w:color="EC4B62" w:themeColor="accent6"/>
        <w:bottom w:val="single" w:sz="8" w:space="0" w:color="EC4B62" w:themeColor="accent6"/>
        <w:right w:val="single" w:sz="8" w:space="0" w:color="EC4B62" w:themeColor="accent6"/>
        <w:insideH w:val="single" w:sz="8" w:space="0" w:color="EC4B62" w:themeColor="accent6"/>
        <w:insideV w:val="single" w:sz="8" w:space="0" w:color="EC4B62" w:themeColor="accent6"/>
      </w:tblBorders>
    </w:tblPr>
    <w:tcPr>
      <w:shd w:val="clear" w:color="auto" w:fill="FAD2D7" w:themeFill="accent6" w:themeFillTint="3F"/>
    </w:tcPr>
    <w:tblStylePr w:type="firstRow">
      <w:rPr>
        <w:b/>
        <w:bCs/>
        <w:color w:val="000000" w:themeColor="text1"/>
      </w:rPr>
      <w:tblPr/>
      <w:tcPr>
        <w:shd w:val="clear" w:color="auto" w:fill="FDED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ADF" w:themeFill="accent6" w:themeFillTint="33"/>
      </w:tcPr>
    </w:tblStylePr>
    <w:tblStylePr w:type="band1Vert">
      <w:tblPr/>
      <w:tcPr>
        <w:shd w:val="clear" w:color="auto" w:fill="F5A5B0" w:themeFill="accent6" w:themeFillTint="7F"/>
      </w:tcPr>
    </w:tblStylePr>
    <w:tblStylePr w:type="band1Horz">
      <w:tblPr/>
      <w:tcPr>
        <w:tcBorders>
          <w:insideH w:val="single" w:sz="6" w:space="0" w:color="EC4B62" w:themeColor="accent6"/>
          <w:insideV w:val="single" w:sz="6" w:space="0" w:color="EC4B62" w:themeColor="accent6"/>
        </w:tcBorders>
        <w:shd w:val="clear" w:color="auto" w:fill="F5A5B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7A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7A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7A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7A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E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EEFF" w:themeFill="accent1" w:themeFillTint="7F"/>
      </w:tcPr>
    </w:tblStylePr>
  </w:style>
  <w:style w:type="table" w:styleId="MediumGrid3-Accent2">
    <w:name w:val="Medium Grid 3 Accent 2"/>
    <w:basedOn w:val="TableNormal"/>
    <w:uiPriority w:val="69"/>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F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DAD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DAD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DAD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DAD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CE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CEE" w:themeFill="accent2" w:themeFillTint="7F"/>
      </w:tcPr>
    </w:tblStylePr>
  </w:style>
  <w:style w:type="table" w:styleId="MediumGrid3-Accent3">
    <w:name w:val="Medium Grid 3 Accent 3"/>
    <w:basedOn w:val="TableNormal"/>
    <w:uiPriority w:val="69"/>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6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D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D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D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D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D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D9C" w:themeFill="accent3" w:themeFillTint="7F"/>
      </w:tcPr>
    </w:tblStylePr>
  </w:style>
  <w:style w:type="table" w:styleId="MediumGrid3-Accent4">
    <w:name w:val="Medium Grid 3 Accent 4"/>
    <w:basedOn w:val="TableNormal"/>
    <w:uiPriority w:val="69"/>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EE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78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78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78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78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DE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DEEC" w:themeFill="accent4" w:themeFillTint="7F"/>
      </w:tcPr>
    </w:tblStylePr>
  </w:style>
  <w:style w:type="table" w:styleId="MediumGrid3-Accent5">
    <w:name w:val="Medium Grid 3 Accent 5"/>
    <w:basedOn w:val="TableNormal"/>
    <w:uiPriority w:val="69"/>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EC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7D2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7D2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7D2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7D2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D9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D94" w:themeFill="accent5" w:themeFillTint="7F"/>
      </w:tcPr>
    </w:tblStylePr>
  </w:style>
  <w:style w:type="table" w:styleId="MediumGrid3-Accent6">
    <w:name w:val="Medium Grid 3 Accent 6"/>
    <w:basedOn w:val="TableNormal"/>
    <w:uiPriority w:val="69"/>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2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4B6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4B6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4B6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4B6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A5B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A5B0" w:themeFill="accent6" w:themeFillTint="7F"/>
      </w:tcPr>
    </w:tblStylePr>
  </w:style>
  <w:style w:type="table" w:styleId="MediumList1">
    <w:name w:val="Medium List 1"/>
    <w:basedOn w:val="TableNormal"/>
    <w:uiPriority w:val="65"/>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B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0097A7" w:themeColor="accent1"/>
        <w:bottom w:val="single" w:sz="8" w:space="0" w:color="0097A7" w:themeColor="accent1"/>
      </w:tblBorders>
    </w:tblPr>
    <w:tblStylePr w:type="firstRow">
      <w:rPr>
        <w:rFonts w:asciiTheme="majorHAnsi" w:eastAsiaTheme="majorEastAsia" w:hAnsiTheme="majorHAnsi" w:cstheme="majorBidi"/>
      </w:rPr>
      <w:tblPr/>
      <w:tcPr>
        <w:tcBorders>
          <w:top w:val="nil"/>
          <w:bottom w:val="single" w:sz="8" w:space="0" w:color="0097A7" w:themeColor="accent1"/>
        </w:tcBorders>
      </w:tcPr>
    </w:tblStylePr>
    <w:tblStylePr w:type="lastRow">
      <w:rPr>
        <w:b/>
        <w:bCs/>
        <w:color w:val="004B53" w:themeColor="text2"/>
      </w:rPr>
      <w:tblPr/>
      <w:tcPr>
        <w:tcBorders>
          <w:top w:val="single" w:sz="8" w:space="0" w:color="0097A7" w:themeColor="accent1"/>
          <w:bottom w:val="single" w:sz="8" w:space="0" w:color="0097A7" w:themeColor="accent1"/>
        </w:tcBorders>
      </w:tcPr>
    </w:tblStylePr>
    <w:tblStylePr w:type="firstCol">
      <w:rPr>
        <w:b/>
        <w:bCs/>
      </w:rPr>
    </w:tblStylePr>
    <w:tblStylePr w:type="lastCol">
      <w:rPr>
        <w:b/>
        <w:bCs/>
      </w:rPr>
      <w:tblPr/>
      <w:tcPr>
        <w:tcBorders>
          <w:top w:val="single" w:sz="8" w:space="0" w:color="0097A7" w:themeColor="accent1"/>
          <w:bottom w:val="single" w:sz="8" w:space="0" w:color="0097A7" w:themeColor="accent1"/>
        </w:tcBorders>
      </w:tcPr>
    </w:tblStylePr>
    <w:tblStylePr w:type="band1Vert">
      <w:tblPr/>
      <w:tcPr>
        <w:shd w:val="clear" w:color="auto" w:fill="AAF6FF" w:themeFill="accent1" w:themeFillTint="3F"/>
      </w:tcPr>
    </w:tblStylePr>
    <w:tblStylePr w:type="band1Horz">
      <w:tblPr/>
      <w:tcPr>
        <w:shd w:val="clear" w:color="auto" w:fill="AAF6FF" w:themeFill="accent1" w:themeFillTint="3F"/>
      </w:tcPr>
    </w:tblStylePr>
  </w:style>
  <w:style w:type="table" w:styleId="MediumList1-Accent2">
    <w:name w:val="Medium List 1 Accent 2"/>
    <w:basedOn w:val="TableNormal"/>
    <w:uiPriority w:val="65"/>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9EDADD" w:themeColor="accent2"/>
        <w:bottom w:val="single" w:sz="8" w:space="0" w:color="9EDADD" w:themeColor="accent2"/>
      </w:tblBorders>
    </w:tblPr>
    <w:tblStylePr w:type="firstRow">
      <w:rPr>
        <w:rFonts w:asciiTheme="majorHAnsi" w:eastAsiaTheme="majorEastAsia" w:hAnsiTheme="majorHAnsi" w:cstheme="majorBidi"/>
      </w:rPr>
      <w:tblPr/>
      <w:tcPr>
        <w:tcBorders>
          <w:top w:val="nil"/>
          <w:bottom w:val="single" w:sz="8" w:space="0" w:color="9EDADD" w:themeColor="accent2"/>
        </w:tcBorders>
      </w:tcPr>
    </w:tblStylePr>
    <w:tblStylePr w:type="lastRow">
      <w:rPr>
        <w:b/>
        <w:bCs/>
        <w:color w:val="004B53" w:themeColor="text2"/>
      </w:rPr>
      <w:tblPr/>
      <w:tcPr>
        <w:tcBorders>
          <w:top w:val="single" w:sz="8" w:space="0" w:color="9EDADD" w:themeColor="accent2"/>
          <w:bottom w:val="single" w:sz="8" w:space="0" w:color="9EDADD" w:themeColor="accent2"/>
        </w:tcBorders>
      </w:tcPr>
    </w:tblStylePr>
    <w:tblStylePr w:type="firstCol">
      <w:rPr>
        <w:b/>
        <w:bCs/>
      </w:rPr>
    </w:tblStylePr>
    <w:tblStylePr w:type="lastCol">
      <w:rPr>
        <w:b/>
        <w:bCs/>
      </w:rPr>
      <w:tblPr/>
      <w:tcPr>
        <w:tcBorders>
          <w:top w:val="single" w:sz="8" w:space="0" w:color="9EDADD" w:themeColor="accent2"/>
          <w:bottom w:val="single" w:sz="8" w:space="0" w:color="9EDADD" w:themeColor="accent2"/>
        </w:tcBorders>
      </w:tcPr>
    </w:tblStylePr>
    <w:tblStylePr w:type="band1Vert">
      <w:tblPr/>
      <w:tcPr>
        <w:shd w:val="clear" w:color="auto" w:fill="E6F5F6" w:themeFill="accent2" w:themeFillTint="3F"/>
      </w:tcPr>
    </w:tblStylePr>
    <w:tblStylePr w:type="band1Horz">
      <w:tblPr/>
      <w:tcPr>
        <w:shd w:val="clear" w:color="auto" w:fill="E6F5F6" w:themeFill="accent2" w:themeFillTint="3F"/>
      </w:tcPr>
    </w:tblStylePr>
  </w:style>
  <w:style w:type="table" w:styleId="MediumList1-Accent3">
    <w:name w:val="Medium List 1 Accent 3"/>
    <w:basedOn w:val="TableNormal"/>
    <w:uiPriority w:val="65"/>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FDDD3A" w:themeColor="accent3"/>
        <w:bottom w:val="single" w:sz="8" w:space="0" w:color="FDDD3A" w:themeColor="accent3"/>
      </w:tblBorders>
    </w:tblPr>
    <w:tblStylePr w:type="firstRow">
      <w:rPr>
        <w:rFonts w:asciiTheme="majorHAnsi" w:eastAsiaTheme="majorEastAsia" w:hAnsiTheme="majorHAnsi" w:cstheme="majorBidi"/>
      </w:rPr>
      <w:tblPr/>
      <w:tcPr>
        <w:tcBorders>
          <w:top w:val="nil"/>
          <w:bottom w:val="single" w:sz="8" w:space="0" w:color="FDDD3A" w:themeColor="accent3"/>
        </w:tcBorders>
      </w:tcPr>
    </w:tblStylePr>
    <w:tblStylePr w:type="lastRow">
      <w:rPr>
        <w:b/>
        <w:bCs/>
        <w:color w:val="004B53" w:themeColor="text2"/>
      </w:rPr>
      <w:tblPr/>
      <w:tcPr>
        <w:tcBorders>
          <w:top w:val="single" w:sz="8" w:space="0" w:color="FDDD3A" w:themeColor="accent3"/>
          <w:bottom w:val="single" w:sz="8" w:space="0" w:color="FDDD3A" w:themeColor="accent3"/>
        </w:tcBorders>
      </w:tcPr>
    </w:tblStylePr>
    <w:tblStylePr w:type="firstCol">
      <w:rPr>
        <w:b/>
        <w:bCs/>
      </w:rPr>
    </w:tblStylePr>
    <w:tblStylePr w:type="lastCol">
      <w:rPr>
        <w:b/>
        <w:bCs/>
      </w:rPr>
      <w:tblPr/>
      <w:tcPr>
        <w:tcBorders>
          <w:top w:val="single" w:sz="8" w:space="0" w:color="FDDD3A" w:themeColor="accent3"/>
          <w:bottom w:val="single" w:sz="8" w:space="0" w:color="FDDD3A" w:themeColor="accent3"/>
        </w:tcBorders>
      </w:tcPr>
    </w:tblStylePr>
    <w:tblStylePr w:type="band1Vert">
      <w:tblPr/>
      <w:tcPr>
        <w:shd w:val="clear" w:color="auto" w:fill="FEF6CE" w:themeFill="accent3" w:themeFillTint="3F"/>
      </w:tcPr>
    </w:tblStylePr>
    <w:tblStylePr w:type="band1Horz">
      <w:tblPr/>
      <w:tcPr>
        <w:shd w:val="clear" w:color="auto" w:fill="FEF6CE" w:themeFill="accent3" w:themeFillTint="3F"/>
      </w:tcPr>
    </w:tblStylePr>
  </w:style>
  <w:style w:type="table" w:styleId="MediumList1-Accent4">
    <w:name w:val="Medium List 1 Accent 4"/>
    <w:basedOn w:val="TableNormal"/>
    <w:uiPriority w:val="65"/>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0F7883" w:themeColor="accent4"/>
        <w:bottom w:val="single" w:sz="8" w:space="0" w:color="0F7883" w:themeColor="accent4"/>
      </w:tblBorders>
    </w:tblPr>
    <w:tblStylePr w:type="firstRow">
      <w:rPr>
        <w:rFonts w:asciiTheme="majorHAnsi" w:eastAsiaTheme="majorEastAsia" w:hAnsiTheme="majorHAnsi" w:cstheme="majorBidi"/>
      </w:rPr>
      <w:tblPr/>
      <w:tcPr>
        <w:tcBorders>
          <w:top w:val="nil"/>
          <w:bottom w:val="single" w:sz="8" w:space="0" w:color="0F7883" w:themeColor="accent4"/>
        </w:tcBorders>
      </w:tcPr>
    </w:tblStylePr>
    <w:tblStylePr w:type="lastRow">
      <w:rPr>
        <w:b/>
        <w:bCs/>
        <w:color w:val="004B53" w:themeColor="text2"/>
      </w:rPr>
      <w:tblPr/>
      <w:tcPr>
        <w:tcBorders>
          <w:top w:val="single" w:sz="8" w:space="0" w:color="0F7883" w:themeColor="accent4"/>
          <w:bottom w:val="single" w:sz="8" w:space="0" w:color="0F7883" w:themeColor="accent4"/>
        </w:tcBorders>
      </w:tcPr>
    </w:tblStylePr>
    <w:tblStylePr w:type="firstCol">
      <w:rPr>
        <w:b/>
        <w:bCs/>
      </w:rPr>
    </w:tblStylePr>
    <w:tblStylePr w:type="lastCol">
      <w:rPr>
        <w:b/>
        <w:bCs/>
      </w:rPr>
      <w:tblPr/>
      <w:tcPr>
        <w:tcBorders>
          <w:top w:val="single" w:sz="8" w:space="0" w:color="0F7883" w:themeColor="accent4"/>
          <w:bottom w:val="single" w:sz="8" w:space="0" w:color="0F7883" w:themeColor="accent4"/>
        </w:tcBorders>
      </w:tcPr>
    </w:tblStylePr>
    <w:tblStylePr w:type="band1Vert">
      <w:tblPr/>
      <w:tcPr>
        <w:shd w:val="clear" w:color="auto" w:fill="AEEEF5" w:themeFill="accent4" w:themeFillTint="3F"/>
      </w:tcPr>
    </w:tblStylePr>
    <w:tblStylePr w:type="band1Horz">
      <w:tblPr/>
      <w:tcPr>
        <w:shd w:val="clear" w:color="auto" w:fill="AEEEF5" w:themeFill="accent4" w:themeFillTint="3F"/>
      </w:tcPr>
    </w:tblStylePr>
  </w:style>
  <w:style w:type="table" w:styleId="MediumList1-Accent5">
    <w:name w:val="Medium List 1 Accent 5"/>
    <w:basedOn w:val="TableNormal"/>
    <w:uiPriority w:val="65"/>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F47D2A" w:themeColor="accent5"/>
        <w:bottom w:val="single" w:sz="8" w:space="0" w:color="F47D2A" w:themeColor="accent5"/>
      </w:tblBorders>
    </w:tblPr>
    <w:tblStylePr w:type="firstRow">
      <w:rPr>
        <w:rFonts w:asciiTheme="majorHAnsi" w:eastAsiaTheme="majorEastAsia" w:hAnsiTheme="majorHAnsi" w:cstheme="majorBidi"/>
      </w:rPr>
      <w:tblPr/>
      <w:tcPr>
        <w:tcBorders>
          <w:top w:val="nil"/>
          <w:bottom w:val="single" w:sz="8" w:space="0" w:color="F47D2A" w:themeColor="accent5"/>
        </w:tcBorders>
      </w:tcPr>
    </w:tblStylePr>
    <w:tblStylePr w:type="lastRow">
      <w:rPr>
        <w:b/>
        <w:bCs/>
        <w:color w:val="004B53" w:themeColor="text2"/>
      </w:rPr>
      <w:tblPr/>
      <w:tcPr>
        <w:tcBorders>
          <w:top w:val="single" w:sz="8" w:space="0" w:color="F47D2A" w:themeColor="accent5"/>
          <w:bottom w:val="single" w:sz="8" w:space="0" w:color="F47D2A" w:themeColor="accent5"/>
        </w:tcBorders>
      </w:tcPr>
    </w:tblStylePr>
    <w:tblStylePr w:type="firstCol">
      <w:rPr>
        <w:b/>
        <w:bCs/>
      </w:rPr>
    </w:tblStylePr>
    <w:tblStylePr w:type="lastCol">
      <w:rPr>
        <w:b/>
        <w:bCs/>
      </w:rPr>
      <w:tblPr/>
      <w:tcPr>
        <w:tcBorders>
          <w:top w:val="single" w:sz="8" w:space="0" w:color="F47D2A" w:themeColor="accent5"/>
          <w:bottom w:val="single" w:sz="8" w:space="0" w:color="F47D2A" w:themeColor="accent5"/>
        </w:tcBorders>
      </w:tcPr>
    </w:tblStylePr>
    <w:tblStylePr w:type="band1Vert">
      <w:tblPr/>
      <w:tcPr>
        <w:shd w:val="clear" w:color="auto" w:fill="FCDECA" w:themeFill="accent5" w:themeFillTint="3F"/>
      </w:tcPr>
    </w:tblStylePr>
    <w:tblStylePr w:type="band1Horz">
      <w:tblPr/>
      <w:tcPr>
        <w:shd w:val="clear" w:color="auto" w:fill="FCDECA" w:themeFill="accent5" w:themeFillTint="3F"/>
      </w:tcPr>
    </w:tblStylePr>
  </w:style>
  <w:style w:type="table" w:styleId="MediumList1-Accent6">
    <w:name w:val="Medium List 1 Accent 6"/>
    <w:basedOn w:val="TableNormal"/>
    <w:uiPriority w:val="65"/>
    <w:semiHidden/>
    <w:unhideWhenUsed/>
    <w:rsid w:val="00E71FF2"/>
    <w:pPr>
      <w:spacing w:after="0" w:line="240" w:lineRule="auto"/>
      <w:jc w:val="both"/>
    </w:pPr>
    <w:rPr>
      <w:rFonts w:ascii="Century Schoolbook" w:hAnsi="Century Schoolbook" w:cs="Verdana"/>
      <w:color w:val="000000" w:themeColor="text1"/>
      <w:sz w:val="20"/>
      <w:szCs w:val="20"/>
    </w:rPr>
    <w:tblPr>
      <w:tblStyleRowBandSize w:val="1"/>
      <w:tblStyleColBandSize w:val="1"/>
      <w:tblBorders>
        <w:top w:val="single" w:sz="8" w:space="0" w:color="EC4B62" w:themeColor="accent6"/>
        <w:bottom w:val="single" w:sz="8" w:space="0" w:color="EC4B62" w:themeColor="accent6"/>
      </w:tblBorders>
    </w:tblPr>
    <w:tblStylePr w:type="firstRow">
      <w:rPr>
        <w:rFonts w:asciiTheme="majorHAnsi" w:eastAsiaTheme="majorEastAsia" w:hAnsiTheme="majorHAnsi" w:cstheme="majorBidi"/>
      </w:rPr>
      <w:tblPr/>
      <w:tcPr>
        <w:tcBorders>
          <w:top w:val="nil"/>
          <w:bottom w:val="single" w:sz="8" w:space="0" w:color="EC4B62" w:themeColor="accent6"/>
        </w:tcBorders>
      </w:tcPr>
    </w:tblStylePr>
    <w:tblStylePr w:type="lastRow">
      <w:rPr>
        <w:b/>
        <w:bCs/>
        <w:color w:val="004B53" w:themeColor="text2"/>
      </w:rPr>
      <w:tblPr/>
      <w:tcPr>
        <w:tcBorders>
          <w:top w:val="single" w:sz="8" w:space="0" w:color="EC4B62" w:themeColor="accent6"/>
          <w:bottom w:val="single" w:sz="8" w:space="0" w:color="EC4B62" w:themeColor="accent6"/>
        </w:tcBorders>
      </w:tcPr>
    </w:tblStylePr>
    <w:tblStylePr w:type="firstCol">
      <w:rPr>
        <w:b/>
        <w:bCs/>
      </w:rPr>
    </w:tblStylePr>
    <w:tblStylePr w:type="lastCol">
      <w:rPr>
        <w:b/>
        <w:bCs/>
      </w:rPr>
      <w:tblPr/>
      <w:tcPr>
        <w:tcBorders>
          <w:top w:val="single" w:sz="8" w:space="0" w:color="EC4B62" w:themeColor="accent6"/>
          <w:bottom w:val="single" w:sz="8" w:space="0" w:color="EC4B62" w:themeColor="accent6"/>
        </w:tcBorders>
      </w:tcPr>
    </w:tblStylePr>
    <w:tblStylePr w:type="band1Vert">
      <w:tblPr/>
      <w:tcPr>
        <w:shd w:val="clear" w:color="auto" w:fill="FAD2D7" w:themeFill="accent6" w:themeFillTint="3F"/>
      </w:tcPr>
    </w:tblStylePr>
    <w:tblStylePr w:type="band1Horz">
      <w:tblPr/>
      <w:tcPr>
        <w:shd w:val="clear" w:color="auto" w:fill="FAD2D7" w:themeFill="accent6" w:themeFillTint="3F"/>
      </w:tcPr>
    </w:tblStylePr>
  </w:style>
  <w:style w:type="table" w:styleId="MediumList2">
    <w:name w:val="Medium List 2"/>
    <w:basedOn w:val="TableNormal"/>
    <w:uiPriority w:val="66"/>
    <w:semiHidden/>
    <w:unhideWhenUsed/>
    <w:rsid w:val="00E71FF2"/>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71FF2"/>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97A7" w:themeColor="accent1"/>
        <w:left w:val="single" w:sz="8" w:space="0" w:color="0097A7" w:themeColor="accent1"/>
        <w:bottom w:val="single" w:sz="8" w:space="0" w:color="0097A7" w:themeColor="accent1"/>
        <w:right w:val="single" w:sz="8" w:space="0" w:color="0097A7" w:themeColor="accent1"/>
      </w:tblBorders>
    </w:tblPr>
    <w:tblStylePr w:type="firstRow">
      <w:rPr>
        <w:sz w:val="24"/>
        <w:szCs w:val="24"/>
      </w:rPr>
      <w:tblPr/>
      <w:tcPr>
        <w:tcBorders>
          <w:top w:val="nil"/>
          <w:left w:val="nil"/>
          <w:bottom w:val="single" w:sz="24" w:space="0" w:color="0097A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7A7" w:themeColor="accent1"/>
          <w:insideH w:val="nil"/>
          <w:insideV w:val="nil"/>
        </w:tcBorders>
        <w:shd w:val="clear" w:color="auto" w:fill="FFFFFF" w:themeFill="background1"/>
      </w:tcPr>
    </w:tblStylePr>
    <w:tblStylePr w:type="lastCol">
      <w:tblPr/>
      <w:tcPr>
        <w:tcBorders>
          <w:top w:val="nil"/>
          <w:left w:val="single" w:sz="8" w:space="0" w:color="0097A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6FF" w:themeFill="accent1" w:themeFillTint="3F"/>
      </w:tcPr>
    </w:tblStylePr>
    <w:tblStylePr w:type="band1Horz">
      <w:tblPr/>
      <w:tcPr>
        <w:tcBorders>
          <w:top w:val="nil"/>
          <w:bottom w:val="nil"/>
          <w:insideH w:val="nil"/>
          <w:insideV w:val="nil"/>
        </w:tcBorders>
        <w:shd w:val="clear" w:color="auto" w:fill="AAF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71FF2"/>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EDADD" w:themeColor="accent2"/>
        <w:left w:val="single" w:sz="8" w:space="0" w:color="9EDADD" w:themeColor="accent2"/>
        <w:bottom w:val="single" w:sz="8" w:space="0" w:color="9EDADD" w:themeColor="accent2"/>
        <w:right w:val="single" w:sz="8" w:space="0" w:color="9EDADD" w:themeColor="accent2"/>
      </w:tblBorders>
    </w:tblPr>
    <w:tblStylePr w:type="firstRow">
      <w:rPr>
        <w:sz w:val="24"/>
        <w:szCs w:val="24"/>
      </w:rPr>
      <w:tblPr/>
      <w:tcPr>
        <w:tcBorders>
          <w:top w:val="nil"/>
          <w:left w:val="nil"/>
          <w:bottom w:val="single" w:sz="24" w:space="0" w:color="9EDAD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DADD" w:themeColor="accent2"/>
          <w:insideH w:val="nil"/>
          <w:insideV w:val="nil"/>
        </w:tcBorders>
        <w:shd w:val="clear" w:color="auto" w:fill="FFFFFF" w:themeFill="background1"/>
      </w:tcPr>
    </w:tblStylePr>
    <w:tblStylePr w:type="lastCol">
      <w:tblPr/>
      <w:tcPr>
        <w:tcBorders>
          <w:top w:val="nil"/>
          <w:left w:val="single" w:sz="8" w:space="0" w:color="9EDAD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F6" w:themeFill="accent2" w:themeFillTint="3F"/>
      </w:tcPr>
    </w:tblStylePr>
    <w:tblStylePr w:type="band1Horz">
      <w:tblPr/>
      <w:tcPr>
        <w:tcBorders>
          <w:top w:val="nil"/>
          <w:bottom w:val="nil"/>
          <w:insideH w:val="nil"/>
          <w:insideV w:val="nil"/>
        </w:tcBorders>
        <w:shd w:val="clear" w:color="auto" w:fill="E6F5F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71FF2"/>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DDD3A" w:themeColor="accent3"/>
        <w:left w:val="single" w:sz="8" w:space="0" w:color="FDDD3A" w:themeColor="accent3"/>
        <w:bottom w:val="single" w:sz="8" w:space="0" w:color="FDDD3A" w:themeColor="accent3"/>
        <w:right w:val="single" w:sz="8" w:space="0" w:color="FDDD3A" w:themeColor="accent3"/>
      </w:tblBorders>
    </w:tblPr>
    <w:tblStylePr w:type="firstRow">
      <w:rPr>
        <w:sz w:val="24"/>
        <w:szCs w:val="24"/>
      </w:rPr>
      <w:tblPr/>
      <w:tcPr>
        <w:tcBorders>
          <w:top w:val="nil"/>
          <w:left w:val="nil"/>
          <w:bottom w:val="single" w:sz="24" w:space="0" w:color="FDDD3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D3A" w:themeColor="accent3"/>
          <w:insideH w:val="nil"/>
          <w:insideV w:val="nil"/>
        </w:tcBorders>
        <w:shd w:val="clear" w:color="auto" w:fill="FFFFFF" w:themeFill="background1"/>
      </w:tcPr>
    </w:tblStylePr>
    <w:tblStylePr w:type="lastCol">
      <w:tblPr/>
      <w:tcPr>
        <w:tcBorders>
          <w:top w:val="nil"/>
          <w:left w:val="single" w:sz="8" w:space="0" w:color="FDDD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6CE" w:themeFill="accent3" w:themeFillTint="3F"/>
      </w:tcPr>
    </w:tblStylePr>
    <w:tblStylePr w:type="band1Horz">
      <w:tblPr/>
      <w:tcPr>
        <w:tcBorders>
          <w:top w:val="nil"/>
          <w:bottom w:val="nil"/>
          <w:insideH w:val="nil"/>
          <w:insideV w:val="nil"/>
        </w:tcBorders>
        <w:shd w:val="clear" w:color="auto" w:fill="FEF6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71FF2"/>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F7883" w:themeColor="accent4"/>
        <w:left w:val="single" w:sz="8" w:space="0" w:color="0F7883" w:themeColor="accent4"/>
        <w:bottom w:val="single" w:sz="8" w:space="0" w:color="0F7883" w:themeColor="accent4"/>
        <w:right w:val="single" w:sz="8" w:space="0" w:color="0F7883" w:themeColor="accent4"/>
      </w:tblBorders>
    </w:tblPr>
    <w:tblStylePr w:type="firstRow">
      <w:rPr>
        <w:sz w:val="24"/>
        <w:szCs w:val="24"/>
      </w:rPr>
      <w:tblPr/>
      <w:tcPr>
        <w:tcBorders>
          <w:top w:val="nil"/>
          <w:left w:val="nil"/>
          <w:bottom w:val="single" w:sz="24" w:space="0" w:color="0F78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7883" w:themeColor="accent4"/>
          <w:insideH w:val="nil"/>
          <w:insideV w:val="nil"/>
        </w:tcBorders>
        <w:shd w:val="clear" w:color="auto" w:fill="FFFFFF" w:themeFill="background1"/>
      </w:tcPr>
    </w:tblStylePr>
    <w:tblStylePr w:type="lastCol">
      <w:tblPr/>
      <w:tcPr>
        <w:tcBorders>
          <w:top w:val="nil"/>
          <w:left w:val="single" w:sz="8" w:space="0" w:color="0F78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EEF5" w:themeFill="accent4" w:themeFillTint="3F"/>
      </w:tcPr>
    </w:tblStylePr>
    <w:tblStylePr w:type="band1Horz">
      <w:tblPr/>
      <w:tcPr>
        <w:tcBorders>
          <w:top w:val="nil"/>
          <w:bottom w:val="nil"/>
          <w:insideH w:val="nil"/>
          <w:insideV w:val="nil"/>
        </w:tcBorders>
        <w:shd w:val="clear" w:color="auto" w:fill="AEEE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71FF2"/>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47D2A" w:themeColor="accent5"/>
        <w:left w:val="single" w:sz="8" w:space="0" w:color="F47D2A" w:themeColor="accent5"/>
        <w:bottom w:val="single" w:sz="8" w:space="0" w:color="F47D2A" w:themeColor="accent5"/>
        <w:right w:val="single" w:sz="8" w:space="0" w:color="F47D2A" w:themeColor="accent5"/>
      </w:tblBorders>
    </w:tblPr>
    <w:tblStylePr w:type="firstRow">
      <w:rPr>
        <w:sz w:val="24"/>
        <w:szCs w:val="24"/>
      </w:rPr>
      <w:tblPr/>
      <w:tcPr>
        <w:tcBorders>
          <w:top w:val="nil"/>
          <w:left w:val="nil"/>
          <w:bottom w:val="single" w:sz="24" w:space="0" w:color="F47D2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7D2A" w:themeColor="accent5"/>
          <w:insideH w:val="nil"/>
          <w:insideV w:val="nil"/>
        </w:tcBorders>
        <w:shd w:val="clear" w:color="auto" w:fill="FFFFFF" w:themeFill="background1"/>
      </w:tcPr>
    </w:tblStylePr>
    <w:tblStylePr w:type="lastCol">
      <w:tblPr/>
      <w:tcPr>
        <w:tcBorders>
          <w:top w:val="nil"/>
          <w:left w:val="single" w:sz="8" w:space="0" w:color="F47D2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ECA" w:themeFill="accent5" w:themeFillTint="3F"/>
      </w:tcPr>
    </w:tblStylePr>
    <w:tblStylePr w:type="band1Horz">
      <w:tblPr/>
      <w:tcPr>
        <w:tcBorders>
          <w:top w:val="nil"/>
          <w:bottom w:val="nil"/>
          <w:insideH w:val="nil"/>
          <w:insideV w:val="nil"/>
        </w:tcBorders>
        <w:shd w:val="clear" w:color="auto" w:fill="FCDEC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71FF2"/>
    <w:pPr>
      <w:spacing w:after="0" w:line="240" w:lineRule="auto"/>
      <w:jc w:val="both"/>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C4B62" w:themeColor="accent6"/>
        <w:left w:val="single" w:sz="8" w:space="0" w:color="EC4B62" w:themeColor="accent6"/>
        <w:bottom w:val="single" w:sz="8" w:space="0" w:color="EC4B62" w:themeColor="accent6"/>
        <w:right w:val="single" w:sz="8" w:space="0" w:color="EC4B62" w:themeColor="accent6"/>
      </w:tblBorders>
    </w:tblPr>
    <w:tblStylePr w:type="firstRow">
      <w:rPr>
        <w:sz w:val="24"/>
        <w:szCs w:val="24"/>
      </w:rPr>
      <w:tblPr/>
      <w:tcPr>
        <w:tcBorders>
          <w:top w:val="nil"/>
          <w:left w:val="nil"/>
          <w:bottom w:val="single" w:sz="24" w:space="0" w:color="EC4B6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4B62" w:themeColor="accent6"/>
          <w:insideH w:val="nil"/>
          <w:insideV w:val="nil"/>
        </w:tcBorders>
        <w:shd w:val="clear" w:color="auto" w:fill="FFFFFF" w:themeFill="background1"/>
      </w:tcPr>
    </w:tblStylePr>
    <w:tblStylePr w:type="lastCol">
      <w:tblPr/>
      <w:tcPr>
        <w:tcBorders>
          <w:top w:val="nil"/>
          <w:left w:val="single" w:sz="8" w:space="0" w:color="EC4B6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2D7" w:themeFill="accent6" w:themeFillTint="3F"/>
      </w:tcPr>
    </w:tblStylePr>
    <w:tblStylePr w:type="band1Horz">
      <w:tblPr/>
      <w:tcPr>
        <w:tcBorders>
          <w:top w:val="nil"/>
          <w:bottom w:val="nil"/>
          <w:insideH w:val="nil"/>
          <w:insideV w:val="nil"/>
        </w:tcBorders>
        <w:shd w:val="clear" w:color="auto" w:fill="FAD2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00E4FD" w:themeColor="accent1" w:themeTint="BF"/>
        <w:left w:val="single" w:sz="8" w:space="0" w:color="00E4FD" w:themeColor="accent1" w:themeTint="BF"/>
        <w:bottom w:val="single" w:sz="8" w:space="0" w:color="00E4FD" w:themeColor="accent1" w:themeTint="BF"/>
        <w:right w:val="single" w:sz="8" w:space="0" w:color="00E4FD" w:themeColor="accent1" w:themeTint="BF"/>
        <w:insideH w:val="single" w:sz="8" w:space="0" w:color="00E4FD" w:themeColor="accent1" w:themeTint="BF"/>
      </w:tblBorders>
    </w:tblPr>
    <w:tblStylePr w:type="firstRow">
      <w:pPr>
        <w:spacing w:before="0" w:after="0" w:line="240" w:lineRule="auto"/>
      </w:pPr>
      <w:rPr>
        <w:b/>
        <w:bCs/>
        <w:color w:val="FFFFFF" w:themeColor="background1"/>
      </w:rPr>
      <w:tblPr/>
      <w:tcPr>
        <w:tcBorders>
          <w:top w:val="single" w:sz="8" w:space="0" w:color="00E4FD" w:themeColor="accent1" w:themeTint="BF"/>
          <w:left w:val="single" w:sz="8" w:space="0" w:color="00E4FD" w:themeColor="accent1" w:themeTint="BF"/>
          <w:bottom w:val="single" w:sz="8" w:space="0" w:color="00E4FD" w:themeColor="accent1" w:themeTint="BF"/>
          <w:right w:val="single" w:sz="8" w:space="0" w:color="00E4FD" w:themeColor="accent1" w:themeTint="BF"/>
          <w:insideH w:val="nil"/>
          <w:insideV w:val="nil"/>
        </w:tcBorders>
        <w:shd w:val="clear" w:color="auto" w:fill="0097A7" w:themeFill="accent1"/>
      </w:tcPr>
    </w:tblStylePr>
    <w:tblStylePr w:type="lastRow">
      <w:pPr>
        <w:spacing w:before="0" w:after="0" w:line="240" w:lineRule="auto"/>
      </w:pPr>
      <w:rPr>
        <w:b/>
        <w:bCs/>
      </w:rPr>
      <w:tblPr/>
      <w:tcPr>
        <w:tcBorders>
          <w:top w:val="double" w:sz="6" w:space="0" w:color="00E4FD" w:themeColor="accent1" w:themeTint="BF"/>
          <w:left w:val="single" w:sz="8" w:space="0" w:color="00E4FD" w:themeColor="accent1" w:themeTint="BF"/>
          <w:bottom w:val="single" w:sz="8" w:space="0" w:color="00E4FD" w:themeColor="accent1" w:themeTint="BF"/>
          <w:right w:val="single" w:sz="8" w:space="0" w:color="00E4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F6FF" w:themeFill="accent1" w:themeFillTint="3F"/>
      </w:tcPr>
    </w:tblStylePr>
    <w:tblStylePr w:type="band1Horz">
      <w:tblPr/>
      <w:tcPr>
        <w:tcBorders>
          <w:insideH w:val="nil"/>
          <w:insideV w:val="nil"/>
        </w:tcBorders>
        <w:shd w:val="clear" w:color="auto" w:fill="AAF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B6E3E5" w:themeColor="accent2" w:themeTint="BF"/>
        <w:left w:val="single" w:sz="8" w:space="0" w:color="B6E3E5" w:themeColor="accent2" w:themeTint="BF"/>
        <w:bottom w:val="single" w:sz="8" w:space="0" w:color="B6E3E5" w:themeColor="accent2" w:themeTint="BF"/>
        <w:right w:val="single" w:sz="8" w:space="0" w:color="B6E3E5" w:themeColor="accent2" w:themeTint="BF"/>
        <w:insideH w:val="single" w:sz="8" w:space="0" w:color="B6E3E5" w:themeColor="accent2" w:themeTint="BF"/>
      </w:tblBorders>
    </w:tblPr>
    <w:tblStylePr w:type="firstRow">
      <w:pPr>
        <w:spacing w:before="0" w:after="0" w:line="240" w:lineRule="auto"/>
      </w:pPr>
      <w:rPr>
        <w:b/>
        <w:bCs/>
        <w:color w:val="FFFFFF" w:themeColor="background1"/>
      </w:rPr>
      <w:tblPr/>
      <w:tcPr>
        <w:tcBorders>
          <w:top w:val="single" w:sz="8" w:space="0" w:color="B6E3E5" w:themeColor="accent2" w:themeTint="BF"/>
          <w:left w:val="single" w:sz="8" w:space="0" w:color="B6E3E5" w:themeColor="accent2" w:themeTint="BF"/>
          <w:bottom w:val="single" w:sz="8" w:space="0" w:color="B6E3E5" w:themeColor="accent2" w:themeTint="BF"/>
          <w:right w:val="single" w:sz="8" w:space="0" w:color="B6E3E5" w:themeColor="accent2" w:themeTint="BF"/>
          <w:insideH w:val="nil"/>
          <w:insideV w:val="nil"/>
        </w:tcBorders>
        <w:shd w:val="clear" w:color="auto" w:fill="9EDADD" w:themeFill="accent2"/>
      </w:tcPr>
    </w:tblStylePr>
    <w:tblStylePr w:type="lastRow">
      <w:pPr>
        <w:spacing w:before="0" w:after="0" w:line="240" w:lineRule="auto"/>
      </w:pPr>
      <w:rPr>
        <w:b/>
        <w:bCs/>
      </w:rPr>
      <w:tblPr/>
      <w:tcPr>
        <w:tcBorders>
          <w:top w:val="double" w:sz="6" w:space="0" w:color="B6E3E5" w:themeColor="accent2" w:themeTint="BF"/>
          <w:left w:val="single" w:sz="8" w:space="0" w:color="B6E3E5" w:themeColor="accent2" w:themeTint="BF"/>
          <w:bottom w:val="single" w:sz="8" w:space="0" w:color="B6E3E5" w:themeColor="accent2" w:themeTint="BF"/>
          <w:right w:val="single" w:sz="8" w:space="0" w:color="B6E3E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6F5F6" w:themeFill="accent2" w:themeFillTint="3F"/>
      </w:tcPr>
    </w:tblStylePr>
    <w:tblStylePr w:type="band1Horz">
      <w:tblPr/>
      <w:tcPr>
        <w:tcBorders>
          <w:insideH w:val="nil"/>
          <w:insideV w:val="nil"/>
        </w:tcBorders>
        <w:shd w:val="clear" w:color="auto" w:fill="E6F5F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DE56B" w:themeColor="accent3" w:themeTint="BF"/>
        <w:left w:val="single" w:sz="8" w:space="0" w:color="FDE56B" w:themeColor="accent3" w:themeTint="BF"/>
        <w:bottom w:val="single" w:sz="8" w:space="0" w:color="FDE56B" w:themeColor="accent3" w:themeTint="BF"/>
        <w:right w:val="single" w:sz="8" w:space="0" w:color="FDE56B" w:themeColor="accent3" w:themeTint="BF"/>
        <w:insideH w:val="single" w:sz="8" w:space="0" w:color="FDE56B" w:themeColor="accent3" w:themeTint="BF"/>
      </w:tblBorders>
    </w:tblPr>
    <w:tblStylePr w:type="firstRow">
      <w:pPr>
        <w:spacing w:before="0" w:after="0" w:line="240" w:lineRule="auto"/>
      </w:pPr>
      <w:rPr>
        <w:b/>
        <w:bCs/>
        <w:color w:val="FFFFFF" w:themeColor="background1"/>
      </w:rPr>
      <w:tblPr/>
      <w:tcPr>
        <w:tcBorders>
          <w:top w:val="single" w:sz="8" w:space="0" w:color="FDE56B" w:themeColor="accent3" w:themeTint="BF"/>
          <w:left w:val="single" w:sz="8" w:space="0" w:color="FDE56B" w:themeColor="accent3" w:themeTint="BF"/>
          <w:bottom w:val="single" w:sz="8" w:space="0" w:color="FDE56B" w:themeColor="accent3" w:themeTint="BF"/>
          <w:right w:val="single" w:sz="8" w:space="0" w:color="FDE56B" w:themeColor="accent3" w:themeTint="BF"/>
          <w:insideH w:val="nil"/>
          <w:insideV w:val="nil"/>
        </w:tcBorders>
        <w:shd w:val="clear" w:color="auto" w:fill="FDDD3A" w:themeFill="accent3"/>
      </w:tcPr>
    </w:tblStylePr>
    <w:tblStylePr w:type="lastRow">
      <w:pPr>
        <w:spacing w:before="0" w:after="0" w:line="240" w:lineRule="auto"/>
      </w:pPr>
      <w:rPr>
        <w:b/>
        <w:bCs/>
      </w:rPr>
      <w:tblPr/>
      <w:tcPr>
        <w:tcBorders>
          <w:top w:val="double" w:sz="6" w:space="0" w:color="FDE56B" w:themeColor="accent3" w:themeTint="BF"/>
          <w:left w:val="single" w:sz="8" w:space="0" w:color="FDE56B" w:themeColor="accent3" w:themeTint="BF"/>
          <w:bottom w:val="single" w:sz="8" w:space="0" w:color="FDE56B" w:themeColor="accent3" w:themeTint="BF"/>
          <w:right w:val="single" w:sz="8" w:space="0" w:color="FDE56B"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F6CE" w:themeFill="accent3" w:themeFillTint="3F"/>
      </w:tcPr>
    </w:tblStylePr>
    <w:tblStylePr w:type="band1Horz">
      <w:tblPr/>
      <w:tcPr>
        <w:tcBorders>
          <w:insideH w:val="nil"/>
          <w:insideV w:val="nil"/>
        </w:tcBorders>
        <w:shd w:val="clear" w:color="auto" w:fill="FEF6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18C2D4" w:themeColor="accent4" w:themeTint="BF"/>
        <w:left w:val="single" w:sz="8" w:space="0" w:color="18C2D4" w:themeColor="accent4" w:themeTint="BF"/>
        <w:bottom w:val="single" w:sz="8" w:space="0" w:color="18C2D4" w:themeColor="accent4" w:themeTint="BF"/>
        <w:right w:val="single" w:sz="8" w:space="0" w:color="18C2D4" w:themeColor="accent4" w:themeTint="BF"/>
        <w:insideH w:val="single" w:sz="8" w:space="0" w:color="18C2D4" w:themeColor="accent4" w:themeTint="BF"/>
      </w:tblBorders>
    </w:tblPr>
    <w:tblStylePr w:type="firstRow">
      <w:pPr>
        <w:spacing w:before="0" w:after="0" w:line="240" w:lineRule="auto"/>
      </w:pPr>
      <w:rPr>
        <w:b/>
        <w:bCs/>
        <w:color w:val="FFFFFF" w:themeColor="background1"/>
      </w:rPr>
      <w:tblPr/>
      <w:tcPr>
        <w:tcBorders>
          <w:top w:val="single" w:sz="8" w:space="0" w:color="18C2D4" w:themeColor="accent4" w:themeTint="BF"/>
          <w:left w:val="single" w:sz="8" w:space="0" w:color="18C2D4" w:themeColor="accent4" w:themeTint="BF"/>
          <w:bottom w:val="single" w:sz="8" w:space="0" w:color="18C2D4" w:themeColor="accent4" w:themeTint="BF"/>
          <w:right w:val="single" w:sz="8" w:space="0" w:color="18C2D4" w:themeColor="accent4" w:themeTint="BF"/>
          <w:insideH w:val="nil"/>
          <w:insideV w:val="nil"/>
        </w:tcBorders>
        <w:shd w:val="clear" w:color="auto" w:fill="0F7883" w:themeFill="accent4"/>
      </w:tcPr>
    </w:tblStylePr>
    <w:tblStylePr w:type="lastRow">
      <w:pPr>
        <w:spacing w:before="0" w:after="0" w:line="240" w:lineRule="auto"/>
      </w:pPr>
      <w:rPr>
        <w:b/>
        <w:bCs/>
      </w:rPr>
      <w:tblPr/>
      <w:tcPr>
        <w:tcBorders>
          <w:top w:val="double" w:sz="6" w:space="0" w:color="18C2D4" w:themeColor="accent4" w:themeTint="BF"/>
          <w:left w:val="single" w:sz="8" w:space="0" w:color="18C2D4" w:themeColor="accent4" w:themeTint="BF"/>
          <w:bottom w:val="single" w:sz="8" w:space="0" w:color="18C2D4" w:themeColor="accent4" w:themeTint="BF"/>
          <w:right w:val="single" w:sz="8" w:space="0" w:color="18C2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AEEEF5" w:themeFill="accent4" w:themeFillTint="3F"/>
      </w:tcPr>
    </w:tblStylePr>
    <w:tblStylePr w:type="band1Horz">
      <w:tblPr/>
      <w:tcPr>
        <w:tcBorders>
          <w:insideH w:val="nil"/>
          <w:insideV w:val="nil"/>
        </w:tcBorders>
        <w:shd w:val="clear" w:color="auto" w:fill="AEEE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69D5F" w:themeColor="accent5" w:themeTint="BF"/>
        <w:left w:val="single" w:sz="8" w:space="0" w:color="F69D5F" w:themeColor="accent5" w:themeTint="BF"/>
        <w:bottom w:val="single" w:sz="8" w:space="0" w:color="F69D5F" w:themeColor="accent5" w:themeTint="BF"/>
        <w:right w:val="single" w:sz="8" w:space="0" w:color="F69D5F" w:themeColor="accent5" w:themeTint="BF"/>
        <w:insideH w:val="single" w:sz="8" w:space="0" w:color="F69D5F" w:themeColor="accent5" w:themeTint="BF"/>
      </w:tblBorders>
    </w:tblPr>
    <w:tblStylePr w:type="firstRow">
      <w:pPr>
        <w:spacing w:before="0" w:after="0" w:line="240" w:lineRule="auto"/>
      </w:pPr>
      <w:rPr>
        <w:b/>
        <w:bCs/>
        <w:color w:val="FFFFFF" w:themeColor="background1"/>
      </w:rPr>
      <w:tblPr/>
      <w:tcPr>
        <w:tcBorders>
          <w:top w:val="single" w:sz="8" w:space="0" w:color="F69D5F" w:themeColor="accent5" w:themeTint="BF"/>
          <w:left w:val="single" w:sz="8" w:space="0" w:color="F69D5F" w:themeColor="accent5" w:themeTint="BF"/>
          <w:bottom w:val="single" w:sz="8" w:space="0" w:color="F69D5F" w:themeColor="accent5" w:themeTint="BF"/>
          <w:right w:val="single" w:sz="8" w:space="0" w:color="F69D5F" w:themeColor="accent5" w:themeTint="BF"/>
          <w:insideH w:val="nil"/>
          <w:insideV w:val="nil"/>
        </w:tcBorders>
        <w:shd w:val="clear" w:color="auto" w:fill="F47D2A" w:themeFill="accent5"/>
      </w:tcPr>
    </w:tblStylePr>
    <w:tblStylePr w:type="lastRow">
      <w:pPr>
        <w:spacing w:before="0" w:after="0" w:line="240" w:lineRule="auto"/>
      </w:pPr>
      <w:rPr>
        <w:b/>
        <w:bCs/>
      </w:rPr>
      <w:tblPr/>
      <w:tcPr>
        <w:tcBorders>
          <w:top w:val="double" w:sz="6" w:space="0" w:color="F69D5F" w:themeColor="accent5" w:themeTint="BF"/>
          <w:left w:val="single" w:sz="8" w:space="0" w:color="F69D5F" w:themeColor="accent5" w:themeTint="BF"/>
          <w:bottom w:val="single" w:sz="8" w:space="0" w:color="F69D5F" w:themeColor="accent5" w:themeTint="BF"/>
          <w:right w:val="single" w:sz="8" w:space="0" w:color="F69D5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ECA" w:themeFill="accent5" w:themeFillTint="3F"/>
      </w:tcPr>
    </w:tblStylePr>
    <w:tblStylePr w:type="band1Horz">
      <w:tblPr/>
      <w:tcPr>
        <w:tcBorders>
          <w:insideH w:val="nil"/>
          <w:insideV w:val="nil"/>
        </w:tcBorders>
        <w:shd w:val="clear" w:color="auto" w:fill="FCDEC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8" w:space="0" w:color="F07788" w:themeColor="accent6" w:themeTint="BF"/>
        <w:left w:val="single" w:sz="8" w:space="0" w:color="F07788" w:themeColor="accent6" w:themeTint="BF"/>
        <w:bottom w:val="single" w:sz="8" w:space="0" w:color="F07788" w:themeColor="accent6" w:themeTint="BF"/>
        <w:right w:val="single" w:sz="8" w:space="0" w:color="F07788" w:themeColor="accent6" w:themeTint="BF"/>
        <w:insideH w:val="single" w:sz="8" w:space="0" w:color="F07788" w:themeColor="accent6" w:themeTint="BF"/>
      </w:tblBorders>
    </w:tblPr>
    <w:tblStylePr w:type="firstRow">
      <w:pPr>
        <w:spacing w:before="0" w:after="0" w:line="240" w:lineRule="auto"/>
      </w:pPr>
      <w:rPr>
        <w:b/>
        <w:bCs/>
        <w:color w:val="FFFFFF" w:themeColor="background1"/>
      </w:rPr>
      <w:tblPr/>
      <w:tcPr>
        <w:tcBorders>
          <w:top w:val="single" w:sz="8" w:space="0" w:color="F07788" w:themeColor="accent6" w:themeTint="BF"/>
          <w:left w:val="single" w:sz="8" w:space="0" w:color="F07788" w:themeColor="accent6" w:themeTint="BF"/>
          <w:bottom w:val="single" w:sz="8" w:space="0" w:color="F07788" w:themeColor="accent6" w:themeTint="BF"/>
          <w:right w:val="single" w:sz="8" w:space="0" w:color="F07788" w:themeColor="accent6" w:themeTint="BF"/>
          <w:insideH w:val="nil"/>
          <w:insideV w:val="nil"/>
        </w:tcBorders>
        <w:shd w:val="clear" w:color="auto" w:fill="EC4B62" w:themeFill="accent6"/>
      </w:tcPr>
    </w:tblStylePr>
    <w:tblStylePr w:type="lastRow">
      <w:pPr>
        <w:spacing w:before="0" w:after="0" w:line="240" w:lineRule="auto"/>
      </w:pPr>
      <w:rPr>
        <w:b/>
        <w:bCs/>
      </w:rPr>
      <w:tblPr/>
      <w:tcPr>
        <w:tcBorders>
          <w:top w:val="double" w:sz="6" w:space="0" w:color="F07788" w:themeColor="accent6" w:themeTint="BF"/>
          <w:left w:val="single" w:sz="8" w:space="0" w:color="F07788" w:themeColor="accent6" w:themeTint="BF"/>
          <w:bottom w:val="single" w:sz="8" w:space="0" w:color="F07788" w:themeColor="accent6" w:themeTint="BF"/>
          <w:right w:val="single" w:sz="8" w:space="0" w:color="F0778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2D7" w:themeFill="accent6" w:themeFillTint="3F"/>
      </w:tcPr>
    </w:tblStylePr>
    <w:tblStylePr w:type="band1Horz">
      <w:tblPr/>
      <w:tcPr>
        <w:tcBorders>
          <w:insideH w:val="nil"/>
          <w:insideV w:val="nil"/>
        </w:tcBorders>
        <w:shd w:val="clear" w:color="auto" w:fill="FAD2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7A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7A7" w:themeFill="accent1"/>
      </w:tcPr>
    </w:tblStylePr>
    <w:tblStylePr w:type="lastCol">
      <w:rPr>
        <w:b/>
        <w:bCs/>
        <w:color w:val="FFFFFF" w:themeColor="background1"/>
      </w:rPr>
      <w:tblPr/>
      <w:tcPr>
        <w:tcBorders>
          <w:left w:val="nil"/>
          <w:right w:val="nil"/>
          <w:insideH w:val="nil"/>
          <w:insideV w:val="nil"/>
        </w:tcBorders>
        <w:shd w:val="clear" w:color="auto" w:fill="0097A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DAD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DADD" w:themeFill="accent2"/>
      </w:tcPr>
    </w:tblStylePr>
    <w:tblStylePr w:type="lastCol">
      <w:rPr>
        <w:b/>
        <w:bCs/>
        <w:color w:val="FFFFFF" w:themeColor="background1"/>
      </w:rPr>
      <w:tblPr/>
      <w:tcPr>
        <w:tcBorders>
          <w:left w:val="nil"/>
          <w:right w:val="nil"/>
          <w:insideH w:val="nil"/>
          <w:insideV w:val="nil"/>
        </w:tcBorders>
        <w:shd w:val="clear" w:color="auto" w:fill="9EDAD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D3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DDD3A" w:themeFill="accent3"/>
      </w:tcPr>
    </w:tblStylePr>
    <w:tblStylePr w:type="lastCol">
      <w:rPr>
        <w:b/>
        <w:bCs/>
        <w:color w:val="FFFFFF" w:themeColor="background1"/>
      </w:rPr>
      <w:tblPr/>
      <w:tcPr>
        <w:tcBorders>
          <w:left w:val="nil"/>
          <w:right w:val="nil"/>
          <w:insideH w:val="nil"/>
          <w:insideV w:val="nil"/>
        </w:tcBorders>
        <w:shd w:val="clear" w:color="auto" w:fill="FDDD3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78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7883" w:themeFill="accent4"/>
      </w:tcPr>
    </w:tblStylePr>
    <w:tblStylePr w:type="lastCol">
      <w:rPr>
        <w:b/>
        <w:bCs/>
        <w:color w:val="FFFFFF" w:themeColor="background1"/>
      </w:rPr>
      <w:tblPr/>
      <w:tcPr>
        <w:tcBorders>
          <w:left w:val="nil"/>
          <w:right w:val="nil"/>
          <w:insideH w:val="nil"/>
          <w:insideV w:val="nil"/>
        </w:tcBorders>
        <w:shd w:val="clear" w:color="auto" w:fill="0F78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7D2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7D2A" w:themeFill="accent5"/>
      </w:tcPr>
    </w:tblStylePr>
    <w:tblStylePr w:type="lastCol">
      <w:rPr>
        <w:b/>
        <w:bCs/>
        <w:color w:val="FFFFFF" w:themeColor="background1"/>
      </w:rPr>
      <w:tblPr/>
      <w:tcPr>
        <w:tcBorders>
          <w:left w:val="nil"/>
          <w:right w:val="nil"/>
          <w:insideH w:val="nil"/>
          <w:insideV w:val="nil"/>
        </w:tcBorders>
        <w:shd w:val="clear" w:color="auto" w:fill="F47D2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71FF2"/>
    <w:pPr>
      <w:spacing w:after="0" w:line="240" w:lineRule="auto"/>
      <w:jc w:val="both"/>
    </w:pPr>
    <w:rPr>
      <w:rFonts w:ascii="Century Schoolbook" w:hAnsi="Century Schoolbook" w:cs="Verdana"/>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4B6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4B62" w:themeFill="accent6"/>
      </w:tcPr>
    </w:tblStylePr>
    <w:tblStylePr w:type="lastCol">
      <w:rPr>
        <w:b/>
        <w:bCs/>
        <w:color w:val="FFFFFF" w:themeColor="background1"/>
      </w:rPr>
      <w:tblPr/>
      <w:tcPr>
        <w:tcBorders>
          <w:left w:val="nil"/>
          <w:right w:val="nil"/>
          <w:insideH w:val="nil"/>
          <w:insideV w:val="nil"/>
        </w:tcBorders>
        <w:shd w:val="clear" w:color="auto" w:fill="EC4B6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1">
    <w:name w:val="Omtal1"/>
    <w:basedOn w:val="DefaultParagraphFont"/>
    <w:uiPriority w:val="99"/>
    <w:semiHidden/>
    <w:unhideWhenUsed/>
    <w:rsid w:val="00E71FF2"/>
    <w:rPr>
      <w:color w:val="2B579A"/>
      <w:shd w:val="clear" w:color="auto" w:fill="E1DFDD"/>
      <w:lang w:val="da-DK"/>
    </w:rPr>
  </w:style>
  <w:style w:type="paragraph" w:styleId="MessageHeader">
    <w:name w:val="Message Header"/>
    <w:basedOn w:val="Normal"/>
    <w:link w:val="MessageHeaderChar"/>
    <w:uiPriority w:val="99"/>
    <w:semiHidden/>
    <w:rsid w:val="00E71FF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both"/>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71FF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1FF2"/>
    <w:pPr>
      <w:spacing w:line="312" w:lineRule="auto"/>
      <w:jc w:val="both"/>
    </w:pPr>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E71FF2"/>
    <w:pPr>
      <w:spacing w:line="240" w:lineRule="auto"/>
      <w:jc w:val="both"/>
    </w:pPr>
    <w:rPr>
      <w:rFonts w:ascii="Century Schoolbook" w:hAnsi="Century Schoolbook" w:cs="Verdana"/>
      <w:szCs w:val="20"/>
    </w:rPr>
  </w:style>
  <w:style w:type="character" w:customStyle="1" w:styleId="NoteHeadingChar">
    <w:name w:val="Note Heading Char"/>
    <w:basedOn w:val="DefaultParagraphFont"/>
    <w:link w:val="NoteHeading"/>
    <w:uiPriority w:val="99"/>
    <w:semiHidden/>
    <w:rsid w:val="00E71FF2"/>
    <w:rPr>
      <w:rFonts w:ascii="Century Schoolbook" w:hAnsi="Century Schoolbook" w:cs="Verdana"/>
      <w:sz w:val="20"/>
      <w:szCs w:val="20"/>
    </w:rPr>
  </w:style>
  <w:style w:type="table" w:styleId="PlainTable1">
    <w:name w:val="Plain Table 1"/>
    <w:basedOn w:val="TableNormal"/>
    <w:uiPriority w:val="41"/>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1FF2"/>
    <w:pPr>
      <w:spacing w:after="0" w:line="240" w:lineRule="auto"/>
      <w:jc w:val="both"/>
    </w:pPr>
    <w:rPr>
      <w:rFonts w:ascii="Century Schoolbook" w:hAnsi="Century Schoolbook" w:cs="Verdana"/>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1FF2"/>
    <w:pPr>
      <w:spacing w:after="0" w:line="240" w:lineRule="auto"/>
      <w:jc w:val="both"/>
    </w:pPr>
    <w:rPr>
      <w:rFonts w:ascii="Century Schoolbook" w:hAnsi="Century Schoolbook" w:cs="Verdana"/>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1FF2"/>
    <w:pPr>
      <w:spacing w:after="0" w:line="240" w:lineRule="auto"/>
      <w:jc w:val="both"/>
    </w:pPr>
    <w:rPr>
      <w:rFonts w:ascii="Century Schoolbook" w:hAnsi="Century Schoolbook" w:cs="Verdana"/>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71FF2"/>
    <w:pPr>
      <w:spacing w:after="0" w:line="240" w:lineRule="auto"/>
      <w:jc w:val="both"/>
    </w:pPr>
    <w:rPr>
      <w:rFonts w:ascii="Century Schoolbook" w:hAnsi="Century Schoolbook" w:cs="Verdana"/>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E71FF2"/>
    <w:pPr>
      <w:spacing w:line="240" w:lineRule="auto"/>
      <w:jc w:val="both"/>
    </w:pPr>
    <w:rPr>
      <w:rFonts w:ascii="Consolas" w:hAnsi="Consolas" w:cs="Verdana"/>
      <w:sz w:val="21"/>
      <w:szCs w:val="21"/>
    </w:rPr>
  </w:style>
  <w:style w:type="character" w:customStyle="1" w:styleId="PlainTextChar">
    <w:name w:val="Plain Text Char"/>
    <w:basedOn w:val="DefaultParagraphFont"/>
    <w:link w:val="PlainText"/>
    <w:uiPriority w:val="99"/>
    <w:semiHidden/>
    <w:rsid w:val="00E71FF2"/>
    <w:rPr>
      <w:rFonts w:ascii="Consolas" w:hAnsi="Consolas" w:cs="Verdana"/>
      <w:sz w:val="21"/>
      <w:szCs w:val="21"/>
    </w:rPr>
  </w:style>
  <w:style w:type="paragraph" w:styleId="Salutation">
    <w:name w:val="Salutation"/>
    <w:basedOn w:val="Normal"/>
    <w:next w:val="Normal"/>
    <w:link w:val="SalutationChar"/>
    <w:uiPriority w:val="99"/>
    <w:semiHidden/>
    <w:rsid w:val="00E71FF2"/>
    <w:pPr>
      <w:spacing w:line="312" w:lineRule="auto"/>
      <w:jc w:val="both"/>
    </w:pPr>
    <w:rPr>
      <w:rFonts w:ascii="Century Schoolbook" w:hAnsi="Century Schoolbook" w:cs="Verdana"/>
      <w:szCs w:val="20"/>
    </w:rPr>
  </w:style>
  <w:style w:type="character" w:customStyle="1" w:styleId="SalutationChar">
    <w:name w:val="Salutation Char"/>
    <w:basedOn w:val="DefaultParagraphFont"/>
    <w:link w:val="Salutation"/>
    <w:uiPriority w:val="99"/>
    <w:semiHidden/>
    <w:rsid w:val="00E71FF2"/>
    <w:rPr>
      <w:rFonts w:ascii="Century Schoolbook" w:hAnsi="Century Schoolbook" w:cs="Verdana"/>
      <w:sz w:val="20"/>
      <w:szCs w:val="20"/>
    </w:rPr>
  </w:style>
  <w:style w:type="character" w:customStyle="1" w:styleId="Smartlink1">
    <w:name w:val="Smartlink1"/>
    <w:basedOn w:val="DefaultParagraphFont"/>
    <w:uiPriority w:val="99"/>
    <w:semiHidden/>
    <w:unhideWhenUsed/>
    <w:rsid w:val="00E71FF2"/>
    <w:rPr>
      <w:u w:val="dotted"/>
      <w:lang w:val="da-DK"/>
    </w:rPr>
  </w:style>
  <w:style w:type="table" w:styleId="Table3Deffects1">
    <w:name w:val="Table 3D effects 1"/>
    <w:basedOn w:val="TableNormal"/>
    <w:uiPriority w:val="99"/>
    <w:semiHidden/>
    <w:unhideWhenUsed/>
    <w:rsid w:val="00E71FF2"/>
    <w:pPr>
      <w:spacing w:after="0" w:line="312" w:lineRule="auto"/>
      <w:jc w:val="both"/>
    </w:pPr>
    <w:rPr>
      <w:rFonts w:ascii="Century Schoolbook" w:hAnsi="Century Schoolbook" w:cs="Verdana"/>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71FF2"/>
    <w:pPr>
      <w:spacing w:after="0" w:line="312" w:lineRule="auto"/>
      <w:jc w:val="both"/>
    </w:pPr>
    <w:rPr>
      <w:rFonts w:ascii="Century Schoolbook" w:hAnsi="Century Schoolbook" w:cs="Verdana"/>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71FF2"/>
    <w:pPr>
      <w:spacing w:after="0" w:line="312" w:lineRule="auto"/>
      <w:jc w:val="both"/>
    </w:pPr>
    <w:rPr>
      <w:rFonts w:ascii="Century Schoolbook" w:hAnsi="Century Schoolbook" w:cs="Verdana"/>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71FF2"/>
    <w:pPr>
      <w:spacing w:after="0" w:line="312" w:lineRule="auto"/>
      <w:jc w:val="both"/>
    </w:pPr>
    <w:rPr>
      <w:rFonts w:ascii="Century Schoolbook" w:hAnsi="Century Schoolbook" w:cs="Verdana"/>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71FF2"/>
    <w:pPr>
      <w:spacing w:after="0" w:line="312" w:lineRule="auto"/>
      <w:jc w:val="both"/>
    </w:pPr>
    <w:rPr>
      <w:rFonts w:ascii="Century Schoolbook" w:hAnsi="Century Schoolbook" w:cs="Verdana"/>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71FF2"/>
    <w:pPr>
      <w:spacing w:after="0" w:line="312" w:lineRule="auto"/>
      <w:jc w:val="both"/>
    </w:pPr>
    <w:rPr>
      <w:rFonts w:ascii="Century Schoolbook" w:hAnsi="Century Schoolbook" w:cs="Verdana"/>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71FF2"/>
    <w:pPr>
      <w:spacing w:after="0" w:line="312" w:lineRule="auto"/>
      <w:jc w:val="both"/>
    </w:pPr>
    <w:rPr>
      <w:rFonts w:ascii="Century Schoolbook" w:hAnsi="Century Schoolbook" w:cs="Verdana"/>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71FF2"/>
    <w:pPr>
      <w:spacing w:after="0" w:line="312" w:lineRule="auto"/>
      <w:jc w:val="both"/>
    </w:pPr>
    <w:rPr>
      <w:rFonts w:ascii="Century Schoolbook" w:hAnsi="Century Schoolbook" w:cs="Verdana"/>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71FF2"/>
    <w:pPr>
      <w:spacing w:after="0" w:line="312" w:lineRule="auto"/>
      <w:jc w:val="both"/>
    </w:pPr>
    <w:rPr>
      <w:rFonts w:ascii="Century Schoolbook" w:hAnsi="Century Schoolbook" w:cs="Verdana"/>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71FF2"/>
    <w:pPr>
      <w:spacing w:after="0" w:line="312" w:lineRule="auto"/>
      <w:jc w:val="both"/>
    </w:pPr>
    <w:rPr>
      <w:rFonts w:ascii="Century Schoolbook" w:hAnsi="Century Schoolbook" w:cs="Verdana"/>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71FF2"/>
    <w:pPr>
      <w:spacing w:after="0" w:line="312" w:lineRule="auto"/>
      <w:jc w:val="both"/>
    </w:pPr>
    <w:rPr>
      <w:rFonts w:ascii="Century Schoolbook" w:hAnsi="Century Schoolbook" w:cs="Verdana"/>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71FF2"/>
    <w:pPr>
      <w:spacing w:after="0" w:line="312" w:lineRule="auto"/>
      <w:jc w:val="both"/>
    </w:pPr>
    <w:rPr>
      <w:rFonts w:ascii="Century Schoolbook" w:hAnsi="Century Schoolbook" w:cs="Verdana"/>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71FF2"/>
    <w:pPr>
      <w:spacing w:after="0" w:line="312" w:lineRule="auto"/>
      <w:jc w:val="both"/>
    </w:pPr>
    <w:rPr>
      <w:rFonts w:ascii="Century Schoolbook" w:hAnsi="Century Schoolbook" w:cs="Verdana"/>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71FF2"/>
    <w:pPr>
      <w:spacing w:after="0" w:line="312" w:lineRule="auto"/>
      <w:jc w:val="both"/>
    </w:pPr>
    <w:rPr>
      <w:rFonts w:ascii="Century Schoolbook" w:hAnsi="Century Schoolbook" w:cs="Verdana"/>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71FF2"/>
    <w:pPr>
      <w:spacing w:after="0" w:line="312" w:lineRule="auto"/>
      <w:jc w:val="both"/>
    </w:pPr>
    <w:rPr>
      <w:rFonts w:ascii="Century Schoolbook" w:hAnsi="Century Schoolbook" w:cs="Verdana"/>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71FF2"/>
    <w:pPr>
      <w:spacing w:after="0" w:line="312" w:lineRule="auto"/>
      <w:jc w:val="both"/>
    </w:pPr>
    <w:rPr>
      <w:rFonts w:ascii="Century Schoolbook" w:hAnsi="Century Schoolbook" w:cs="Verdana"/>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1FF2"/>
    <w:pPr>
      <w:spacing w:after="0" w:line="312" w:lineRule="auto"/>
      <w:jc w:val="both"/>
    </w:pPr>
    <w:rPr>
      <w:rFonts w:ascii="Century Schoolbook" w:hAnsi="Century Schoolbook" w:cs="Verdana"/>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71FF2"/>
    <w:pPr>
      <w:spacing w:after="0" w:line="312" w:lineRule="auto"/>
      <w:jc w:val="both"/>
    </w:pPr>
    <w:rPr>
      <w:rFonts w:ascii="Century Schoolbook" w:hAnsi="Century Schoolbook" w:cs="Verdana"/>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71FF2"/>
    <w:pPr>
      <w:spacing w:after="0" w:line="312" w:lineRule="auto"/>
      <w:jc w:val="both"/>
    </w:pPr>
    <w:rPr>
      <w:rFonts w:ascii="Century Schoolbook" w:hAnsi="Century Schoolbook" w:cs="Verdana"/>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71FF2"/>
    <w:pPr>
      <w:spacing w:after="0" w:line="312" w:lineRule="auto"/>
      <w:jc w:val="both"/>
    </w:pPr>
    <w:rPr>
      <w:rFonts w:ascii="Century Schoolbook" w:hAnsi="Century Schoolbook" w:cs="Verdana"/>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71FF2"/>
    <w:pPr>
      <w:spacing w:after="0" w:line="312" w:lineRule="auto"/>
      <w:jc w:val="both"/>
    </w:pPr>
    <w:rPr>
      <w:rFonts w:ascii="Century Schoolbook" w:hAnsi="Century Schoolbook" w:cs="Verdana"/>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71FF2"/>
    <w:pPr>
      <w:spacing w:after="0" w:line="312" w:lineRule="auto"/>
      <w:jc w:val="both"/>
    </w:pPr>
    <w:rPr>
      <w:rFonts w:ascii="Century Schoolbook" w:hAnsi="Century Schoolbook" w:cs="Verdana"/>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71FF2"/>
    <w:pPr>
      <w:spacing w:after="0" w:line="312" w:lineRule="auto"/>
      <w:jc w:val="both"/>
    </w:pPr>
    <w:rPr>
      <w:rFonts w:ascii="Century Schoolbook" w:hAnsi="Century Schoolbook" w:cs="Verdana"/>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71FF2"/>
    <w:pPr>
      <w:spacing w:after="0" w:line="312" w:lineRule="auto"/>
      <w:jc w:val="both"/>
    </w:pPr>
    <w:rPr>
      <w:rFonts w:ascii="Century Schoolbook" w:hAnsi="Century Schoolbook"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71FF2"/>
    <w:pPr>
      <w:spacing w:after="0" w:line="312" w:lineRule="auto"/>
      <w:jc w:val="both"/>
    </w:pPr>
    <w:rPr>
      <w:rFonts w:ascii="Century Schoolbook" w:hAnsi="Century Schoolbook" w:cs="Verdana"/>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71FF2"/>
    <w:pPr>
      <w:spacing w:after="0" w:line="312" w:lineRule="auto"/>
      <w:jc w:val="both"/>
    </w:pPr>
    <w:rPr>
      <w:rFonts w:ascii="Century Schoolbook" w:hAnsi="Century Schoolbook" w:cs="Verdana"/>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71FF2"/>
    <w:pPr>
      <w:spacing w:after="0" w:line="312" w:lineRule="auto"/>
      <w:jc w:val="both"/>
    </w:pPr>
    <w:rPr>
      <w:rFonts w:ascii="Century Schoolbook" w:hAnsi="Century Schoolbook" w:cs="Verdana"/>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leNormal"/>
    <w:uiPriority w:val="99"/>
    <w:rsid w:val="00E71FF2"/>
    <w:pPr>
      <w:spacing w:after="0" w:line="240" w:lineRule="auto"/>
    </w:pPr>
    <w:rPr>
      <w:rFonts w:ascii="Century Schoolbook" w:hAnsi="Century Schoolbook" w:cs="Verdana"/>
      <w:sz w:val="20"/>
      <w:szCs w:val="20"/>
    </w:rPr>
    <w:tblPr>
      <w:tblBorders>
        <w:top w:val="single" w:sz="4" w:space="0" w:color="F3F3EF" w:themeColor="background2"/>
        <w:left w:val="single" w:sz="4" w:space="0" w:color="F3F3EF" w:themeColor="background2"/>
        <w:bottom w:val="single" w:sz="4" w:space="0" w:color="F3F3EF" w:themeColor="background2"/>
        <w:right w:val="single" w:sz="4" w:space="0" w:color="F3F3EF" w:themeColor="background2"/>
        <w:insideH w:val="single" w:sz="4" w:space="0" w:color="F3F3EF" w:themeColor="background2"/>
        <w:insideV w:val="single" w:sz="4" w:space="0" w:color="F3F3EF" w:themeColor="background2"/>
      </w:tblBorders>
      <w:tblCellMar>
        <w:top w:w="85" w:type="dxa"/>
        <w:left w:w="85" w:type="dxa"/>
        <w:bottom w:w="85" w:type="dxa"/>
        <w:right w:w="85"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F3F3EF" w:themeFill="background2"/>
      </w:tcPr>
    </w:tblStylePr>
  </w:style>
  <w:style w:type="table" w:customStyle="1" w:styleId="Kammeradvokaten-BeigeTabel">
    <w:name w:val="Kammeradvokaten - Beige Tabel"/>
    <w:basedOn w:val="TableNormal"/>
    <w:uiPriority w:val="99"/>
    <w:rsid w:val="00E71FF2"/>
    <w:pPr>
      <w:spacing w:after="0" w:line="240" w:lineRule="auto"/>
    </w:pPr>
    <w:rPr>
      <w:rFonts w:ascii="Century Schoolbook" w:hAnsi="Century Schoolbook" w:cs="Verdana"/>
      <w:sz w:val="20"/>
      <w:szCs w:val="20"/>
    </w:rPr>
    <w:tblPr>
      <w:tblInd w:w="0" w:type="nil"/>
      <w:tblBorders>
        <w:top w:val="single" w:sz="4" w:space="0" w:color="0097A7" w:themeColor="accent1"/>
        <w:left w:val="single" w:sz="4" w:space="0" w:color="0097A7" w:themeColor="accent1"/>
        <w:bottom w:val="single" w:sz="4" w:space="0" w:color="0097A7" w:themeColor="accent1"/>
        <w:right w:val="single" w:sz="4" w:space="0" w:color="0097A7" w:themeColor="accent1"/>
        <w:insideH w:val="single" w:sz="4" w:space="0" w:color="0097A7" w:themeColor="accent1"/>
        <w:insideV w:val="single" w:sz="4" w:space="0" w:color="0097A7" w:themeColor="accent1"/>
      </w:tblBorders>
      <w:tblCellMar>
        <w:top w:w="85" w:type="dxa"/>
        <w:left w:w="85" w:type="dxa"/>
        <w:bottom w:w="85" w:type="dxa"/>
        <w:right w:w="85"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E71FF2"/>
    <w:pPr>
      <w:spacing w:before="230" w:line="312" w:lineRule="auto"/>
      <w:ind w:right="493"/>
      <w:jc w:val="right"/>
    </w:pPr>
    <w:rPr>
      <w:rFonts w:cs="Verdana"/>
      <w:b/>
      <w:caps/>
      <w:color w:val="00373E" w:themeColor="text2" w:themeShade="BF"/>
      <w:spacing w:val="56"/>
      <w:szCs w:val="160"/>
    </w:rPr>
  </w:style>
  <w:style w:type="paragraph" w:customStyle="1" w:styleId="Pausetegn">
    <w:name w:val="Pausetegn"/>
    <w:basedOn w:val="Normal"/>
    <w:next w:val="Normal"/>
    <w:uiPriority w:val="18"/>
    <w:rsid w:val="00E71FF2"/>
    <w:pPr>
      <w:pBdr>
        <w:bottom w:val="single" w:sz="4" w:space="1" w:color="auto"/>
      </w:pBdr>
      <w:spacing w:line="312" w:lineRule="auto"/>
      <w:ind w:right="6407"/>
      <w:jc w:val="both"/>
    </w:pPr>
    <w:rPr>
      <w:rFonts w:ascii="Century Schoolbook" w:hAnsi="Century Schoolbook" w:cs="Verdana"/>
      <w:szCs w:val="20"/>
    </w:rPr>
  </w:style>
  <w:style w:type="paragraph" w:customStyle="1" w:styleId="Header-line">
    <w:name w:val="Header - line"/>
    <w:basedOn w:val="Header"/>
    <w:uiPriority w:val="9"/>
    <w:semiHidden/>
    <w:rsid w:val="00E71FF2"/>
    <w:pPr>
      <w:pBdr>
        <w:bottom w:val="single" w:sz="4" w:space="1" w:color="auto"/>
      </w:pBdr>
      <w:spacing w:line="200" w:lineRule="exact"/>
      <w:ind w:left="-567" w:right="-567"/>
      <w:contextualSpacing/>
      <w:jc w:val="both"/>
    </w:pPr>
    <w:rPr>
      <w:rFonts w:cs="Verdana"/>
      <w:sz w:val="16"/>
      <w:szCs w:val="20"/>
    </w:rPr>
  </w:style>
  <w:style w:type="paragraph" w:customStyle="1" w:styleId="Template-Docinfo-Nospace">
    <w:name w:val="Template - Doc info - No space"/>
    <w:basedOn w:val="Template-Docinfo"/>
    <w:uiPriority w:val="9"/>
    <w:semiHidden/>
    <w:rsid w:val="00E71FF2"/>
    <w:pPr>
      <w:spacing w:after="0"/>
    </w:pPr>
  </w:style>
  <w:style w:type="paragraph" w:customStyle="1" w:styleId="Footer-Line">
    <w:name w:val="Footer - Line"/>
    <w:basedOn w:val="Footer"/>
    <w:uiPriority w:val="9"/>
    <w:semiHidden/>
    <w:rsid w:val="00E71FF2"/>
    <w:pPr>
      <w:pBdr>
        <w:top w:val="single" w:sz="4" w:space="1" w:color="auto"/>
      </w:pBdr>
      <w:spacing w:after="400" w:line="240" w:lineRule="atLeast"/>
      <w:ind w:left="-567" w:right="-567"/>
      <w:jc w:val="both"/>
    </w:pPr>
    <w:rPr>
      <w:rFonts w:ascii="Century Schoolbook" w:hAnsi="Century Schoolbook" w:cs="Verdana"/>
      <w:sz w:val="16"/>
      <w:szCs w:val="20"/>
    </w:rPr>
  </w:style>
  <w:style w:type="paragraph" w:customStyle="1" w:styleId="TemplateAddress-Line">
    <w:name w:val="Template Address - Line"/>
    <w:basedOn w:val="Footer-Line"/>
    <w:uiPriority w:val="8"/>
    <w:semiHidden/>
    <w:rsid w:val="00E71FF2"/>
    <w:pPr>
      <w:pBdr>
        <w:top w:val="none" w:sz="0" w:space="0" w:color="auto"/>
        <w:bottom w:val="single" w:sz="4" w:space="1" w:color="auto"/>
      </w:pBdr>
      <w:spacing w:after="0"/>
    </w:pPr>
  </w:style>
  <w:style w:type="paragraph" w:customStyle="1" w:styleId="Afsnitmafstand">
    <w:name w:val="Afsnit (m. afstand)"/>
    <w:basedOn w:val="Normal"/>
    <w:uiPriority w:val="1"/>
    <w:qFormat/>
    <w:rsid w:val="00E71FF2"/>
    <w:pPr>
      <w:tabs>
        <w:tab w:val="left" w:pos="992"/>
      </w:tabs>
      <w:spacing w:after="300" w:line="312" w:lineRule="auto"/>
      <w:jc w:val="both"/>
    </w:pPr>
    <w:rPr>
      <w:rFonts w:ascii="Century Schoolbook" w:hAnsi="Century Schoolbook" w:cs="Verdana"/>
      <w:szCs w:val="20"/>
    </w:rPr>
  </w:style>
  <w:style w:type="paragraph" w:customStyle="1" w:styleId="Afsnitmafstandindryk">
    <w:name w:val="Afsnit (m. afstand+indryk)"/>
    <w:basedOn w:val="Afsnitmafstand"/>
    <w:uiPriority w:val="1"/>
    <w:qFormat/>
    <w:rsid w:val="00E71FF2"/>
    <w:pPr>
      <w:ind w:left="992"/>
    </w:pPr>
  </w:style>
  <w:style w:type="paragraph" w:styleId="Revision">
    <w:name w:val="Revision"/>
    <w:hidden/>
    <w:uiPriority w:val="99"/>
    <w:semiHidden/>
    <w:rsid w:val="00E71FF2"/>
    <w:pPr>
      <w:spacing w:after="0" w:line="240" w:lineRule="auto"/>
    </w:pPr>
    <w:rPr>
      <w:rFonts w:ascii="Century Schoolbook" w:hAnsi="Century Schoolbook" w:cs="Verdana"/>
      <w:sz w:val="20"/>
      <w:szCs w:val="20"/>
    </w:rPr>
  </w:style>
  <w:style w:type="character" w:customStyle="1" w:styleId="cf01">
    <w:name w:val="cf01"/>
    <w:basedOn w:val="DefaultParagraphFont"/>
    <w:rsid w:val="00E71FF2"/>
    <w:rPr>
      <w:rFonts w:ascii="Segoe UI" w:hAnsi="Segoe UI" w:cs="Segoe UI" w:hint="default"/>
      <w:sz w:val="18"/>
      <w:szCs w:val="18"/>
      <w:shd w:val="clear" w:color="auto" w:fill="FFFF00"/>
    </w:rPr>
  </w:style>
  <w:style w:type="paragraph" w:customStyle="1" w:styleId="pf1">
    <w:name w:val="pf1"/>
    <w:basedOn w:val="Normal"/>
    <w:rsid w:val="00E71FF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f0">
    <w:name w:val="pf0"/>
    <w:basedOn w:val="Normal"/>
    <w:rsid w:val="00E71FF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Ulstomtale2">
    <w:name w:val="Uløst omtale2"/>
    <w:basedOn w:val="DefaultParagraphFont"/>
    <w:uiPriority w:val="99"/>
    <w:semiHidden/>
    <w:unhideWhenUsed/>
    <w:rsid w:val="00E71FF2"/>
    <w:rPr>
      <w:color w:val="605E5C"/>
      <w:shd w:val="clear" w:color="auto" w:fill="E1DFDD"/>
    </w:rPr>
  </w:style>
  <w:style w:type="character" w:customStyle="1" w:styleId="UnresolvedMention1">
    <w:name w:val="Unresolved Mention1"/>
    <w:basedOn w:val="DefaultParagraphFont"/>
    <w:uiPriority w:val="99"/>
    <w:semiHidden/>
    <w:unhideWhenUsed/>
    <w:rsid w:val="00E36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fm.dk/media/27419/noegletalskatalog_februar-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00187\AppData\Local\cBrain\F2\.tmp\52d02446fde145d4a932726c7e4700f1.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0553F7FB79A438888D44215B57D2A" ma:contentTypeVersion="0" ma:contentTypeDescription="Opret et nyt dokument." ma:contentTypeScope="" ma:versionID="699d8a0edb1c51aeb31c7ac7636aebc4">
  <xsd:schema xmlns:xsd="http://www.w3.org/2001/XMLSchema" xmlns:xs="http://www.w3.org/2001/XMLSchema" xmlns:p="http://schemas.microsoft.com/office/2006/metadata/properties" xmlns:ns2="53e3172e-1f92-4fdf-89b0-7b3983c2884e" targetNamespace="http://schemas.microsoft.com/office/2006/metadata/properties" ma:root="true" ma:fieldsID="87143da3beda8e0f8c68ad08a7a9e7b9" ns2:_="">
    <xsd:import namespace="53e3172e-1f92-4fdf-89b0-7b3983c2884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3172e-1f92-4fdf-89b0-7b3983c2884e"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3e3172e-1f92-4fdf-89b0-7b3983c2884e">SPX00-1505042752-134</_dlc_DocId>
    <_dlc_DocIdUrl xmlns="53e3172e-1f92-4fdf-89b0-7b3983c2884e">
      <Url>https://spx.ens.dk/ccs/_layouts/15/DocIdRedir.aspx?ID=SPX00-1505042752-134</Url>
      <Description>SPX00-1505042752-134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8E8C4-5F2F-4AFB-B8AB-9E0F8B23F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3172e-1f92-4fdf-89b0-7b3983c28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749A0-379C-47D3-A86F-502074BB6DE6}">
  <ds:schemaRefs>
    <ds:schemaRef ds:uri="http://schemas.microsoft.com/sharepoint/events"/>
  </ds:schemaRefs>
</ds:datastoreItem>
</file>

<file path=customXml/itemProps3.xml><?xml version="1.0" encoding="utf-8"?>
<ds:datastoreItem xmlns:ds="http://schemas.openxmlformats.org/officeDocument/2006/customXml" ds:itemID="{2E272FF7-3DFB-47FA-A795-5B44B33E438E}">
  <ds:schemaRefs>
    <ds:schemaRef ds:uri="http://schemas.microsoft.com/sharepoint/v3/contenttype/forms"/>
  </ds:schemaRefs>
</ds:datastoreItem>
</file>

<file path=customXml/itemProps4.xml><?xml version="1.0" encoding="utf-8"?>
<ds:datastoreItem xmlns:ds="http://schemas.openxmlformats.org/officeDocument/2006/customXml" ds:itemID="{34D25F8D-AFF7-49F7-A28B-00724420E30B}">
  <ds:schemaRefs>
    <ds:schemaRef ds:uri="http://schemas.microsoft.com/office/2006/metadata/properties"/>
    <ds:schemaRef ds:uri="http://schemas.microsoft.com/office/infopath/2007/PartnerControls"/>
    <ds:schemaRef ds:uri="53e3172e-1f92-4fdf-89b0-7b3983c2884e"/>
  </ds:schemaRefs>
</ds:datastoreItem>
</file>

<file path=customXml/itemProps5.xml><?xml version="1.0" encoding="utf-8"?>
<ds:datastoreItem xmlns:ds="http://schemas.openxmlformats.org/officeDocument/2006/customXml" ds:itemID="{C1BB8503-1D86-4C50-94DB-4202A8BC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52d02446fde145d4a932726c7e4700f1.dotx</Template>
  <TotalTime>361</TotalTime>
  <Pages>15</Pages>
  <Words>4260</Words>
  <Characters>23862</Characters>
  <Application>Microsoft Office Word</Application>
  <DocSecurity>0</DocSecurity>
  <Lines>994</Lines>
  <Paragraphs>520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www.RiisDATA.com v/Michael Riis Sørensen</Company>
  <LinksUpToDate>false</LinksUpToDate>
  <CharactersWithSpaces>27602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Mads Kjær Poulsen</dc:creator>
  <cp:lastModifiedBy>Lasse Lindved Ibsen</cp:lastModifiedBy>
  <cp:revision>73</cp:revision>
  <cp:lastPrinted>2023-11-01T09:14:00Z</cp:lastPrinted>
  <dcterms:created xsi:type="dcterms:W3CDTF">2024-01-05T09:40:00Z</dcterms:created>
  <dcterms:modified xsi:type="dcterms:W3CDTF">2024-06-26T13:14:00Z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0x0101007830553F7FB79A438888D44215B57D2A</vt:lpwstr>
  </property>
  <property fmtid="{D5CDD505-2E9C-101B-9397-08002B2CF9AE}" pid="3" name="_dlc_DocIdItemGuid">
    <vt:lpwstr>2a2c0f80-d5a9-4582-913d-1e9fbffffca1</vt:lpwstr>
  </property>
</Properties>
</file>