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D2" w:rsidRDefault="005F2AD2" w:rsidP="00371377">
      <w:pPr>
        <w:pStyle w:val="Sidehoved"/>
        <w:rPr>
          <w:i/>
          <w:color w:val="0000FF"/>
        </w:rPr>
      </w:pPr>
      <w:r>
        <w:rPr>
          <w:i/>
          <w:color w:val="0000FF"/>
        </w:rPr>
        <w:t xml:space="preserve">Ifølge Kommissionens forordning </w:t>
      </w:r>
      <w:r w:rsidR="00452989">
        <w:rPr>
          <w:i/>
          <w:color w:val="0000FF"/>
        </w:rPr>
        <w:t>nr. 601/212 af 21. juni 2012</w:t>
      </w:r>
      <w:r w:rsidR="00180F65">
        <w:rPr>
          <w:rStyle w:val="Fodnotehenvisning"/>
          <w:i/>
          <w:color w:val="0000FF"/>
        </w:rPr>
        <w:footnoteReference w:id="1"/>
      </w:r>
      <w:r w:rsidR="00180F65">
        <w:rPr>
          <w:i/>
          <w:color w:val="0000FF"/>
        </w:rPr>
        <w:t xml:space="preserve"> </w:t>
      </w:r>
      <w:r w:rsidR="00452989">
        <w:rPr>
          <w:i/>
          <w:color w:val="0000FF"/>
        </w:rPr>
        <w:t>om overvågning og rapportering af drivhusgasser skal virksomheder omfattet af EU’s CO2-kvoteordning</w:t>
      </w:r>
      <w:r w:rsidR="009F3B66">
        <w:rPr>
          <w:i/>
          <w:color w:val="0000FF"/>
        </w:rPr>
        <w:t xml:space="preserve"> supplere overvågningsplanen med</w:t>
      </w:r>
      <w:r w:rsidR="00452989">
        <w:rPr>
          <w:i/>
          <w:color w:val="0000FF"/>
        </w:rPr>
        <w:t xml:space="preserve"> intern</w:t>
      </w:r>
      <w:r w:rsidR="00561F76">
        <w:rPr>
          <w:i/>
          <w:color w:val="0000FF"/>
        </w:rPr>
        <w:t>e</w:t>
      </w:r>
      <w:r w:rsidR="00452989">
        <w:rPr>
          <w:i/>
          <w:color w:val="0000FF"/>
        </w:rPr>
        <w:t xml:space="preserve"> procedure</w:t>
      </w:r>
      <w:r w:rsidR="00561F76">
        <w:rPr>
          <w:i/>
          <w:color w:val="0000FF"/>
        </w:rPr>
        <w:t>r</w:t>
      </w:r>
      <w:r w:rsidR="00452989">
        <w:rPr>
          <w:i/>
          <w:color w:val="0000FF"/>
        </w:rPr>
        <w:t xml:space="preserve"> for styring, kontrol og datahåndtering</w:t>
      </w:r>
      <w:r w:rsidR="00180F65">
        <w:rPr>
          <w:i/>
          <w:color w:val="0000FF"/>
        </w:rPr>
        <w:t xml:space="preserve">. </w:t>
      </w:r>
      <w:r w:rsidR="00452989">
        <w:rPr>
          <w:i/>
          <w:color w:val="0000FF"/>
        </w:rPr>
        <w:t xml:space="preserve">Energistyrelsen har udarbejdet dette dokument som et modeleksempel på, hvordan </w:t>
      </w:r>
      <w:r w:rsidR="00180F65">
        <w:rPr>
          <w:i/>
          <w:color w:val="0000FF"/>
        </w:rPr>
        <w:t>de</w:t>
      </w:r>
      <w:r w:rsidR="00452989">
        <w:rPr>
          <w:i/>
          <w:color w:val="0000FF"/>
        </w:rPr>
        <w:t xml:space="preserve"> intern</w:t>
      </w:r>
      <w:r w:rsidR="00180F65">
        <w:rPr>
          <w:i/>
          <w:color w:val="0000FF"/>
        </w:rPr>
        <w:t>e</w:t>
      </w:r>
      <w:r w:rsidR="00452989">
        <w:rPr>
          <w:i/>
          <w:color w:val="0000FF"/>
        </w:rPr>
        <w:t xml:space="preserve"> procedure</w:t>
      </w:r>
      <w:r w:rsidR="001D5FD6">
        <w:rPr>
          <w:i/>
          <w:color w:val="0000FF"/>
        </w:rPr>
        <w:t>r</w:t>
      </w:r>
      <w:r w:rsidR="00452989">
        <w:rPr>
          <w:i/>
          <w:color w:val="0000FF"/>
        </w:rPr>
        <w:t xml:space="preserve"> kan se ud. </w:t>
      </w:r>
      <w:r w:rsidR="00753744">
        <w:rPr>
          <w:i/>
          <w:color w:val="0000FF"/>
        </w:rPr>
        <w:t>Det er vigtigt, at udarbejde sine egne procedurer. Dokumentet</w:t>
      </w:r>
      <w:r w:rsidR="00452989">
        <w:rPr>
          <w:i/>
          <w:color w:val="0000FF"/>
        </w:rPr>
        <w:t xml:space="preserve"> </w:t>
      </w:r>
      <w:r w:rsidR="00753744">
        <w:rPr>
          <w:i/>
          <w:color w:val="0000FF"/>
        </w:rPr>
        <w:t>kan alene tjene som</w:t>
      </w:r>
      <w:r w:rsidR="00452989">
        <w:rPr>
          <w:i/>
          <w:color w:val="0000FF"/>
        </w:rPr>
        <w:t xml:space="preserve"> inspiration for virksomhede</w:t>
      </w:r>
      <w:r w:rsidR="006A1DC4">
        <w:rPr>
          <w:i/>
          <w:color w:val="0000FF"/>
        </w:rPr>
        <w:t>rne.</w:t>
      </w:r>
    </w:p>
    <w:p w:rsidR="00452989" w:rsidRDefault="00452989" w:rsidP="00371377">
      <w:pPr>
        <w:pStyle w:val="Sidehoved"/>
        <w:rPr>
          <w:i/>
          <w:color w:val="0000FF"/>
        </w:rPr>
      </w:pPr>
    </w:p>
    <w:p w:rsidR="006A1DC4" w:rsidRDefault="00753744" w:rsidP="00371377">
      <w:pPr>
        <w:pStyle w:val="Sidehoved"/>
        <w:rPr>
          <w:i/>
          <w:color w:val="0000FF"/>
        </w:rPr>
      </w:pPr>
      <w:r>
        <w:rPr>
          <w:i/>
          <w:color w:val="0000FF"/>
        </w:rPr>
        <w:t>Hvis</w:t>
      </w:r>
      <w:r w:rsidR="00624A55">
        <w:rPr>
          <w:i/>
          <w:color w:val="0000FF"/>
        </w:rPr>
        <w:t xml:space="preserve"> en</w:t>
      </w:r>
      <w:r>
        <w:rPr>
          <w:i/>
          <w:color w:val="0000FF"/>
        </w:rPr>
        <w:t xml:space="preserve"> virksomhed i forvejen har et energi- og miljøledelsessystem</w:t>
      </w:r>
      <w:r w:rsidR="00A62ACA">
        <w:rPr>
          <w:i/>
          <w:color w:val="0000FF"/>
        </w:rPr>
        <w:t xml:space="preserve"> eller system til kvalitetssikring og dokumenthåndtering</w:t>
      </w:r>
      <w:r>
        <w:rPr>
          <w:i/>
          <w:color w:val="0000FF"/>
        </w:rPr>
        <w:t xml:space="preserve"> kan forordningens krav til procedure</w:t>
      </w:r>
      <w:r w:rsidR="00E60A3C">
        <w:rPr>
          <w:i/>
          <w:color w:val="0000FF"/>
        </w:rPr>
        <w:t xml:space="preserve">r indarbejdes i </w:t>
      </w:r>
      <w:r w:rsidR="00CF34E2">
        <w:rPr>
          <w:i/>
          <w:color w:val="0000FF"/>
        </w:rPr>
        <w:t xml:space="preserve">dette </w:t>
      </w:r>
      <w:r w:rsidR="00E60A3C">
        <w:rPr>
          <w:i/>
          <w:color w:val="0000FF"/>
        </w:rPr>
        <w:t xml:space="preserve">system. Nogle af forordningens krav </w:t>
      </w:r>
      <w:r w:rsidR="00CF34E2">
        <w:rPr>
          <w:i/>
          <w:color w:val="0000FF"/>
        </w:rPr>
        <w:t xml:space="preserve">til procedurer </w:t>
      </w:r>
      <w:r w:rsidR="00A62ACA">
        <w:rPr>
          <w:i/>
          <w:color w:val="0000FF"/>
        </w:rPr>
        <w:t>er</w:t>
      </w:r>
      <w:r w:rsidR="00E60A3C">
        <w:rPr>
          <w:i/>
          <w:color w:val="0000FF"/>
        </w:rPr>
        <w:t xml:space="preserve"> måske allerede dækket af dette system.</w:t>
      </w:r>
      <w:r>
        <w:rPr>
          <w:i/>
          <w:color w:val="0000FF"/>
        </w:rPr>
        <w:t xml:space="preserve"> I virksomhedens</w:t>
      </w:r>
      <w:r w:rsidR="0039486F">
        <w:rPr>
          <w:i/>
          <w:color w:val="0000FF"/>
        </w:rPr>
        <w:t xml:space="preserve"> </w:t>
      </w:r>
      <w:r>
        <w:rPr>
          <w:i/>
          <w:color w:val="0000FF"/>
        </w:rPr>
        <w:t>CO</w:t>
      </w:r>
      <w:r w:rsidRPr="00E60A3C">
        <w:rPr>
          <w:i/>
          <w:color w:val="0000FF"/>
          <w:vertAlign w:val="subscript"/>
        </w:rPr>
        <w:t>2</w:t>
      </w:r>
      <w:r>
        <w:rPr>
          <w:i/>
          <w:color w:val="0000FF"/>
        </w:rPr>
        <w:t xml:space="preserve">-overvågningsplan kan der </w:t>
      </w:r>
      <w:r w:rsidR="0039486F">
        <w:rPr>
          <w:i/>
          <w:color w:val="0000FF"/>
        </w:rPr>
        <w:t>henvises til de specifikke afsnit i</w:t>
      </w:r>
      <w:r>
        <w:rPr>
          <w:i/>
          <w:color w:val="0000FF"/>
        </w:rPr>
        <w:t xml:space="preserve"> ledelsessystemet, som dækker de enkelte procedurer.</w:t>
      </w:r>
    </w:p>
    <w:p w:rsidR="006A1DC4" w:rsidRDefault="006A1DC4" w:rsidP="00371377">
      <w:pPr>
        <w:pStyle w:val="Sidehoved"/>
        <w:rPr>
          <w:i/>
          <w:color w:val="0000FF"/>
        </w:rPr>
      </w:pPr>
    </w:p>
    <w:p w:rsidR="00452989" w:rsidRDefault="00452989" w:rsidP="00452989">
      <w:pPr>
        <w:rPr>
          <w:i/>
          <w:color w:val="0000FF"/>
        </w:rPr>
      </w:pPr>
      <w:r w:rsidRPr="00D01887">
        <w:rPr>
          <w:i/>
          <w:color w:val="0000FF"/>
        </w:rPr>
        <w:t>Eksempl</w:t>
      </w:r>
      <w:r w:rsidR="00B77D10">
        <w:rPr>
          <w:i/>
          <w:color w:val="0000FF"/>
        </w:rPr>
        <w:t>et</w:t>
      </w:r>
      <w:r w:rsidRPr="00D01887">
        <w:rPr>
          <w:i/>
          <w:color w:val="0000FF"/>
        </w:rPr>
        <w:t xml:space="preserve"> tage</w:t>
      </w:r>
      <w:r w:rsidR="009F3B66">
        <w:rPr>
          <w:i/>
          <w:color w:val="0000FF"/>
        </w:rPr>
        <w:t>r</w:t>
      </w:r>
      <w:r w:rsidRPr="00D01887">
        <w:rPr>
          <w:i/>
          <w:color w:val="0000FF"/>
        </w:rPr>
        <w:t xml:space="preserve"> udgangspunkt i en forholdsvis simpel produktionsenhed. Graden af styring, kontrol og datahåndtering afhænger af den konkrete produktionsenhed</w:t>
      </w:r>
      <w:r>
        <w:rPr>
          <w:i/>
          <w:color w:val="0000FF"/>
        </w:rPr>
        <w:t>.</w:t>
      </w:r>
    </w:p>
    <w:p w:rsidR="00371377" w:rsidRDefault="00371377" w:rsidP="00371377">
      <w:pPr>
        <w:pStyle w:val="Sidehoved"/>
        <w:rPr>
          <w:i/>
          <w:color w:val="0000FF"/>
        </w:rPr>
      </w:pPr>
      <w:r>
        <w:rPr>
          <w:i/>
          <w:color w:val="0000FF"/>
        </w:rPr>
        <w:t>Dokumentet er pt. under udarbejdelse og er endnu ikke fuldt dækkende - dokumentet forventes løbende at blive opdateret.</w:t>
      </w:r>
    </w:p>
    <w:p w:rsidR="00371377" w:rsidRDefault="00371377" w:rsidP="00371377">
      <w:pPr>
        <w:pStyle w:val="Sidehoved"/>
        <w:rPr>
          <w:i/>
          <w:color w:val="0000FF"/>
        </w:rPr>
      </w:pPr>
    </w:p>
    <w:p w:rsidR="00D01887" w:rsidRPr="00D01887" w:rsidRDefault="00D01887" w:rsidP="00D01887">
      <w:pPr>
        <w:pStyle w:val="Sidehoved"/>
        <w:rPr>
          <w:i/>
          <w:color w:val="0000FF"/>
        </w:rPr>
      </w:pPr>
      <w:r w:rsidRPr="00D01887">
        <w:rPr>
          <w:i/>
          <w:color w:val="0000FF"/>
        </w:rPr>
        <w:t xml:space="preserve">Kursiv tekst </w:t>
      </w:r>
      <w:r w:rsidR="007F2B05">
        <w:rPr>
          <w:i/>
          <w:color w:val="0000FF"/>
        </w:rPr>
        <w:t>er forklarende tekst</w:t>
      </w:r>
      <w:r w:rsidR="00452989">
        <w:rPr>
          <w:i/>
          <w:color w:val="0000FF"/>
        </w:rPr>
        <w:t xml:space="preserve"> til eksemplet</w:t>
      </w:r>
      <w:r w:rsidR="007F2B05">
        <w:rPr>
          <w:i/>
          <w:color w:val="0000FF"/>
        </w:rPr>
        <w:t>.</w:t>
      </w:r>
    </w:p>
    <w:p w:rsidR="004860FF" w:rsidRDefault="004860FF" w:rsidP="00D01887">
      <w:pPr>
        <w:pStyle w:val="Sidehoved"/>
        <w:rPr>
          <w:i/>
          <w:color w:val="0000FF"/>
        </w:rPr>
      </w:pPr>
    </w:p>
    <w:p w:rsidR="00D409FD" w:rsidRPr="00C86C60" w:rsidRDefault="00D409FD" w:rsidP="00C86C60">
      <w:pPr>
        <w:rPr>
          <w:b/>
          <w:sz w:val="24"/>
          <w:szCs w:val="24"/>
        </w:rPr>
      </w:pPr>
      <w:bookmarkStart w:id="0" w:name="_Toc334603649"/>
      <w:bookmarkStart w:id="1" w:name="_Toc334608170"/>
      <w:r w:rsidRPr="00C86C60">
        <w:rPr>
          <w:b/>
          <w:sz w:val="24"/>
          <w:szCs w:val="24"/>
        </w:rPr>
        <w:t>Indhold</w:t>
      </w:r>
      <w:bookmarkEnd w:id="0"/>
      <w:bookmarkEnd w:id="1"/>
    </w:p>
    <w:sdt>
      <w:sdtPr>
        <w:rPr>
          <w:b/>
          <w:bCs/>
        </w:rPr>
        <w:id w:val="17713266"/>
        <w:docPartObj>
          <w:docPartGallery w:val="Table of Contents"/>
          <w:docPartUnique/>
        </w:docPartObj>
      </w:sdtPr>
      <w:sdtEndPr>
        <w:rPr>
          <w:b w:val="0"/>
          <w:bCs w:val="0"/>
        </w:rPr>
      </w:sdtEndPr>
      <w:sdtContent>
        <w:p w:rsidR="00C86C60" w:rsidRDefault="00687D1D">
          <w:pPr>
            <w:pStyle w:val="Indholdsfortegnelse1"/>
            <w:rPr>
              <w:rFonts w:eastAsiaTheme="minorEastAsia"/>
              <w:noProof/>
              <w:lang w:val="de-DE" w:eastAsia="de-DE"/>
            </w:rPr>
          </w:pPr>
          <w:r>
            <w:fldChar w:fldCharType="begin"/>
          </w:r>
          <w:r w:rsidR="00267C46">
            <w:instrText xml:space="preserve"> TOC \o "1-3" \h \z \u </w:instrText>
          </w:r>
          <w:r>
            <w:fldChar w:fldCharType="separate"/>
          </w:r>
          <w:hyperlink w:anchor="_Toc459104404" w:history="1">
            <w:r w:rsidR="00C86C60" w:rsidRPr="006714DF">
              <w:rPr>
                <w:rStyle w:val="Hyperlink"/>
                <w:noProof/>
              </w:rPr>
              <w:t>a)</w:t>
            </w:r>
            <w:r w:rsidR="00C86C60">
              <w:rPr>
                <w:rFonts w:eastAsiaTheme="minorEastAsia"/>
                <w:noProof/>
                <w:lang w:val="de-DE" w:eastAsia="de-DE"/>
              </w:rPr>
              <w:tab/>
            </w:r>
            <w:r w:rsidR="00C86C60" w:rsidRPr="006714DF">
              <w:rPr>
                <w:rStyle w:val="Hyperlink"/>
                <w:noProof/>
              </w:rPr>
              <w:t>Overdragelse af ansvar og håndtering af kompetencer</w:t>
            </w:r>
            <w:r w:rsidR="00C86C60">
              <w:rPr>
                <w:noProof/>
                <w:webHidden/>
              </w:rPr>
              <w:tab/>
            </w:r>
            <w:r w:rsidR="00C86C60">
              <w:rPr>
                <w:noProof/>
                <w:webHidden/>
              </w:rPr>
              <w:fldChar w:fldCharType="begin"/>
            </w:r>
            <w:r w:rsidR="00C86C60">
              <w:rPr>
                <w:noProof/>
                <w:webHidden/>
              </w:rPr>
              <w:instrText xml:space="preserve"> PAGEREF _Toc459104404 \h </w:instrText>
            </w:r>
            <w:r w:rsidR="00C86C60">
              <w:rPr>
                <w:noProof/>
                <w:webHidden/>
              </w:rPr>
            </w:r>
            <w:r w:rsidR="00C86C60">
              <w:rPr>
                <w:noProof/>
                <w:webHidden/>
              </w:rPr>
              <w:fldChar w:fldCharType="separate"/>
            </w:r>
            <w:r w:rsidR="00C86C60">
              <w:rPr>
                <w:noProof/>
                <w:webHidden/>
              </w:rPr>
              <w:t>2</w:t>
            </w:r>
            <w:r w:rsidR="00C86C60">
              <w:rPr>
                <w:noProof/>
                <w:webHidden/>
              </w:rPr>
              <w:fldChar w:fldCharType="end"/>
            </w:r>
          </w:hyperlink>
        </w:p>
        <w:p w:rsidR="00C86C60" w:rsidRDefault="00543EDA">
          <w:pPr>
            <w:pStyle w:val="Indholdsfortegnelse1"/>
            <w:rPr>
              <w:rFonts w:eastAsiaTheme="minorEastAsia"/>
              <w:noProof/>
              <w:lang w:val="de-DE" w:eastAsia="de-DE"/>
            </w:rPr>
          </w:pPr>
          <w:hyperlink w:anchor="_Toc459104405" w:history="1">
            <w:r w:rsidR="00C86C60" w:rsidRPr="006714DF">
              <w:rPr>
                <w:rStyle w:val="Hyperlink"/>
                <w:noProof/>
              </w:rPr>
              <w:t>b)</w:t>
            </w:r>
            <w:r w:rsidR="00C86C60">
              <w:rPr>
                <w:rFonts w:eastAsiaTheme="minorEastAsia"/>
                <w:noProof/>
                <w:lang w:val="de-DE" w:eastAsia="de-DE"/>
              </w:rPr>
              <w:tab/>
            </w:r>
            <w:r w:rsidR="00C86C60" w:rsidRPr="006714DF">
              <w:rPr>
                <w:rStyle w:val="Hyperlink"/>
                <w:noProof/>
              </w:rPr>
              <w:t>Regelmæssig evaluering af overvågningsplanens relevans</w:t>
            </w:r>
            <w:r w:rsidR="00C86C60">
              <w:rPr>
                <w:noProof/>
                <w:webHidden/>
              </w:rPr>
              <w:tab/>
            </w:r>
            <w:r w:rsidR="00C86C60">
              <w:rPr>
                <w:noProof/>
                <w:webHidden/>
              </w:rPr>
              <w:fldChar w:fldCharType="begin"/>
            </w:r>
            <w:r w:rsidR="00C86C60">
              <w:rPr>
                <w:noProof/>
                <w:webHidden/>
              </w:rPr>
              <w:instrText xml:space="preserve"> PAGEREF _Toc459104405 \h </w:instrText>
            </w:r>
            <w:r w:rsidR="00C86C60">
              <w:rPr>
                <w:noProof/>
                <w:webHidden/>
              </w:rPr>
            </w:r>
            <w:r w:rsidR="00C86C60">
              <w:rPr>
                <w:noProof/>
                <w:webHidden/>
              </w:rPr>
              <w:fldChar w:fldCharType="separate"/>
            </w:r>
            <w:r w:rsidR="00C86C60">
              <w:rPr>
                <w:noProof/>
                <w:webHidden/>
              </w:rPr>
              <w:t>3</w:t>
            </w:r>
            <w:r w:rsidR="00C86C60">
              <w:rPr>
                <w:noProof/>
                <w:webHidden/>
              </w:rPr>
              <w:fldChar w:fldCharType="end"/>
            </w:r>
          </w:hyperlink>
        </w:p>
        <w:p w:rsidR="00C86C60" w:rsidRDefault="00543EDA">
          <w:pPr>
            <w:pStyle w:val="Indholdsfortegnelse1"/>
            <w:rPr>
              <w:rFonts w:eastAsiaTheme="minorEastAsia"/>
              <w:noProof/>
              <w:lang w:val="de-DE" w:eastAsia="de-DE"/>
            </w:rPr>
          </w:pPr>
          <w:hyperlink w:anchor="_Toc459104406" w:history="1">
            <w:r w:rsidR="00C86C60" w:rsidRPr="006714DF">
              <w:rPr>
                <w:rStyle w:val="Hyperlink"/>
                <w:rFonts w:cs="Trebuchet MS"/>
                <w:iCs/>
                <w:noProof/>
              </w:rPr>
              <w:t>c)</w:t>
            </w:r>
            <w:r w:rsidR="00C86C60">
              <w:rPr>
                <w:rFonts w:eastAsiaTheme="minorEastAsia"/>
                <w:noProof/>
                <w:lang w:val="de-DE" w:eastAsia="de-DE"/>
              </w:rPr>
              <w:tab/>
            </w:r>
            <w:r w:rsidR="00C86C60" w:rsidRPr="006714DF">
              <w:rPr>
                <w:rStyle w:val="Hyperlink"/>
                <w:noProof/>
              </w:rPr>
              <w:t>Beskrivelse af datastrømsaktiviteter</w:t>
            </w:r>
            <w:r w:rsidR="00C86C60">
              <w:rPr>
                <w:noProof/>
                <w:webHidden/>
              </w:rPr>
              <w:tab/>
            </w:r>
            <w:r w:rsidR="00C86C60">
              <w:rPr>
                <w:noProof/>
                <w:webHidden/>
              </w:rPr>
              <w:fldChar w:fldCharType="begin"/>
            </w:r>
            <w:r w:rsidR="00C86C60">
              <w:rPr>
                <w:noProof/>
                <w:webHidden/>
              </w:rPr>
              <w:instrText xml:space="preserve"> PAGEREF _Toc459104406 \h </w:instrText>
            </w:r>
            <w:r w:rsidR="00C86C60">
              <w:rPr>
                <w:noProof/>
                <w:webHidden/>
              </w:rPr>
            </w:r>
            <w:r w:rsidR="00C86C60">
              <w:rPr>
                <w:noProof/>
                <w:webHidden/>
              </w:rPr>
              <w:fldChar w:fldCharType="separate"/>
            </w:r>
            <w:r w:rsidR="00C86C60">
              <w:rPr>
                <w:noProof/>
                <w:webHidden/>
              </w:rPr>
              <w:t>4</w:t>
            </w:r>
            <w:r w:rsidR="00C86C60">
              <w:rPr>
                <w:noProof/>
                <w:webHidden/>
              </w:rPr>
              <w:fldChar w:fldCharType="end"/>
            </w:r>
          </w:hyperlink>
        </w:p>
        <w:p w:rsidR="00C86C60" w:rsidRDefault="00543EDA">
          <w:pPr>
            <w:pStyle w:val="Indholdsfortegnelse1"/>
            <w:rPr>
              <w:rFonts w:eastAsiaTheme="minorEastAsia"/>
              <w:noProof/>
              <w:lang w:val="de-DE" w:eastAsia="de-DE"/>
            </w:rPr>
          </w:pPr>
          <w:hyperlink w:anchor="_Toc459104407" w:history="1">
            <w:r w:rsidR="00C86C60" w:rsidRPr="006714DF">
              <w:rPr>
                <w:rStyle w:val="Hyperlink"/>
                <w:noProof/>
              </w:rPr>
              <w:t>d)</w:t>
            </w:r>
            <w:r w:rsidR="00C86C60">
              <w:rPr>
                <w:rFonts w:eastAsiaTheme="minorEastAsia"/>
                <w:noProof/>
                <w:lang w:val="de-DE" w:eastAsia="de-DE"/>
              </w:rPr>
              <w:tab/>
            </w:r>
            <w:r w:rsidR="00C86C60" w:rsidRPr="006714DF">
              <w:rPr>
                <w:rStyle w:val="Hyperlink"/>
                <w:noProof/>
              </w:rPr>
              <w:t>Vurdering af risici forbundet med processen og risici forbundet med kontrolaktiviteter</w:t>
            </w:r>
            <w:r w:rsidR="00C86C60">
              <w:rPr>
                <w:noProof/>
                <w:webHidden/>
              </w:rPr>
              <w:tab/>
            </w:r>
            <w:r w:rsidR="00C86C60">
              <w:rPr>
                <w:noProof/>
                <w:webHidden/>
              </w:rPr>
              <w:fldChar w:fldCharType="begin"/>
            </w:r>
            <w:r w:rsidR="00C86C60">
              <w:rPr>
                <w:noProof/>
                <w:webHidden/>
              </w:rPr>
              <w:instrText xml:space="preserve"> PAGEREF _Toc459104407 \h </w:instrText>
            </w:r>
            <w:r w:rsidR="00C86C60">
              <w:rPr>
                <w:noProof/>
                <w:webHidden/>
              </w:rPr>
            </w:r>
            <w:r w:rsidR="00C86C60">
              <w:rPr>
                <w:noProof/>
                <w:webHidden/>
              </w:rPr>
              <w:fldChar w:fldCharType="separate"/>
            </w:r>
            <w:r w:rsidR="00C86C60">
              <w:rPr>
                <w:noProof/>
                <w:webHidden/>
              </w:rPr>
              <w:t>6</w:t>
            </w:r>
            <w:r w:rsidR="00C86C60">
              <w:rPr>
                <w:noProof/>
                <w:webHidden/>
              </w:rPr>
              <w:fldChar w:fldCharType="end"/>
            </w:r>
          </w:hyperlink>
        </w:p>
        <w:p w:rsidR="00C86C60" w:rsidRDefault="00543EDA">
          <w:pPr>
            <w:pStyle w:val="Indholdsfortegnelse1"/>
            <w:rPr>
              <w:rFonts w:eastAsiaTheme="minorEastAsia"/>
              <w:noProof/>
              <w:lang w:val="de-DE" w:eastAsia="de-DE"/>
            </w:rPr>
          </w:pPr>
          <w:hyperlink w:anchor="_Toc459104408" w:history="1">
            <w:r w:rsidR="00C86C60" w:rsidRPr="006714DF">
              <w:rPr>
                <w:rStyle w:val="Hyperlink"/>
                <w:noProof/>
              </w:rPr>
              <w:t>e)</w:t>
            </w:r>
            <w:r w:rsidR="00C86C60">
              <w:rPr>
                <w:rFonts w:eastAsiaTheme="minorEastAsia"/>
                <w:noProof/>
                <w:lang w:val="de-DE" w:eastAsia="de-DE"/>
              </w:rPr>
              <w:tab/>
            </w:r>
            <w:r w:rsidR="00C86C60" w:rsidRPr="006714DF">
              <w:rPr>
                <w:rStyle w:val="Hyperlink"/>
                <w:noProof/>
              </w:rPr>
              <w:t>Kvalitetssikring af måleudstyr</w:t>
            </w:r>
            <w:r w:rsidR="00C86C60">
              <w:rPr>
                <w:noProof/>
                <w:webHidden/>
              </w:rPr>
              <w:tab/>
            </w:r>
            <w:r w:rsidR="00C86C60">
              <w:rPr>
                <w:noProof/>
                <w:webHidden/>
              </w:rPr>
              <w:fldChar w:fldCharType="begin"/>
            </w:r>
            <w:r w:rsidR="00C86C60">
              <w:rPr>
                <w:noProof/>
                <w:webHidden/>
              </w:rPr>
              <w:instrText xml:space="preserve"> PAGEREF _Toc459104408 \h </w:instrText>
            </w:r>
            <w:r w:rsidR="00C86C60">
              <w:rPr>
                <w:noProof/>
                <w:webHidden/>
              </w:rPr>
            </w:r>
            <w:r w:rsidR="00C86C60">
              <w:rPr>
                <w:noProof/>
                <w:webHidden/>
              </w:rPr>
              <w:fldChar w:fldCharType="separate"/>
            </w:r>
            <w:r w:rsidR="00C86C60">
              <w:rPr>
                <w:noProof/>
                <w:webHidden/>
              </w:rPr>
              <w:t>7</w:t>
            </w:r>
            <w:r w:rsidR="00C86C60">
              <w:rPr>
                <w:noProof/>
                <w:webHidden/>
              </w:rPr>
              <w:fldChar w:fldCharType="end"/>
            </w:r>
          </w:hyperlink>
        </w:p>
        <w:p w:rsidR="00C86C60" w:rsidRDefault="00543EDA">
          <w:pPr>
            <w:pStyle w:val="Indholdsfortegnelse1"/>
            <w:rPr>
              <w:rFonts w:eastAsiaTheme="minorEastAsia"/>
              <w:noProof/>
              <w:lang w:val="de-DE" w:eastAsia="de-DE"/>
            </w:rPr>
          </w:pPr>
          <w:hyperlink w:anchor="_Toc459104409" w:history="1">
            <w:r w:rsidR="00C86C60" w:rsidRPr="006714DF">
              <w:rPr>
                <w:rStyle w:val="Hyperlink"/>
                <w:noProof/>
              </w:rPr>
              <w:t>f)</w:t>
            </w:r>
            <w:r w:rsidR="00C86C60">
              <w:rPr>
                <w:rFonts w:eastAsiaTheme="minorEastAsia"/>
                <w:noProof/>
                <w:lang w:val="de-DE" w:eastAsia="de-DE"/>
              </w:rPr>
              <w:tab/>
            </w:r>
            <w:r w:rsidR="00C86C60" w:rsidRPr="006714DF">
              <w:rPr>
                <w:rStyle w:val="Hyperlink"/>
                <w:noProof/>
              </w:rPr>
              <w:t>Kvalitetssikring af informationsteknologi, der anvendes til datastrømsaktiviteter</w:t>
            </w:r>
            <w:r w:rsidR="00C86C60">
              <w:rPr>
                <w:noProof/>
                <w:webHidden/>
              </w:rPr>
              <w:tab/>
            </w:r>
            <w:r w:rsidR="00C86C60">
              <w:rPr>
                <w:noProof/>
                <w:webHidden/>
              </w:rPr>
              <w:fldChar w:fldCharType="begin"/>
            </w:r>
            <w:r w:rsidR="00C86C60">
              <w:rPr>
                <w:noProof/>
                <w:webHidden/>
              </w:rPr>
              <w:instrText xml:space="preserve"> PAGEREF _Toc459104409 \h </w:instrText>
            </w:r>
            <w:r w:rsidR="00C86C60">
              <w:rPr>
                <w:noProof/>
                <w:webHidden/>
              </w:rPr>
            </w:r>
            <w:r w:rsidR="00C86C60">
              <w:rPr>
                <w:noProof/>
                <w:webHidden/>
              </w:rPr>
              <w:fldChar w:fldCharType="separate"/>
            </w:r>
            <w:r w:rsidR="00C86C60">
              <w:rPr>
                <w:noProof/>
                <w:webHidden/>
              </w:rPr>
              <w:t>7</w:t>
            </w:r>
            <w:r w:rsidR="00C86C60">
              <w:rPr>
                <w:noProof/>
                <w:webHidden/>
              </w:rPr>
              <w:fldChar w:fldCharType="end"/>
            </w:r>
          </w:hyperlink>
        </w:p>
        <w:p w:rsidR="00C86C60" w:rsidRDefault="00543EDA">
          <w:pPr>
            <w:pStyle w:val="Indholdsfortegnelse1"/>
            <w:rPr>
              <w:rFonts w:eastAsiaTheme="minorEastAsia"/>
              <w:noProof/>
              <w:lang w:val="de-DE" w:eastAsia="de-DE"/>
            </w:rPr>
          </w:pPr>
          <w:hyperlink w:anchor="_Toc459104410" w:history="1">
            <w:r w:rsidR="00C86C60" w:rsidRPr="006714DF">
              <w:rPr>
                <w:rStyle w:val="Hyperlink"/>
                <w:noProof/>
              </w:rPr>
              <w:t>g)</w:t>
            </w:r>
            <w:r w:rsidR="00C86C60">
              <w:rPr>
                <w:rFonts w:eastAsiaTheme="minorEastAsia"/>
                <w:noProof/>
                <w:lang w:val="de-DE" w:eastAsia="de-DE"/>
              </w:rPr>
              <w:tab/>
            </w:r>
            <w:r w:rsidR="00C86C60" w:rsidRPr="006714DF">
              <w:rPr>
                <w:rStyle w:val="Hyperlink"/>
                <w:noProof/>
              </w:rPr>
              <w:t>Sikring af regelmæssig intern gennemgang og validering af data</w:t>
            </w:r>
            <w:r w:rsidR="00C86C60">
              <w:rPr>
                <w:noProof/>
                <w:webHidden/>
              </w:rPr>
              <w:tab/>
            </w:r>
            <w:r w:rsidR="00C86C60">
              <w:rPr>
                <w:noProof/>
                <w:webHidden/>
              </w:rPr>
              <w:fldChar w:fldCharType="begin"/>
            </w:r>
            <w:r w:rsidR="00C86C60">
              <w:rPr>
                <w:noProof/>
                <w:webHidden/>
              </w:rPr>
              <w:instrText xml:space="preserve"> PAGEREF _Toc459104410 \h </w:instrText>
            </w:r>
            <w:r w:rsidR="00C86C60">
              <w:rPr>
                <w:noProof/>
                <w:webHidden/>
              </w:rPr>
            </w:r>
            <w:r w:rsidR="00C86C60">
              <w:rPr>
                <w:noProof/>
                <w:webHidden/>
              </w:rPr>
              <w:fldChar w:fldCharType="separate"/>
            </w:r>
            <w:r w:rsidR="00C86C60">
              <w:rPr>
                <w:noProof/>
                <w:webHidden/>
              </w:rPr>
              <w:t>8</w:t>
            </w:r>
            <w:r w:rsidR="00C86C60">
              <w:rPr>
                <w:noProof/>
                <w:webHidden/>
              </w:rPr>
              <w:fldChar w:fldCharType="end"/>
            </w:r>
          </w:hyperlink>
        </w:p>
        <w:p w:rsidR="00C86C60" w:rsidRDefault="00543EDA">
          <w:pPr>
            <w:pStyle w:val="Indholdsfortegnelse1"/>
            <w:rPr>
              <w:rFonts w:eastAsiaTheme="minorEastAsia"/>
              <w:noProof/>
              <w:lang w:val="de-DE" w:eastAsia="de-DE"/>
            </w:rPr>
          </w:pPr>
          <w:hyperlink w:anchor="_Toc459104411" w:history="1">
            <w:r w:rsidR="00C86C60" w:rsidRPr="006714DF">
              <w:rPr>
                <w:rStyle w:val="Hyperlink"/>
                <w:noProof/>
              </w:rPr>
              <w:t>h)</w:t>
            </w:r>
            <w:r w:rsidR="00C86C60">
              <w:rPr>
                <w:rFonts w:eastAsiaTheme="minorEastAsia"/>
                <w:noProof/>
                <w:lang w:val="de-DE" w:eastAsia="de-DE"/>
              </w:rPr>
              <w:tab/>
            </w:r>
            <w:r w:rsidR="00C86C60" w:rsidRPr="006714DF">
              <w:rPr>
                <w:rStyle w:val="Hyperlink"/>
                <w:noProof/>
              </w:rPr>
              <w:t>Håndtering af rettelser og korrigerende handlinger</w:t>
            </w:r>
            <w:r w:rsidR="00C86C60">
              <w:rPr>
                <w:noProof/>
                <w:webHidden/>
              </w:rPr>
              <w:tab/>
            </w:r>
            <w:r w:rsidR="00C86C60">
              <w:rPr>
                <w:noProof/>
                <w:webHidden/>
              </w:rPr>
              <w:fldChar w:fldCharType="begin"/>
            </w:r>
            <w:r w:rsidR="00C86C60">
              <w:rPr>
                <w:noProof/>
                <w:webHidden/>
              </w:rPr>
              <w:instrText xml:space="preserve"> PAGEREF _Toc459104411 \h </w:instrText>
            </w:r>
            <w:r w:rsidR="00C86C60">
              <w:rPr>
                <w:noProof/>
                <w:webHidden/>
              </w:rPr>
            </w:r>
            <w:r w:rsidR="00C86C60">
              <w:rPr>
                <w:noProof/>
                <w:webHidden/>
              </w:rPr>
              <w:fldChar w:fldCharType="separate"/>
            </w:r>
            <w:r w:rsidR="00C86C60">
              <w:rPr>
                <w:noProof/>
                <w:webHidden/>
              </w:rPr>
              <w:t>9</w:t>
            </w:r>
            <w:r w:rsidR="00C86C60">
              <w:rPr>
                <w:noProof/>
                <w:webHidden/>
              </w:rPr>
              <w:fldChar w:fldCharType="end"/>
            </w:r>
          </w:hyperlink>
        </w:p>
        <w:p w:rsidR="00C86C60" w:rsidRDefault="00543EDA">
          <w:pPr>
            <w:pStyle w:val="Indholdsfortegnelse1"/>
            <w:rPr>
              <w:rFonts w:eastAsiaTheme="minorEastAsia"/>
              <w:noProof/>
              <w:lang w:val="de-DE" w:eastAsia="de-DE"/>
            </w:rPr>
          </w:pPr>
          <w:hyperlink w:anchor="_Toc459104412" w:history="1">
            <w:r w:rsidR="00C86C60" w:rsidRPr="006714DF">
              <w:rPr>
                <w:rStyle w:val="Hyperlink"/>
                <w:noProof/>
              </w:rPr>
              <w:t>i)</w:t>
            </w:r>
            <w:r w:rsidR="00C86C60">
              <w:rPr>
                <w:rFonts w:eastAsiaTheme="minorEastAsia"/>
                <w:noProof/>
                <w:lang w:val="de-DE" w:eastAsia="de-DE"/>
              </w:rPr>
              <w:tab/>
            </w:r>
            <w:r w:rsidR="00C86C60" w:rsidRPr="006714DF">
              <w:rPr>
                <w:rStyle w:val="Hyperlink"/>
                <w:noProof/>
              </w:rPr>
              <w:t>Procedure til kontrol af overdragede processer</w:t>
            </w:r>
            <w:r w:rsidR="00C86C60">
              <w:rPr>
                <w:noProof/>
                <w:webHidden/>
              </w:rPr>
              <w:tab/>
            </w:r>
            <w:r w:rsidR="00C86C60">
              <w:rPr>
                <w:noProof/>
                <w:webHidden/>
              </w:rPr>
              <w:fldChar w:fldCharType="begin"/>
            </w:r>
            <w:r w:rsidR="00C86C60">
              <w:rPr>
                <w:noProof/>
                <w:webHidden/>
              </w:rPr>
              <w:instrText xml:space="preserve"> PAGEREF _Toc459104412 \h </w:instrText>
            </w:r>
            <w:r w:rsidR="00C86C60">
              <w:rPr>
                <w:noProof/>
                <w:webHidden/>
              </w:rPr>
            </w:r>
            <w:r w:rsidR="00C86C60">
              <w:rPr>
                <w:noProof/>
                <w:webHidden/>
              </w:rPr>
              <w:fldChar w:fldCharType="separate"/>
            </w:r>
            <w:r w:rsidR="00C86C60">
              <w:rPr>
                <w:noProof/>
                <w:webHidden/>
              </w:rPr>
              <w:t>9</w:t>
            </w:r>
            <w:r w:rsidR="00C86C60">
              <w:rPr>
                <w:noProof/>
                <w:webHidden/>
              </w:rPr>
              <w:fldChar w:fldCharType="end"/>
            </w:r>
          </w:hyperlink>
        </w:p>
        <w:p w:rsidR="00C86C60" w:rsidRDefault="00543EDA">
          <w:pPr>
            <w:pStyle w:val="Indholdsfortegnelse1"/>
            <w:rPr>
              <w:rFonts w:eastAsiaTheme="minorEastAsia"/>
              <w:noProof/>
              <w:lang w:val="de-DE" w:eastAsia="de-DE"/>
            </w:rPr>
          </w:pPr>
          <w:hyperlink w:anchor="_Toc459104413" w:history="1">
            <w:r w:rsidR="00C86C60" w:rsidRPr="006714DF">
              <w:rPr>
                <w:rStyle w:val="Hyperlink"/>
                <w:noProof/>
              </w:rPr>
              <w:t>j)</w:t>
            </w:r>
            <w:r w:rsidR="00C86C60">
              <w:rPr>
                <w:rFonts w:eastAsiaTheme="minorEastAsia"/>
                <w:noProof/>
                <w:lang w:val="de-DE" w:eastAsia="de-DE"/>
              </w:rPr>
              <w:tab/>
            </w:r>
            <w:r w:rsidR="00C86C60" w:rsidRPr="006714DF">
              <w:rPr>
                <w:rStyle w:val="Hyperlink"/>
                <w:noProof/>
              </w:rPr>
              <w:t>Styring af registreringer og dokumentation</w:t>
            </w:r>
            <w:r w:rsidR="00C86C60">
              <w:rPr>
                <w:noProof/>
                <w:webHidden/>
              </w:rPr>
              <w:tab/>
            </w:r>
            <w:r w:rsidR="00C86C60">
              <w:rPr>
                <w:noProof/>
                <w:webHidden/>
              </w:rPr>
              <w:fldChar w:fldCharType="begin"/>
            </w:r>
            <w:r w:rsidR="00C86C60">
              <w:rPr>
                <w:noProof/>
                <w:webHidden/>
              </w:rPr>
              <w:instrText xml:space="preserve"> PAGEREF _Toc459104413 \h </w:instrText>
            </w:r>
            <w:r w:rsidR="00C86C60">
              <w:rPr>
                <w:noProof/>
                <w:webHidden/>
              </w:rPr>
            </w:r>
            <w:r w:rsidR="00C86C60">
              <w:rPr>
                <w:noProof/>
                <w:webHidden/>
              </w:rPr>
              <w:fldChar w:fldCharType="separate"/>
            </w:r>
            <w:r w:rsidR="00C86C60">
              <w:rPr>
                <w:noProof/>
                <w:webHidden/>
              </w:rPr>
              <w:t>10</w:t>
            </w:r>
            <w:r w:rsidR="00C86C60">
              <w:rPr>
                <w:noProof/>
                <w:webHidden/>
              </w:rPr>
              <w:fldChar w:fldCharType="end"/>
            </w:r>
          </w:hyperlink>
        </w:p>
        <w:p w:rsidR="00C86C60" w:rsidRDefault="00543EDA">
          <w:pPr>
            <w:pStyle w:val="Indholdsfortegnelse2"/>
            <w:rPr>
              <w:rFonts w:eastAsiaTheme="minorEastAsia"/>
              <w:noProof/>
              <w:lang w:val="de-DE" w:eastAsia="de-DE"/>
            </w:rPr>
          </w:pPr>
          <w:hyperlink w:anchor="_Toc459104414" w:history="1">
            <w:r w:rsidR="00C86C60" w:rsidRPr="006714DF">
              <w:rPr>
                <w:rStyle w:val="Hyperlink"/>
                <w:noProof/>
              </w:rPr>
              <w:t>BILAG A.  Eksempel på oversigt over placering af ansvarsområder for personale</w:t>
            </w:r>
            <w:r w:rsidR="00C86C60">
              <w:rPr>
                <w:noProof/>
                <w:webHidden/>
              </w:rPr>
              <w:tab/>
            </w:r>
            <w:r w:rsidR="00C86C60">
              <w:rPr>
                <w:noProof/>
                <w:webHidden/>
              </w:rPr>
              <w:fldChar w:fldCharType="begin"/>
            </w:r>
            <w:r w:rsidR="00C86C60">
              <w:rPr>
                <w:noProof/>
                <w:webHidden/>
              </w:rPr>
              <w:instrText xml:space="preserve"> PAGEREF _Toc459104414 \h </w:instrText>
            </w:r>
            <w:r w:rsidR="00C86C60">
              <w:rPr>
                <w:noProof/>
                <w:webHidden/>
              </w:rPr>
            </w:r>
            <w:r w:rsidR="00C86C60">
              <w:rPr>
                <w:noProof/>
                <w:webHidden/>
              </w:rPr>
              <w:fldChar w:fldCharType="separate"/>
            </w:r>
            <w:r w:rsidR="00C86C60">
              <w:rPr>
                <w:noProof/>
                <w:webHidden/>
              </w:rPr>
              <w:t>11</w:t>
            </w:r>
            <w:r w:rsidR="00C86C60">
              <w:rPr>
                <w:noProof/>
                <w:webHidden/>
              </w:rPr>
              <w:fldChar w:fldCharType="end"/>
            </w:r>
          </w:hyperlink>
        </w:p>
        <w:p w:rsidR="00C86C60" w:rsidRDefault="00543EDA">
          <w:pPr>
            <w:pStyle w:val="Indholdsfortegnelse2"/>
            <w:rPr>
              <w:rFonts w:eastAsiaTheme="minorEastAsia"/>
              <w:noProof/>
              <w:lang w:val="de-DE" w:eastAsia="de-DE"/>
            </w:rPr>
          </w:pPr>
          <w:hyperlink w:anchor="_Toc459104415" w:history="1">
            <w:r w:rsidR="00C86C60" w:rsidRPr="006714DF">
              <w:rPr>
                <w:rStyle w:val="Hyperlink"/>
                <w:noProof/>
              </w:rPr>
              <w:t>BILAG B1.  Dokumentation af ændringer i emissionskilder og kildestrømme på produktionsenheden</w:t>
            </w:r>
            <w:r w:rsidR="00C86C60">
              <w:rPr>
                <w:noProof/>
                <w:webHidden/>
              </w:rPr>
              <w:tab/>
            </w:r>
            <w:r w:rsidR="00C86C60">
              <w:rPr>
                <w:noProof/>
                <w:webHidden/>
              </w:rPr>
              <w:fldChar w:fldCharType="begin"/>
            </w:r>
            <w:r w:rsidR="00C86C60">
              <w:rPr>
                <w:noProof/>
                <w:webHidden/>
              </w:rPr>
              <w:instrText xml:space="preserve"> PAGEREF _Toc459104415 \h </w:instrText>
            </w:r>
            <w:r w:rsidR="00C86C60">
              <w:rPr>
                <w:noProof/>
                <w:webHidden/>
              </w:rPr>
            </w:r>
            <w:r w:rsidR="00C86C60">
              <w:rPr>
                <w:noProof/>
                <w:webHidden/>
              </w:rPr>
              <w:fldChar w:fldCharType="separate"/>
            </w:r>
            <w:r w:rsidR="00C86C60">
              <w:rPr>
                <w:noProof/>
                <w:webHidden/>
              </w:rPr>
              <w:t>11</w:t>
            </w:r>
            <w:r w:rsidR="00C86C60">
              <w:rPr>
                <w:noProof/>
                <w:webHidden/>
              </w:rPr>
              <w:fldChar w:fldCharType="end"/>
            </w:r>
          </w:hyperlink>
        </w:p>
        <w:p w:rsidR="00C86C60" w:rsidRDefault="00543EDA">
          <w:pPr>
            <w:pStyle w:val="Indholdsfortegnelse2"/>
            <w:rPr>
              <w:rFonts w:eastAsiaTheme="minorEastAsia"/>
              <w:noProof/>
              <w:lang w:val="de-DE" w:eastAsia="de-DE"/>
            </w:rPr>
          </w:pPr>
          <w:hyperlink w:anchor="_Toc459104416" w:history="1">
            <w:r w:rsidR="00C86C60" w:rsidRPr="006714DF">
              <w:rPr>
                <w:rStyle w:val="Hyperlink"/>
                <w:noProof/>
              </w:rPr>
              <w:t>BILAG B2.  Dokumentation af kontrol af metodetrin</w:t>
            </w:r>
            <w:r w:rsidR="00C86C60">
              <w:rPr>
                <w:noProof/>
                <w:webHidden/>
              </w:rPr>
              <w:tab/>
            </w:r>
            <w:r w:rsidR="00C86C60">
              <w:rPr>
                <w:noProof/>
                <w:webHidden/>
              </w:rPr>
              <w:fldChar w:fldCharType="begin"/>
            </w:r>
            <w:r w:rsidR="00C86C60">
              <w:rPr>
                <w:noProof/>
                <w:webHidden/>
              </w:rPr>
              <w:instrText xml:space="preserve"> PAGEREF _Toc459104416 \h </w:instrText>
            </w:r>
            <w:r w:rsidR="00C86C60">
              <w:rPr>
                <w:noProof/>
                <w:webHidden/>
              </w:rPr>
            </w:r>
            <w:r w:rsidR="00C86C60">
              <w:rPr>
                <w:noProof/>
                <w:webHidden/>
              </w:rPr>
              <w:fldChar w:fldCharType="separate"/>
            </w:r>
            <w:r w:rsidR="00C86C60">
              <w:rPr>
                <w:noProof/>
                <w:webHidden/>
              </w:rPr>
              <w:t>12</w:t>
            </w:r>
            <w:r w:rsidR="00C86C60">
              <w:rPr>
                <w:noProof/>
                <w:webHidden/>
              </w:rPr>
              <w:fldChar w:fldCharType="end"/>
            </w:r>
          </w:hyperlink>
        </w:p>
        <w:p w:rsidR="00C86C60" w:rsidRDefault="00543EDA">
          <w:pPr>
            <w:pStyle w:val="Indholdsfortegnelse2"/>
            <w:rPr>
              <w:rFonts w:eastAsiaTheme="minorEastAsia"/>
              <w:noProof/>
              <w:lang w:val="de-DE" w:eastAsia="de-DE"/>
            </w:rPr>
          </w:pPr>
          <w:hyperlink w:anchor="_Toc459104417" w:history="1">
            <w:r w:rsidR="00C86C60" w:rsidRPr="006714DF">
              <w:rPr>
                <w:rStyle w:val="Hyperlink"/>
                <w:noProof/>
              </w:rPr>
              <w:t>BILAG E. Kontrol af måleinstrumenter</w:t>
            </w:r>
            <w:r w:rsidR="00C86C60">
              <w:rPr>
                <w:noProof/>
                <w:webHidden/>
              </w:rPr>
              <w:tab/>
            </w:r>
            <w:r w:rsidR="00C86C60">
              <w:rPr>
                <w:noProof/>
                <w:webHidden/>
              </w:rPr>
              <w:fldChar w:fldCharType="begin"/>
            </w:r>
            <w:r w:rsidR="00C86C60">
              <w:rPr>
                <w:noProof/>
                <w:webHidden/>
              </w:rPr>
              <w:instrText xml:space="preserve"> PAGEREF _Toc459104417 \h </w:instrText>
            </w:r>
            <w:r w:rsidR="00C86C60">
              <w:rPr>
                <w:noProof/>
                <w:webHidden/>
              </w:rPr>
            </w:r>
            <w:r w:rsidR="00C86C60">
              <w:rPr>
                <w:noProof/>
                <w:webHidden/>
              </w:rPr>
              <w:fldChar w:fldCharType="separate"/>
            </w:r>
            <w:r w:rsidR="00C86C60">
              <w:rPr>
                <w:noProof/>
                <w:webHidden/>
              </w:rPr>
              <w:t>12</w:t>
            </w:r>
            <w:r w:rsidR="00C86C60">
              <w:rPr>
                <w:noProof/>
                <w:webHidden/>
              </w:rPr>
              <w:fldChar w:fldCharType="end"/>
            </w:r>
          </w:hyperlink>
        </w:p>
        <w:p w:rsidR="00C86C60" w:rsidRDefault="00543EDA">
          <w:pPr>
            <w:pStyle w:val="Indholdsfortegnelse2"/>
            <w:rPr>
              <w:rFonts w:eastAsiaTheme="minorEastAsia"/>
              <w:noProof/>
              <w:lang w:val="de-DE" w:eastAsia="de-DE"/>
            </w:rPr>
          </w:pPr>
          <w:hyperlink w:anchor="_Toc459104418" w:history="1">
            <w:r w:rsidR="00C86C60" w:rsidRPr="006714DF">
              <w:rPr>
                <w:rStyle w:val="Hyperlink"/>
                <w:noProof/>
              </w:rPr>
              <w:t>BILAG G.  Dokumentation af intern kontrol af CO</w:t>
            </w:r>
            <w:r w:rsidR="00C86C60" w:rsidRPr="006714DF">
              <w:rPr>
                <w:rStyle w:val="Hyperlink"/>
                <w:noProof/>
                <w:vertAlign w:val="subscript"/>
              </w:rPr>
              <w:t>2</w:t>
            </w:r>
            <w:r w:rsidR="00C86C60" w:rsidRPr="006714DF">
              <w:rPr>
                <w:rStyle w:val="Hyperlink"/>
                <w:noProof/>
              </w:rPr>
              <w:t>-overvågningen</w:t>
            </w:r>
            <w:r w:rsidR="00C86C60">
              <w:rPr>
                <w:noProof/>
                <w:webHidden/>
              </w:rPr>
              <w:tab/>
            </w:r>
            <w:r w:rsidR="00C86C60">
              <w:rPr>
                <w:noProof/>
                <w:webHidden/>
              </w:rPr>
              <w:fldChar w:fldCharType="begin"/>
            </w:r>
            <w:r w:rsidR="00C86C60">
              <w:rPr>
                <w:noProof/>
                <w:webHidden/>
              </w:rPr>
              <w:instrText xml:space="preserve"> PAGEREF _Toc459104418 \h </w:instrText>
            </w:r>
            <w:r w:rsidR="00C86C60">
              <w:rPr>
                <w:noProof/>
                <w:webHidden/>
              </w:rPr>
            </w:r>
            <w:r w:rsidR="00C86C60">
              <w:rPr>
                <w:noProof/>
                <w:webHidden/>
              </w:rPr>
              <w:fldChar w:fldCharType="separate"/>
            </w:r>
            <w:r w:rsidR="00C86C60">
              <w:rPr>
                <w:noProof/>
                <w:webHidden/>
              </w:rPr>
              <w:t>12</w:t>
            </w:r>
            <w:r w:rsidR="00C86C60">
              <w:rPr>
                <w:noProof/>
                <w:webHidden/>
              </w:rPr>
              <w:fldChar w:fldCharType="end"/>
            </w:r>
          </w:hyperlink>
        </w:p>
        <w:p w:rsidR="00C86C60" w:rsidRDefault="00543EDA">
          <w:pPr>
            <w:pStyle w:val="Indholdsfortegnelse2"/>
            <w:rPr>
              <w:rFonts w:eastAsiaTheme="minorEastAsia"/>
              <w:noProof/>
              <w:lang w:val="de-DE" w:eastAsia="de-DE"/>
            </w:rPr>
          </w:pPr>
          <w:hyperlink w:anchor="_Toc459104419" w:history="1">
            <w:r w:rsidR="00C86C60" w:rsidRPr="006714DF">
              <w:rPr>
                <w:rStyle w:val="Hyperlink"/>
                <w:noProof/>
              </w:rPr>
              <w:t>BILAG H.  Dokumentation af fejl og afvigelser</w:t>
            </w:r>
            <w:r w:rsidR="00C86C60">
              <w:rPr>
                <w:noProof/>
                <w:webHidden/>
              </w:rPr>
              <w:tab/>
            </w:r>
            <w:r w:rsidR="00C86C60">
              <w:rPr>
                <w:noProof/>
                <w:webHidden/>
              </w:rPr>
              <w:fldChar w:fldCharType="begin"/>
            </w:r>
            <w:r w:rsidR="00C86C60">
              <w:rPr>
                <w:noProof/>
                <w:webHidden/>
              </w:rPr>
              <w:instrText xml:space="preserve"> PAGEREF _Toc459104419 \h </w:instrText>
            </w:r>
            <w:r w:rsidR="00C86C60">
              <w:rPr>
                <w:noProof/>
                <w:webHidden/>
              </w:rPr>
            </w:r>
            <w:r w:rsidR="00C86C60">
              <w:rPr>
                <w:noProof/>
                <w:webHidden/>
              </w:rPr>
              <w:fldChar w:fldCharType="separate"/>
            </w:r>
            <w:r w:rsidR="00C86C60">
              <w:rPr>
                <w:noProof/>
                <w:webHidden/>
              </w:rPr>
              <w:t>14</w:t>
            </w:r>
            <w:r w:rsidR="00C86C60">
              <w:rPr>
                <w:noProof/>
                <w:webHidden/>
              </w:rPr>
              <w:fldChar w:fldCharType="end"/>
            </w:r>
          </w:hyperlink>
        </w:p>
        <w:p w:rsidR="00C86C60" w:rsidRDefault="00543EDA">
          <w:pPr>
            <w:pStyle w:val="Indholdsfortegnelse2"/>
            <w:rPr>
              <w:rFonts w:eastAsiaTheme="minorEastAsia"/>
              <w:noProof/>
              <w:lang w:val="de-DE" w:eastAsia="de-DE"/>
            </w:rPr>
          </w:pPr>
          <w:hyperlink w:anchor="_Toc459104420" w:history="1">
            <w:r w:rsidR="00C86C60" w:rsidRPr="006714DF">
              <w:rPr>
                <w:rStyle w:val="Hyperlink"/>
                <w:noProof/>
              </w:rPr>
              <w:t>BILAG J1. Oversigt over godkendte overvågningsplaner</w:t>
            </w:r>
            <w:r w:rsidR="00C86C60">
              <w:rPr>
                <w:noProof/>
                <w:webHidden/>
              </w:rPr>
              <w:tab/>
            </w:r>
            <w:r w:rsidR="00C86C60">
              <w:rPr>
                <w:noProof/>
                <w:webHidden/>
              </w:rPr>
              <w:fldChar w:fldCharType="begin"/>
            </w:r>
            <w:r w:rsidR="00C86C60">
              <w:rPr>
                <w:noProof/>
                <w:webHidden/>
              </w:rPr>
              <w:instrText xml:space="preserve"> PAGEREF _Toc459104420 \h </w:instrText>
            </w:r>
            <w:r w:rsidR="00C86C60">
              <w:rPr>
                <w:noProof/>
                <w:webHidden/>
              </w:rPr>
            </w:r>
            <w:r w:rsidR="00C86C60">
              <w:rPr>
                <w:noProof/>
                <w:webHidden/>
              </w:rPr>
              <w:fldChar w:fldCharType="separate"/>
            </w:r>
            <w:r w:rsidR="00C86C60">
              <w:rPr>
                <w:noProof/>
                <w:webHidden/>
              </w:rPr>
              <w:t>15</w:t>
            </w:r>
            <w:r w:rsidR="00C86C60">
              <w:rPr>
                <w:noProof/>
                <w:webHidden/>
              </w:rPr>
              <w:fldChar w:fldCharType="end"/>
            </w:r>
          </w:hyperlink>
        </w:p>
        <w:p w:rsidR="00C86C60" w:rsidRDefault="00543EDA">
          <w:pPr>
            <w:pStyle w:val="Indholdsfortegnelse2"/>
            <w:rPr>
              <w:rFonts w:eastAsiaTheme="minorEastAsia"/>
              <w:noProof/>
              <w:lang w:val="de-DE" w:eastAsia="de-DE"/>
            </w:rPr>
          </w:pPr>
          <w:hyperlink w:anchor="_Toc459104421" w:history="1">
            <w:r w:rsidR="00C86C60" w:rsidRPr="006714DF">
              <w:rPr>
                <w:rStyle w:val="Hyperlink"/>
                <w:noProof/>
              </w:rPr>
              <w:t>BILAG J2. Oversigt over procedurer for styring, kontrol og datahåndtering</w:t>
            </w:r>
            <w:r w:rsidR="00C86C60">
              <w:rPr>
                <w:noProof/>
                <w:webHidden/>
              </w:rPr>
              <w:tab/>
            </w:r>
            <w:r w:rsidR="00C86C60">
              <w:rPr>
                <w:noProof/>
                <w:webHidden/>
              </w:rPr>
              <w:fldChar w:fldCharType="begin"/>
            </w:r>
            <w:r w:rsidR="00C86C60">
              <w:rPr>
                <w:noProof/>
                <w:webHidden/>
              </w:rPr>
              <w:instrText xml:space="preserve"> PAGEREF _Toc459104421 \h </w:instrText>
            </w:r>
            <w:r w:rsidR="00C86C60">
              <w:rPr>
                <w:noProof/>
                <w:webHidden/>
              </w:rPr>
            </w:r>
            <w:r w:rsidR="00C86C60">
              <w:rPr>
                <w:noProof/>
                <w:webHidden/>
              </w:rPr>
              <w:fldChar w:fldCharType="separate"/>
            </w:r>
            <w:r w:rsidR="00C86C60">
              <w:rPr>
                <w:noProof/>
                <w:webHidden/>
              </w:rPr>
              <w:t>15</w:t>
            </w:r>
            <w:r w:rsidR="00C86C60">
              <w:rPr>
                <w:noProof/>
                <w:webHidden/>
              </w:rPr>
              <w:fldChar w:fldCharType="end"/>
            </w:r>
          </w:hyperlink>
        </w:p>
        <w:p w:rsidR="002320B2" w:rsidRDefault="00687D1D" w:rsidP="00A60F82">
          <w:pPr>
            <w:tabs>
              <w:tab w:val="right" w:pos="9638"/>
            </w:tabs>
          </w:pPr>
          <w:r>
            <w:fldChar w:fldCharType="end"/>
          </w:r>
        </w:p>
      </w:sdtContent>
    </w:sdt>
    <w:tbl>
      <w:tblPr>
        <w:tblStyle w:val="Tabel-Gitter"/>
        <w:tblW w:w="0" w:type="auto"/>
        <w:tblLook w:val="04A0" w:firstRow="1" w:lastRow="0" w:firstColumn="1" w:lastColumn="0" w:noHBand="0" w:noVBand="1"/>
      </w:tblPr>
      <w:tblGrid>
        <w:gridCol w:w="9352"/>
      </w:tblGrid>
      <w:tr w:rsidR="00AC24DF" w:rsidTr="00AC24DF">
        <w:tc>
          <w:tcPr>
            <w:tcW w:w="9352" w:type="dxa"/>
            <w:shd w:val="clear" w:color="auto" w:fill="B8CCE4" w:themeFill="accent1" w:themeFillTint="66"/>
          </w:tcPr>
          <w:p w:rsidR="00AC24DF" w:rsidRPr="00AC24DF" w:rsidRDefault="00D409FD" w:rsidP="00AC24DF">
            <w:pPr>
              <w:pStyle w:val="Overskrift1"/>
              <w:outlineLvl w:val="0"/>
              <w:rPr>
                <w:rStyle w:val="Overskrift2Tegn"/>
                <w:rFonts w:asciiTheme="minorHAnsi" w:eastAsiaTheme="majorEastAsia" w:hAnsiTheme="minorHAnsi" w:cstheme="majorBidi"/>
                <w:b/>
                <w:bCs/>
                <w:lang w:eastAsia="en-US"/>
              </w:rPr>
            </w:pPr>
            <w:r>
              <w:rPr>
                <w:rStyle w:val="Overskrift2Tegn"/>
                <w:rFonts w:asciiTheme="minorHAnsi" w:eastAsiaTheme="majorEastAsia" w:hAnsiTheme="minorHAnsi" w:cstheme="majorBidi"/>
                <w:lang w:eastAsia="en-US"/>
              </w:rPr>
              <w:lastRenderedPageBreak/>
              <w:br w:type="page"/>
            </w:r>
            <w:bookmarkStart w:id="2" w:name="_Toc459104404"/>
            <w:r w:rsidR="00AC24DF" w:rsidRPr="00AC24DF">
              <w:rPr>
                <w:rStyle w:val="Overskrift2Tegn"/>
                <w:rFonts w:asciiTheme="minorHAnsi" w:eastAsiaTheme="majorEastAsia" w:hAnsiTheme="minorHAnsi" w:cstheme="majorBidi"/>
                <w:b/>
                <w:bCs/>
                <w:lang w:eastAsia="en-US"/>
              </w:rPr>
              <w:t>Overdragelse af ansvar og håndtering af kompetencer</w:t>
            </w:r>
            <w:bookmarkEnd w:id="2"/>
          </w:p>
        </w:tc>
      </w:tr>
    </w:tbl>
    <w:p w:rsidR="00AC24DF" w:rsidRDefault="00AC24DF" w:rsidP="00AC24DF">
      <w:pPr>
        <w:pStyle w:val="Overskrift1"/>
        <w:numPr>
          <w:ilvl w:val="0"/>
          <w:numId w:val="0"/>
        </w:numPr>
        <w:rPr>
          <w:rStyle w:val="Overskrift2Tegn"/>
          <w:rFonts w:asciiTheme="minorHAnsi" w:eastAsiaTheme="majorEastAsia" w:hAnsiTheme="minorHAnsi" w:cstheme="majorBidi"/>
          <w:b/>
          <w:bCs/>
          <w:lang w:eastAsia="en-US"/>
        </w:rPr>
      </w:pPr>
    </w:p>
    <w:tbl>
      <w:tblPr>
        <w:tblStyle w:val="Tabel-Gitter"/>
        <w:tblW w:w="0" w:type="auto"/>
        <w:tblInd w:w="363" w:type="dxa"/>
        <w:tblLook w:val="04A0" w:firstRow="1" w:lastRow="0" w:firstColumn="1" w:lastColumn="0" w:noHBand="0" w:noVBand="1"/>
      </w:tblPr>
      <w:tblGrid>
        <w:gridCol w:w="1684"/>
        <w:gridCol w:w="7381"/>
      </w:tblGrid>
      <w:tr w:rsidR="002F2940" w:rsidTr="00B00FD8">
        <w:tc>
          <w:tcPr>
            <w:tcW w:w="1684" w:type="dxa"/>
          </w:tcPr>
          <w:p w:rsidR="002F2940" w:rsidRPr="002F2940" w:rsidRDefault="006A23D5" w:rsidP="00B00FD8">
            <w:pPr>
              <w:pStyle w:val="Listeafsnit"/>
              <w:autoSpaceDE w:val="0"/>
              <w:autoSpaceDN w:val="0"/>
              <w:adjustRightInd w:val="0"/>
              <w:ind w:left="0"/>
              <w:rPr>
                <w:rFonts w:ascii="Trebuchet MS" w:hAnsi="Trebuchet MS" w:cs="Trebuchet MS"/>
                <w:i/>
                <w:iCs/>
                <w:color w:val="0000FF"/>
                <w:sz w:val="18"/>
                <w:szCs w:val="18"/>
              </w:rPr>
            </w:pPr>
            <w:r>
              <w:rPr>
                <w:rFonts w:ascii="Trebuchet MS" w:hAnsi="Trebuchet MS" w:cs="Trebuchet MS"/>
                <w:i/>
                <w:iCs/>
                <w:color w:val="0000FF"/>
                <w:sz w:val="18"/>
                <w:szCs w:val="18"/>
              </w:rPr>
              <w:t>R</w:t>
            </w:r>
            <w:r w:rsidR="002F2940" w:rsidRPr="002F2940">
              <w:rPr>
                <w:rFonts w:ascii="Trebuchet MS" w:hAnsi="Trebuchet MS" w:cs="Trebuchet MS"/>
                <w:i/>
                <w:iCs/>
                <w:color w:val="0000FF"/>
                <w:sz w:val="18"/>
                <w:szCs w:val="18"/>
              </w:rPr>
              <w:t>egler</w:t>
            </w:r>
          </w:p>
        </w:tc>
        <w:tc>
          <w:tcPr>
            <w:tcW w:w="7381" w:type="dxa"/>
          </w:tcPr>
          <w:p w:rsidR="002F2940" w:rsidRPr="002F2940" w:rsidRDefault="0060166F" w:rsidP="009F3B66">
            <w:pPr>
              <w:pStyle w:val="Listeafsnit"/>
              <w:autoSpaceDE w:val="0"/>
              <w:autoSpaceDN w:val="0"/>
              <w:adjustRightInd w:val="0"/>
              <w:spacing w:before="120" w:after="120"/>
              <w:ind w:left="0"/>
              <w:rPr>
                <w:rFonts w:ascii="Trebuchet MS" w:hAnsi="Trebuchet MS" w:cs="Trebuchet MS"/>
                <w:i/>
                <w:iCs/>
                <w:color w:val="0000FF"/>
                <w:sz w:val="18"/>
                <w:szCs w:val="18"/>
              </w:rPr>
            </w:pPr>
            <w:r>
              <w:rPr>
                <w:rFonts w:ascii="Trebuchet MS" w:hAnsi="Trebuchet MS" w:cs="Trebuchet MS"/>
                <w:i/>
                <w:iCs/>
                <w:color w:val="0000FF"/>
                <w:sz w:val="18"/>
                <w:szCs w:val="18"/>
              </w:rPr>
              <w:t>A</w:t>
            </w:r>
            <w:r w:rsidR="002F2940" w:rsidRPr="002F2940">
              <w:rPr>
                <w:rFonts w:ascii="Trebuchet MS" w:hAnsi="Trebuchet MS" w:cs="Trebuchet MS"/>
                <w:i/>
                <w:iCs/>
                <w:color w:val="0000FF"/>
                <w:sz w:val="18"/>
                <w:szCs w:val="18"/>
              </w:rPr>
              <w:t>rtikel 58, stk. 3, litra c) og annex1(b)</w:t>
            </w:r>
            <w:r w:rsidRPr="002F2940">
              <w:rPr>
                <w:rFonts w:ascii="Trebuchet MS" w:hAnsi="Trebuchet MS" w:cs="Trebuchet MS"/>
                <w:i/>
                <w:iCs/>
                <w:color w:val="0000FF"/>
                <w:sz w:val="18"/>
                <w:szCs w:val="18"/>
              </w:rPr>
              <w:t xml:space="preserve"> </w:t>
            </w:r>
            <w:r>
              <w:rPr>
                <w:rFonts w:ascii="Trebuchet MS" w:hAnsi="Trebuchet MS" w:cs="Trebuchet MS"/>
                <w:i/>
                <w:iCs/>
                <w:color w:val="0000FF"/>
                <w:sz w:val="18"/>
                <w:szCs w:val="18"/>
              </w:rPr>
              <w:t xml:space="preserve">i </w:t>
            </w:r>
            <w:r w:rsidRPr="002F2940">
              <w:rPr>
                <w:rFonts w:ascii="Trebuchet MS" w:hAnsi="Trebuchet MS" w:cs="Trebuchet MS"/>
                <w:i/>
                <w:iCs/>
                <w:color w:val="0000FF"/>
                <w:sz w:val="18"/>
                <w:szCs w:val="18"/>
              </w:rPr>
              <w:t>Kommissions Forordning 601/2012</w:t>
            </w:r>
          </w:p>
        </w:tc>
      </w:tr>
      <w:tr w:rsidR="002F2940" w:rsidTr="00B00FD8">
        <w:tc>
          <w:tcPr>
            <w:tcW w:w="1684" w:type="dxa"/>
          </w:tcPr>
          <w:p w:rsidR="002F2940" w:rsidRPr="002F2940" w:rsidRDefault="002F2940" w:rsidP="00B00FD8">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Indhold i procedure</w:t>
            </w:r>
          </w:p>
        </w:tc>
        <w:tc>
          <w:tcPr>
            <w:tcW w:w="7381" w:type="dxa"/>
            <w:vAlign w:val="center"/>
          </w:tcPr>
          <w:p w:rsidR="002F2940" w:rsidRPr="002F2940" w:rsidRDefault="00B00FD8" w:rsidP="00B00FD8">
            <w:pPr>
              <w:pStyle w:val="Listeafsnit"/>
              <w:autoSpaceDE w:val="0"/>
              <w:autoSpaceDN w:val="0"/>
              <w:adjustRightInd w:val="0"/>
              <w:spacing w:before="120" w:after="120"/>
              <w:ind w:left="0"/>
              <w:rPr>
                <w:rFonts w:ascii="Trebuchet MS" w:hAnsi="Trebuchet MS" w:cs="Trebuchet MS"/>
                <w:i/>
                <w:iCs/>
                <w:color w:val="0000FF"/>
                <w:sz w:val="18"/>
                <w:szCs w:val="18"/>
              </w:rPr>
            </w:pPr>
            <w:r w:rsidRPr="00B00FD8">
              <w:rPr>
                <w:rFonts w:ascii="Trebuchet MS" w:hAnsi="Trebuchet MS" w:cs="Trebuchet MS"/>
                <w:i/>
                <w:iCs/>
                <w:color w:val="0000FF"/>
                <w:sz w:val="18"/>
                <w:szCs w:val="18"/>
              </w:rPr>
              <w:t>Procedure skal fastlægge, hvordan overvågnings- og rapporteringsansvaret overdrages, og hvordan uddannelse og revurderinger gennemføres, og hvordan arbejdsopgaver opdeles, således at alle relevante data bekræftes af en person, der ikke er involveret i registrering og indsamling af data.</w:t>
            </w:r>
          </w:p>
        </w:tc>
      </w:tr>
    </w:tbl>
    <w:p w:rsidR="002F2940" w:rsidRDefault="002F2940" w:rsidP="00374524">
      <w:pPr>
        <w:pStyle w:val="Listeafsnit"/>
        <w:autoSpaceDE w:val="0"/>
        <w:autoSpaceDN w:val="0"/>
        <w:adjustRightInd w:val="0"/>
        <w:ind w:left="363"/>
        <w:rPr>
          <w:rFonts w:ascii="Trebuchet MS" w:hAnsi="Trebuchet MS" w:cs="Trebuchet MS"/>
          <w:i/>
          <w:iCs/>
          <w:color w:val="0000FF"/>
          <w:sz w:val="18"/>
          <w:szCs w:val="18"/>
        </w:rPr>
      </w:pPr>
    </w:p>
    <w:tbl>
      <w:tblPr>
        <w:tblStyle w:val="Tabel-Gitter"/>
        <w:tblW w:w="0" w:type="auto"/>
        <w:tblInd w:w="392" w:type="dxa"/>
        <w:tblLook w:val="04A0" w:firstRow="1" w:lastRow="0" w:firstColumn="1" w:lastColumn="0" w:noHBand="0" w:noVBand="1"/>
      </w:tblPr>
      <w:tblGrid>
        <w:gridCol w:w="9036"/>
      </w:tblGrid>
      <w:tr w:rsidR="009B60C1" w:rsidRPr="00BC3D32" w:rsidTr="00A77F7C">
        <w:tc>
          <w:tcPr>
            <w:tcW w:w="9036" w:type="dxa"/>
          </w:tcPr>
          <w:p w:rsidR="006E5C88" w:rsidRPr="006E5C88" w:rsidRDefault="0060166F" w:rsidP="00E35984">
            <w:pPr>
              <w:spacing w:before="120"/>
              <w:rPr>
                <w:b/>
              </w:rPr>
            </w:pPr>
            <w:r>
              <w:rPr>
                <w:b/>
              </w:rPr>
              <w:t>Fordeling</w:t>
            </w:r>
            <w:r w:rsidR="006E5C88" w:rsidRPr="006E5C88">
              <w:rPr>
                <w:b/>
              </w:rPr>
              <w:t xml:space="preserve"> af ansvar for CO</w:t>
            </w:r>
            <w:r w:rsidR="006E5C88" w:rsidRPr="009F3B66">
              <w:rPr>
                <w:b/>
                <w:vertAlign w:val="subscript"/>
              </w:rPr>
              <w:t>2</w:t>
            </w:r>
            <w:r w:rsidR="006E5C88" w:rsidRPr="006E5C88">
              <w:rPr>
                <w:b/>
              </w:rPr>
              <w:t>-overvågning</w:t>
            </w:r>
            <w:r>
              <w:rPr>
                <w:b/>
              </w:rPr>
              <w:t xml:space="preserve"> og - rapportering</w:t>
            </w:r>
          </w:p>
          <w:p w:rsidR="009B60C1" w:rsidRPr="00BC3D32" w:rsidRDefault="000E5216" w:rsidP="006E5C88">
            <w:r w:rsidRPr="00BC3D32">
              <w:t>[</w:t>
            </w:r>
            <w:r w:rsidR="00160AAF" w:rsidRPr="00BC3D32">
              <w:t xml:space="preserve">Stillingsbetegnelse: </w:t>
            </w:r>
            <w:r w:rsidR="00441652" w:rsidRPr="00BC3D32">
              <w:t>Eks. t</w:t>
            </w:r>
            <w:r w:rsidR="00160AAF" w:rsidRPr="00BC3D32">
              <w:t>eknisk leder/driftsleder</w:t>
            </w:r>
            <w:r w:rsidRPr="00BC3D32">
              <w:t>]</w:t>
            </w:r>
            <w:r w:rsidR="0026196D" w:rsidRPr="00BC3D32">
              <w:t xml:space="preserve"> </w:t>
            </w:r>
            <w:r w:rsidRPr="00BC3D32">
              <w:t xml:space="preserve">ansat på [navn for virksomheden] </w:t>
            </w:r>
            <w:r w:rsidR="0026196D" w:rsidRPr="00BC3D32">
              <w:t xml:space="preserve">vedligeholder oversigt </w:t>
            </w:r>
            <w:r w:rsidRPr="00BC3D32">
              <w:t xml:space="preserve">(se bilag </w:t>
            </w:r>
            <w:r w:rsidR="00B65BED" w:rsidRPr="00BC3D32">
              <w:t>A</w:t>
            </w:r>
            <w:r w:rsidRPr="00BC3D32">
              <w:t xml:space="preserve">) </w:t>
            </w:r>
            <w:r w:rsidR="0026196D" w:rsidRPr="00BC3D32">
              <w:t>over personale, der er involveret i CO</w:t>
            </w:r>
            <w:r w:rsidR="0026196D" w:rsidRPr="009F3B66">
              <w:rPr>
                <w:vertAlign w:val="subscript"/>
              </w:rPr>
              <w:t>2</w:t>
            </w:r>
            <w:r w:rsidR="0026196D" w:rsidRPr="00BC3D32">
              <w:t>-overvågningen</w:t>
            </w:r>
            <w:r w:rsidR="009F2921" w:rsidRPr="00BC3D32">
              <w:t>, således at der er en entydig placering af ansvaret for CO</w:t>
            </w:r>
            <w:r w:rsidR="009F2921" w:rsidRPr="009F3B66">
              <w:rPr>
                <w:vertAlign w:val="subscript"/>
              </w:rPr>
              <w:t>2</w:t>
            </w:r>
            <w:r w:rsidR="009F2921" w:rsidRPr="00BC3D32">
              <w:t>-overvågningens overholdelse, herunder medarbejder, som har ansvar for og beføjel</w:t>
            </w:r>
            <w:r w:rsidR="00BF34F3">
              <w:t>ser til at sikre at procedurer for CO</w:t>
            </w:r>
            <w:r w:rsidR="00BF34F3" w:rsidRPr="00BF34F3">
              <w:rPr>
                <w:vertAlign w:val="subscript"/>
              </w:rPr>
              <w:t>2</w:t>
            </w:r>
            <w:r w:rsidR="00BF34F3">
              <w:t>-overvågning</w:t>
            </w:r>
            <w:r w:rsidR="00441652" w:rsidRPr="00BC3D32">
              <w:t xml:space="preserve"> </w:t>
            </w:r>
            <w:r w:rsidR="009F2921" w:rsidRPr="00BC3D32">
              <w:t>bliver fastsat, iværksat og opretholdt.</w:t>
            </w:r>
          </w:p>
          <w:p w:rsidR="0026196D" w:rsidRPr="00BC3D32" w:rsidRDefault="0026196D" w:rsidP="009B60C1"/>
          <w:p w:rsidR="006E5C88" w:rsidRPr="006E5C88" w:rsidRDefault="006E5C88" w:rsidP="009B60C1">
            <w:pPr>
              <w:rPr>
                <w:b/>
              </w:rPr>
            </w:pPr>
            <w:r w:rsidRPr="006E5C88">
              <w:rPr>
                <w:b/>
              </w:rPr>
              <w:t>Oplæring</w:t>
            </w:r>
          </w:p>
          <w:p w:rsidR="000E5216" w:rsidRPr="00BC3D32" w:rsidRDefault="0030460A" w:rsidP="009B60C1">
            <w:r w:rsidRPr="00BC3D32">
              <w:t>[</w:t>
            </w:r>
            <w:r w:rsidR="00160AAF" w:rsidRPr="00BC3D32">
              <w:t>Stillingsbetegnelse</w:t>
            </w:r>
            <w:r w:rsidRPr="00BC3D32">
              <w:t>] afholder mindst et møde om året og efter behov (f.eks. i forbindelse med årlig MUS-samtale) med hver involveret person. Formål</w:t>
            </w:r>
            <w:r w:rsidR="00A60F82">
              <w:t>et</w:t>
            </w:r>
            <w:r w:rsidRPr="00BC3D32">
              <w:t xml:space="preserve"> hermed er at </w:t>
            </w:r>
            <w:r w:rsidR="00160AAF" w:rsidRPr="00BC3D32">
              <w:t>klarlægge og fastlægge</w:t>
            </w:r>
            <w:r w:rsidRPr="00BC3D32">
              <w:t xml:space="preserve"> evt. behov for oplæring eller uddannelse. [</w:t>
            </w:r>
            <w:r w:rsidR="00441652" w:rsidRPr="00BC3D32">
              <w:t>Stillingsbetegnelse</w:t>
            </w:r>
            <w:r w:rsidR="00160AAF" w:rsidRPr="00BC3D32">
              <w:t xml:space="preserve">] </w:t>
            </w:r>
            <w:r w:rsidRPr="00BC3D32">
              <w:t>er ansvarlig for, at evt. aftalt oplæring/uddannelse gennemføres.</w:t>
            </w:r>
          </w:p>
          <w:p w:rsidR="0030460A" w:rsidRDefault="0030460A" w:rsidP="009B60C1"/>
          <w:p w:rsidR="00F5306D" w:rsidRDefault="00F5306D" w:rsidP="009B60C1">
            <w:r w:rsidRPr="006E5C88">
              <w:rPr>
                <w:b/>
              </w:rPr>
              <w:t>Udpegning af intern auditor</w:t>
            </w:r>
            <w:r w:rsidRPr="006E2A85">
              <w:t xml:space="preserve"> (intern</w:t>
            </w:r>
            <w:r w:rsidRPr="008C4DBE">
              <w:t xml:space="preserve"> revisor):</w:t>
            </w:r>
            <w:r>
              <w:t xml:space="preserve"> [Stillingsbetegnelse], der ikke er involveret i registrering og indsamling af data til CO2-overvågning, gennemfører intern evaluering og validering af data</w:t>
            </w:r>
            <w:r w:rsidR="006E5C88">
              <w:t>, jf. procedure</w:t>
            </w:r>
            <w:r w:rsidR="006E5C88" w:rsidRPr="006E5C88">
              <w:t xml:space="preserve"> for</w:t>
            </w:r>
            <w:r w:rsidR="006E5C88" w:rsidRPr="006E5C88">
              <w:rPr>
                <w:b/>
              </w:rPr>
              <w:t xml:space="preserve"> </w:t>
            </w:r>
            <w:r w:rsidR="006E5C88" w:rsidRPr="0097515A">
              <w:t>”</w:t>
            </w:r>
            <w:r w:rsidR="006E5C88" w:rsidRPr="006E5C88">
              <w:rPr>
                <w:rStyle w:val="Overskrift2Tegn"/>
                <w:rFonts w:eastAsiaTheme="minorHAnsi"/>
                <w:b w:val="0"/>
                <w:sz w:val="22"/>
                <w:szCs w:val="22"/>
              </w:rPr>
              <w:t>Sikring af regelmæssig intern gennemgang og validering af data”</w:t>
            </w:r>
            <w:r w:rsidRPr="006E5C88">
              <w:rPr>
                <w:b/>
              </w:rPr>
              <w:t>.</w:t>
            </w:r>
          </w:p>
          <w:p w:rsidR="00E35984" w:rsidRDefault="00E35984" w:rsidP="009B60C1"/>
          <w:p w:rsidR="0026196D" w:rsidRPr="00BC3D32" w:rsidRDefault="0026196D" w:rsidP="00A77F7C"/>
        </w:tc>
      </w:tr>
    </w:tbl>
    <w:p w:rsidR="00E35984" w:rsidRDefault="00E35984" w:rsidP="009F2921">
      <w:pPr>
        <w:spacing w:after="0" w:line="240" w:lineRule="auto"/>
      </w:pPr>
    </w:p>
    <w:p w:rsidR="00A77F7C" w:rsidRDefault="00A77F7C"/>
    <w:tbl>
      <w:tblPr>
        <w:tblStyle w:val="Tabel-Gitter"/>
        <w:tblW w:w="9464" w:type="dxa"/>
        <w:tblLook w:val="04A0" w:firstRow="1" w:lastRow="0" w:firstColumn="1" w:lastColumn="0" w:noHBand="0" w:noVBand="1"/>
      </w:tblPr>
      <w:tblGrid>
        <w:gridCol w:w="392"/>
        <w:gridCol w:w="4517"/>
        <w:gridCol w:w="4443"/>
        <w:gridCol w:w="112"/>
      </w:tblGrid>
      <w:tr w:rsidR="00A77F7C" w:rsidTr="00A62ACA">
        <w:trPr>
          <w:gridBefore w:val="1"/>
          <w:wBefore w:w="392" w:type="dxa"/>
        </w:trPr>
        <w:tc>
          <w:tcPr>
            <w:tcW w:w="9072" w:type="dxa"/>
            <w:gridSpan w:val="3"/>
          </w:tcPr>
          <w:p w:rsidR="00A77F7C" w:rsidRDefault="00A77F7C" w:rsidP="00A77F7C">
            <w:pPr>
              <w:jc w:val="center"/>
              <w:rPr>
                <w:b/>
              </w:rPr>
            </w:pPr>
          </w:p>
          <w:p w:rsidR="00A77F7C" w:rsidRPr="006E5C88" w:rsidRDefault="00A77F7C" w:rsidP="00A77F7C">
            <w:pPr>
              <w:jc w:val="center"/>
              <w:rPr>
                <w:b/>
              </w:rPr>
            </w:pPr>
            <w:r w:rsidRPr="006E5C88">
              <w:rPr>
                <w:b/>
              </w:rPr>
              <w:t>Fuldmagt</w:t>
            </w:r>
          </w:p>
          <w:p w:rsidR="00A77F7C" w:rsidRDefault="00A77F7C"/>
        </w:tc>
      </w:tr>
      <w:tr w:rsidR="00A77F7C" w:rsidTr="00A62ACA">
        <w:trPr>
          <w:gridBefore w:val="1"/>
          <w:wBefore w:w="392" w:type="dxa"/>
        </w:trPr>
        <w:tc>
          <w:tcPr>
            <w:tcW w:w="9072" w:type="dxa"/>
            <w:gridSpan w:val="3"/>
          </w:tcPr>
          <w:p w:rsidR="00A77F7C" w:rsidRPr="00BC3D32" w:rsidRDefault="00A77F7C" w:rsidP="00A77F7C">
            <w:r w:rsidRPr="00BC3D32">
              <w:t>[Stillingsbetegnelse] ansat på [navn for virksomheden] har fuldmagt til at tegne [navn på virksomheden] for så vidt angår den daglige drift, herunder udarbejdelse og opdatering af overvågningsplaner og indberetning af CO</w:t>
            </w:r>
            <w:r w:rsidRPr="00A77F7C">
              <w:rPr>
                <w:vertAlign w:val="subscript"/>
              </w:rPr>
              <w:t>2</w:t>
            </w:r>
            <w:r w:rsidRPr="00BC3D32">
              <w:t>-</w:t>
            </w:r>
            <w:r w:rsidR="00D25806">
              <w:t>rapportering</w:t>
            </w:r>
            <w:r w:rsidRPr="00BC3D32">
              <w:t xml:space="preserve"> til Energistyrelsen, inden for det af bestyrelsen godkendte budget. Denne fuldmagt har gyldighed indtil den tilbagekaldes af </w:t>
            </w:r>
            <w:r>
              <w:t>undertegnede</w:t>
            </w:r>
            <w:r w:rsidRPr="00BC3D32">
              <w:t>.</w:t>
            </w:r>
          </w:p>
          <w:p w:rsidR="00A77F7C" w:rsidRDefault="00A77F7C"/>
        </w:tc>
      </w:tr>
      <w:tr w:rsidR="00A77F7C" w:rsidRPr="00BC3D32" w:rsidTr="00A62ACA">
        <w:trPr>
          <w:gridBefore w:val="1"/>
          <w:wBefore w:w="392" w:type="dxa"/>
        </w:trPr>
        <w:tc>
          <w:tcPr>
            <w:tcW w:w="4517" w:type="dxa"/>
            <w:vAlign w:val="bottom"/>
          </w:tcPr>
          <w:p w:rsidR="00A77F7C" w:rsidRPr="00BC3D32" w:rsidRDefault="00A77F7C" w:rsidP="00AC2E25">
            <w:pPr>
              <w:spacing w:before="120" w:after="120"/>
            </w:pPr>
            <w:r w:rsidRPr="00BC3D32">
              <w:t>Underskrift af tegningsberettige</w:t>
            </w:r>
            <w:r>
              <w:t>de</w:t>
            </w:r>
            <w:r>
              <w:rPr>
                <w:rStyle w:val="Fodnotehenvisning"/>
              </w:rPr>
              <w:footnoteReference w:id="2"/>
            </w:r>
            <w:r>
              <w:t xml:space="preserve"> </w:t>
            </w:r>
            <w:r w:rsidR="00AC2E25">
              <w:t xml:space="preserve">for </w:t>
            </w:r>
            <w:r w:rsidR="00AC2E25" w:rsidRPr="00BC3D32">
              <w:t>virksom</w:t>
            </w:r>
            <w:r w:rsidR="00AC2E25">
              <w:t>-h</w:t>
            </w:r>
            <w:r w:rsidR="00AC2E25" w:rsidRPr="00BC3D32">
              <w:t>ede</w:t>
            </w:r>
            <w:r w:rsidR="00AC2E25">
              <w:t>n:</w:t>
            </w:r>
          </w:p>
        </w:tc>
        <w:tc>
          <w:tcPr>
            <w:tcW w:w="4555" w:type="dxa"/>
            <w:gridSpan w:val="2"/>
          </w:tcPr>
          <w:p w:rsidR="00A77F7C" w:rsidRPr="00BC3D32" w:rsidRDefault="00A77F7C" w:rsidP="00561F76"/>
          <w:p w:rsidR="00A77F7C" w:rsidRPr="00BC3D32" w:rsidRDefault="00A77F7C" w:rsidP="00561F76"/>
        </w:tc>
      </w:tr>
      <w:tr w:rsidR="00AC24DF" w:rsidTr="00A62ACA">
        <w:tblPrEx>
          <w:shd w:val="clear" w:color="auto" w:fill="B8CCE4" w:themeFill="accent1" w:themeFillTint="66"/>
        </w:tblPrEx>
        <w:trPr>
          <w:gridAfter w:val="1"/>
          <w:wAfter w:w="112" w:type="dxa"/>
        </w:trPr>
        <w:tc>
          <w:tcPr>
            <w:tcW w:w="9352" w:type="dxa"/>
            <w:gridSpan w:val="3"/>
            <w:shd w:val="clear" w:color="auto" w:fill="B8CCE4" w:themeFill="accent1" w:themeFillTint="66"/>
          </w:tcPr>
          <w:p w:rsidR="00AC24DF" w:rsidRPr="00AC24DF" w:rsidRDefault="00AC24DF" w:rsidP="00AC24DF">
            <w:pPr>
              <w:pStyle w:val="Overskrift1"/>
              <w:outlineLvl w:val="0"/>
              <w:rPr>
                <w:rStyle w:val="Overskrift2Tegn"/>
                <w:rFonts w:asciiTheme="minorHAnsi" w:eastAsiaTheme="majorEastAsia" w:hAnsiTheme="minorHAnsi" w:cstheme="majorBidi"/>
                <w:b/>
                <w:bCs/>
                <w:lang w:eastAsia="en-US"/>
              </w:rPr>
            </w:pPr>
            <w:bookmarkStart w:id="3" w:name="_Toc459104405"/>
            <w:r w:rsidRPr="00AC24DF">
              <w:rPr>
                <w:rStyle w:val="Overskrift2Tegn"/>
                <w:rFonts w:asciiTheme="minorHAnsi" w:eastAsiaTheme="majorEastAsia" w:hAnsiTheme="minorHAnsi" w:cstheme="majorBidi"/>
                <w:b/>
                <w:bCs/>
                <w:lang w:eastAsia="en-US"/>
              </w:rPr>
              <w:lastRenderedPageBreak/>
              <w:t>Regelmæssig evaluering af overvågningsplanens relevans</w:t>
            </w:r>
            <w:bookmarkEnd w:id="3"/>
          </w:p>
        </w:tc>
      </w:tr>
    </w:tbl>
    <w:p w:rsidR="0060166F" w:rsidRPr="00D409FD" w:rsidRDefault="0060166F" w:rsidP="00AC24DF">
      <w:pPr>
        <w:pStyle w:val="Overskrift1"/>
        <w:numPr>
          <w:ilvl w:val="0"/>
          <w:numId w:val="0"/>
        </w:numPr>
        <w:ind w:left="720"/>
        <w:rPr>
          <w:rStyle w:val="Overskrift2Tegn"/>
          <w:rFonts w:asciiTheme="minorHAnsi" w:eastAsiaTheme="majorEastAsia" w:hAnsiTheme="minorHAnsi" w:cstheme="majorBidi"/>
          <w:b/>
          <w:bCs/>
          <w:lang w:eastAsia="en-US"/>
        </w:rPr>
      </w:pPr>
    </w:p>
    <w:tbl>
      <w:tblPr>
        <w:tblStyle w:val="Tabel-Gitter"/>
        <w:tblW w:w="0" w:type="auto"/>
        <w:tblInd w:w="363" w:type="dxa"/>
        <w:tblLook w:val="04A0" w:firstRow="1" w:lastRow="0" w:firstColumn="1" w:lastColumn="0" w:noHBand="0" w:noVBand="1"/>
      </w:tblPr>
      <w:tblGrid>
        <w:gridCol w:w="1681"/>
        <w:gridCol w:w="7384"/>
      </w:tblGrid>
      <w:tr w:rsidR="0060166F" w:rsidTr="009E787E">
        <w:tc>
          <w:tcPr>
            <w:tcW w:w="1681" w:type="dxa"/>
          </w:tcPr>
          <w:p w:rsidR="0060166F" w:rsidRPr="002F2940" w:rsidRDefault="0060166F" w:rsidP="009E787E">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Regler</w:t>
            </w:r>
          </w:p>
        </w:tc>
        <w:tc>
          <w:tcPr>
            <w:tcW w:w="7384" w:type="dxa"/>
          </w:tcPr>
          <w:p w:rsidR="0060166F" w:rsidRDefault="00395773" w:rsidP="009E787E">
            <w:pPr>
              <w:pStyle w:val="Listeafsnit"/>
              <w:autoSpaceDE w:val="0"/>
              <w:autoSpaceDN w:val="0"/>
              <w:adjustRightInd w:val="0"/>
              <w:ind w:left="0"/>
              <w:rPr>
                <w:rFonts w:ascii="Trebuchet MS" w:hAnsi="Trebuchet MS" w:cs="Trebuchet MS"/>
                <w:i/>
                <w:iCs/>
                <w:color w:val="0000FF"/>
                <w:sz w:val="18"/>
                <w:szCs w:val="18"/>
              </w:rPr>
            </w:pPr>
            <w:r w:rsidRPr="00395773">
              <w:rPr>
                <w:rFonts w:ascii="Trebuchet MS" w:hAnsi="Trebuchet MS" w:cs="Trebuchet MS"/>
                <w:i/>
                <w:iCs/>
                <w:color w:val="0000FF"/>
                <w:sz w:val="18"/>
                <w:szCs w:val="18"/>
              </w:rPr>
              <w:t>Artikel 9, 14, 69 (1)-(3) og annex 1, (1), c) i Kommissions Forordning 601/2012.</w:t>
            </w:r>
          </w:p>
          <w:p w:rsidR="009E787E" w:rsidRPr="00395773" w:rsidRDefault="009E787E" w:rsidP="009E787E">
            <w:pPr>
              <w:pStyle w:val="Listeafsnit"/>
              <w:autoSpaceDE w:val="0"/>
              <w:autoSpaceDN w:val="0"/>
              <w:adjustRightInd w:val="0"/>
              <w:ind w:left="0"/>
              <w:rPr>
                <w:rFonts w:ascii="Trebuchet MS" w:hAnsi="Trebuchet MS" w:cs="Trebuchet MS"/>
                <w:i/>
                <w:iCs/>
                <w:color w:val="0000FF"/>
                <w:sz w:val="18"/>
                <w:szCs w:val="18"/>
              </w:rPr>
            </w:pPr>
          </w:p>
        </w:tc>
      </w:tr>
      <w:tr w:rsidR="0060166F" w:rsidTr="00F75824">
        <w:tc>
          <w:tcPr>
            <w:tcW w:w="1681" w:type="dxa"/>
          </w:tcPr>
          <w:p w:rsidR="0060166F" w:rsidRPr="002F2940" w:rsidRDefault="0060166F" w:rsidP="00395773">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Indhold i procedure</w:t>
            </w:r>
          </w:p>
        </w:tc>
        <w:tc>
          <w:tcPr>
            <w:tcW w:w="7384" w:type="dxa"/>
          </w:tcPr>
          <w:p w:rsidR="006B769F" w:rsidRPr="005D3141" w:rsidRDefault="006B769F" w:rsidP="009F03B4">
            <w:pPr>
              <w:pStyle w:val="Listeafsnit"/>
              <w:numPr>
                <w:ilvl w:val="0"/>
                <w:numId w:val="12"/>
              </w:numPr>
              <w:spacing w:before="240"/>
              <w:rPr>
                <w:rFonts w:ascii="Trebuchet MS" w:hAnsi="Trebuchet MS" w:cs="Trebuchet MS"/>
                <w:i/>
                <w:iCs/>
                <w:color w:val="0000FF"/>
                <w:sz w:val="18"/>
                <w:szCs w:val="18"/>
              </w:rPr>
            </w:pPr>
            <w:r w:rsidRPr="005D3141">
              <w:rPr>
                <w:rFonts w:ascii="Trebuchet MS" w:hAnsi="Trebuchet MS" w:cs="Trebuchet MS"/>
                <w:i/>
                <w:iCs/>
                <w:color w:val="0000FF"/>
                <w:sz w:val="18"/>
                <w:szCs w:val="18"/>
              </w:rPr>
              <w:t>Kontrol af listerne over anlæg og kildestrømme med henblik på at sikre alle emissioner og kildestrømme opgøres korrekt, samt sikre, at alle relevante ændringer i produktionsenhedens funktion og opbygning vil blive medtaget i overvågningsplanen</w:t>
            </w:r>
          </w:p>
          <w:p w:rsidR="006B769F" w:rsidRPr="005D3141" w:rsidRDefault="006B769F" w:rsidP="006B769F">
            <w:pPr>
              <w:pStyle w:val="Listeafsnit"/>
              <w:spacing w:before="240"/>
              <w:rPr>
                <w:sz w:val="18"/>
                <w:szCs w:val="18"/>
              </w:rPr>
            </w:pPr>
          </w:p>
          <w:p w:rsidR="006B769F" w:rsidRPr="005D3141" w:rsidRDefault="006B769F" w:rsidP="009F03B4">
            <w:pPr>
              <w:pStyle w:val="Listeafsnit"/>
              <w:numPr>
                <w:ilvl w:val="0"/>
                <w:numId w:val="12"/>
              </w:numPr>
              <w:rPr>
                <w:rFonts w:ascii="Trebuchet MS" w:eastAsia="Times New Roman" w:hAnsi="Trebuchet MS" w:cs="Arial"/>
                <w:i/>
                <w:iCs/>
                <w:color w:val="0000FF"/>
                <w:sz w:val="18"/>
                <w:szCs w:val="18"/>
                <w:lang w:eastAsia="da-DK"/>
              </w:rPr>
            </w:pPr>
            <w:r w:rsidRPr="005D3141">
              <w:rPr>
                <w:rFonts w:ascii="Trebuchet MS" w:eastAsia="Times New Roman" w:hAnsi="Trebuchet MS" w:cs="Arial"/>
                <w:i/>
                <w:iCs/>
                <w:color w:val="0000FF"/>
                <w:sz w:val="18"/>
                <w:szCs w:val="18"/>
                <w:lang w:eastAsia="da-DK"/>
              </w:rPr>
              <w:t>Vurdering af overholdelse af usikkerhedstærsklerne for aktivitetsdata og andre parametre (hvis relevant) for de anvendte metodetrin for hver kildestrøm og emissionsstrøm.</w:t>
            </w:r>
          </w:p>
          <w:p w:rsidR="006B769F" w:rsidRPr="005D3141" w:rsidRDefault="006B769F" w:rsidP="006B769F">
            <w:pPr>
              <w:rPr>
                <w:rFonts w:ascii="Trebuchet MS" w:hAnsi="Trebuchet MS"/>
                <w:color w:val="0000FF"/>
                <w:sz w:val="18"/>
                <w:szCs w:val="18"/>
              </w:rPr>
            </w:pPr>
          </w:p>
          <w:p w:rsidR="006B769F" w:rsidRPr="005D3141" w:rsidRDefault="006B769F" w:rsidP="006B769F">
            <w:pPr>
              <w:ind w:left="360"/>
              <w:rPr>
                <w:rFonts w:ascii="Trebuchet MS" w:hAnsi="Trebuchet MS"/>
                <w:i/>
                <w:color w:val="0000FF"/>
                <w:sz w:val="18"/>
                <w:szCs w:val="18"/>
              </w:rPr>
            </w:pPr>
            <w:r w:rsidRPr="005D3141">
              <w:rPr>
                <w:rFonts w:ascii="Trebuchet MS" w:hAnsi="Trebuchet MS"/>
                <w:i/>
                <w:color w:val="0000FF"/>
                <w:sz w:val="18"/>
                <w:szCs w:val="18"/>
              </w:rPr>
              <w:t>Produktionsenheder med små udledninger (&lt; 25.000 ton CO</w:t>
            </w:r>
            <w:r w:rsidRPr="00180F65">
              <w:rPr>
                <w:rFonts w:ascii="Trebuchet MS" w:hAnsi="Trebuchet MS"/>
                <w:i/>
                <w:color w:val="0000FF"/>
                <w:sz w:val="18"/>
                <w:szCs w:val="18"/>
                <w:vertAlign w:val="subscript"/>
              </w:rPr>
              <w:t>2</w:t>
            </w:r>
            <w:r w:rsidRPr="005D3141">
              <w:rPr>
                <w:rFonts w:ascii="Trebuchet MS" w:hAnsi="Trebuchet MS"/>
                <w:i/>
                <w:color w:val="0000FF"/>
                <w:sz w:val="18"/>
                <w:szCs w:val="18"/>
              </w:rPr>
              <w:t>) er undtaget fra kravet, om at forelægge usikkerhedsvurderinger til Energistyrelsen (jf. artikel 47 (4)</w:t>
            </w:r>
            <w:r w:rsidR="00180F65">
              <w:rPr>
                <w:rFonts w:ascii="Trebuchet MS" w:hAnsi="Trebuchet MS"/>
                <w:i/>
                <w:color w:val="0000FF"/>
                <w:sz w:val="18"/>
                <w:szCs w:val="18"/>
              </w:rPr>
              <w:t>-(5)</w:t>
            </w:r>
            <w:r w:rsidRPr="005D3141">
              <w:rPr>
                <w:rFonts w:ascii="Trebuchet MS" w:hAnsi="Trebuchet MS"/>
                <w:i/>
                <w:color w:val="0000FF"/>
                <w:sz w:val="18"/>
                <w:szCs w:val="18"/>
              </w:rPr>
              <w:t xml:space="preserve"> i Kommissionens forordning 601/2012)</w:t>
            </w:r>
            <w:r w:rsidR="00180F65">
              <w:rPr>
                <w:rFonts w:ascii="Trebuchet MS" w:hAnsi="Trebuchet MS"/>
                <w:i/>
                <w:color w:val="0000FF"/>
                <w:sz w:val="18"/>
                <w:szCs w:val="18"/>
              </w:rPr>
              <w:t>, når brændsel er baseret på faktura</w:t>
            </w:r>
            <w:r w:rsidRPr="005D3141">
              <w:rPr>
                <w:rFonts w:ascii="Trebuchet MS" w:hAnsi="Trebuchet MS"/>
                <w:i/>
                <w:color w:val="0000FF"/>
                <w:sz w:val="18"/>
                <w:szCs w:val="18"/>
              </w:rPr>
              <w:t xml:space="preserve">. </w:t>
            </w:r>
          </w:p>
          <w:p w:rsidR="006B769F" w:rsidRPr="005D3141" w:rsidRDefault="006B769F" w:rsidP="006B769F">
            <w:pPr>
              <w:ind w:left="360"/>
              <w:rPr>
                <w:rFonts w:ascii="Trebuchet MS" w:hAnsi="Trebuchet MS"/>
                <w:i/>
                <w:color w:val="0000FF"/>
                <w:sz w:val="18"/>
                <w:szCs w:val="18"/>
              </w:rPr>
            </w:pPr>
          </w:p>
          <w:p w:rsidR="006B769F" w:rsidRPr="005D3141" w:rsidRDefault="006B769F" w:rsidP="006B769F">
            <w:pPr>
              <w:ind w:left="360"/>
              <w:rPr>
                <w:rFonts w:ascii="Trebuchet MS" w:hAnsi="Trebuchet MS"/>
                <w:i/>
                <w:color w:val="0000FF"/>
                <w:sz w:val="18"/>
                <w:szCs w:val="18"/>
              </w:rPr>
            </w:pPr>
            <w:r w:rsidRPr="005D3141">
              <w:rPr>
                <w:rFonts w:ascii="Trebuchet MS" w:hAnsi="Trebuchet MS"/>
                <w:i/>
                <w:color w:val="0000FF"/>
                <w:sz w:val="18"/>
                <w:szCs w:val="18"/>
              </w:rPr>
              <w:t>For produktionsenheder, der udleder &gt; 25.000 ton CO</w:t>
            </w:r>
            <w:r w:rsidRPr="005D3141">
              <w:rPr>
                <w:rFonts w:ascii="Trebuchet MS" w:hAnsi="Trebuchet MS"/>
                <w:i/>
                <w:color w:val="0000FF"/>
                <w:sz w:val="18"/>
                <w:szCs w:val="18"/>
                <w:vertAlign w:val="subscript"/>
              </w:rPr>
              <w:t>2</w:t>
            </w:r>
            <w:r w:rsidRPr="005D3141">
              <w:rPr>
                <w:rFonts w:ascii="Trebuchet MS" w:hAnsi="Trebuchet MS"/>
                <w:i/>
                <w:color w:val="0000FF"/>
                <w:sz w:val="18"/>
                <w:szCs w:val="18"/>
              </w:rPr>
              <w:t xml:space="preserve"> skal driftsleder sammen med overvågningsplanen levere dokumentation på, at der er foretaget usikkerhedsvurdering, og at alle relevante metodetrin overholdes.</w:t>
            </w:r>
          </w:p>
          <w:p w:rsidR="005D3141" w:rsidRPr="005D3141" w:rsidRDefault="006B769F" w:rsidP="006B769F">
            <w:pPr>
              <w:ind w:left="360"/>
              <w:rPr>
                <w:rFonts w:ascii="Trebuchet MS" w:hAnsi="Trebuchet MS"/>
                <w:i/>
                <w:color w:val="0000FF"/>
                <w:sz w:val="18"/>
                <w:szCs w:val="18"/>
              </w:rPr>
            </w:pPr>
            <w:r w:rsidRPr="005D3141">
              <w:rPr>
                <w:rFonts w:ascii="Trebuchet MS" w:hAnsi="Trebuchet MS"/>
                <w:i/>
                <w:color w:val="0000FF"/>
                <w:sz w:val="18"/>
                <w:szCs w:val="18"/>
              </w:rPr>
              <w:t xml:space="preserve">Den henvises til Kommissionens vejledning om usikkerhedsvurdering, der kan findes på </w:t>
            </w:r>
            <w:hyperlink r:id="rId12" w:history="1">
              <w:r w:rsidRPr="005D3141">
                <w:rPr>
                  <w:rStyle w:val="Hyperlink"/>
                  <w:rFonts w:ascii="Trebuchet MS" w:hAnsi="Trebuchet MS"/>
                  <w:i/>
                  <w:sz w:val="18"/>
                  <w:szCs w:val="18"/>
                </w:rPr>
                <w:t>Energistyrelsens hjemmeside</w:t>
              </w:r>
            </w:hyperlink>
            <w:r w:rsidRPr="005D3141">
              <w:rPr>
                <w:rFonts w:ascii="Trebuchet MS" w:hAnsi="Trebuchet MS"/>
                <w:i/>
                <w:color w:val="0000FF"/>
                <w:sz w:val="18"/>
                <w:szCs w:val="18"/>
              </w:rPr>
              <w:t>.</w:t>
            </w:r>
          </w:p>
          <w:p w:rsidR="005D3141" w:rsidRPr="005D3141" w:rsidRDefault="005D3141" w:rsidP="006B769F">
            <w:pPr>
              <w:ind w:left="360"/>
              <w:rPr>
                <w:rFonts w:ascii="Trebuchet MS" w:hAnsi="Trebuchet MS"/>
                <w:i/>
                <w:color w:val="0000FF"/>
                <w:sz w:val="18"/>
                <w:szCs w:val="18"/>
              </w:rPr>
            </w:pPr>
          </w:p>
          <w:p w:rsidR="005D3141" w:rsidRPr="005D3141" w:rsidRDefault="005D3141" w:rsidP="009F03B4">
            <w:pPr>
              <w:pStyle w:val="Listeafsnit"/>
              <w:numPr>
                <w:ilvl w:val="0"/>
                <w:numId w:val="12"/>
              </w:numPr>
              <w:rPr>
                <w:rFonts w:ascii="Trebuchet MS" w:hAnsi="Trebuchet MS" w:cs="Trebuchet MS"/>
                <w:i/>
                <w:iCs/>
                <w:color w:val="0000FF"/>
                <w:sz w:val="18"/>
                <w:szCs w:val="18"/>
              </w:rPr>
            </w:pPr>
            <w:r w:rsidRPr="005D3141">
              <w:rPr>
                <w:rFonts w:ascii="Trebuchet MS" w:hAnsi="Trebuchet MS" w:cs="Trebuchet MS"/>
                <w:i/>
                <w:iCs/>
                <w:color w:val="0000FF"/>
                <w:sz w:val="18"/>
                <w:szCs w:val="18"/>
              </w:rPr>
              <w:t>Vurdering af mulige foranstaltninger til forbedring af den anvendte overvågningsmetode.</w:t>
            </w:r>
          </w:p>
          <w:p w:rsidR="005D3141" w:rsidRPr="005D3141" w:rsidRDefault="005D3141" w:rsidP="005D3141">
            <w:pPr>
              <w:pStyle w:val="Listeafsnit"/>
              <w:ind w:left="360"/>
              <w:rPr>
                <w:rFonts w:ascii="Trebuchet MS" w:hAnsi="Trebuchet MS"/>
                <w:i/>
                <w:color w:val="0000FF"/>
                <w:sz w:val="18"/>
                <w:szCs w:val="18"/>
              </w:rPr>
            </w:pPr>
          </w:p>
          <w:p w:rsidR="005D3141" w:rsidRPr="006B769F" w:rsidRDefault="005D3141" w:rsidP="005D3141">
            <w:pPr>
              <w:ind w:left="360"/>
              <w:rPr>
                <w:rFonts w:ascii="Trebuchet MS" w:hAnsi="Trebuchet MS"/>
                <w:color w:val="0000FF"/>
                <w:sz w:val="18"/>
                <w:szCs w:val="18"/>
              </w:rPr>
            </w:pPr>
            <w:r w:rsidRPr="006B769F">
              <w:rPr>
                <w:rFonts w:ascii="Trebuchet MS" w:hAnsi="Trebuchet MS"/>
                <w:i/>
                <w:color w:val="0000FF"/>
                <w:sz w:val="18"/>
                <w:szCs w:val="18"/>
              </w:rPr>
              <w:t xml:space="preserve">De nye regler fra Kommissionen har indført et nyt element ”forbedringsrapporter” i overvågningen. </w:t>
            </w:r>
          </w:p>
          <w:p w:rsidR="005D3141" w:rsidRPr="006B769F" w:rsidRDefault="00BC07EB" w:rsidP="005D3141">
            <w:pPr>
              <w:ind w:left="360"/>
              <w:rPr>
                <w:rFonts w:ascii="Trebuchet MS" w:hAnsi="Trebuchet MS"/>
                <w:i/>
                <w:color w:val="0000FF"/>
                <w:sz w:val="18"/>
                <w:szCs w:val="18"/>
              </w:rPr>
            </w:pPr>
            <w:r>
              <w:rPr>
                <w:rFonts w:ascii="Trebuchet MS" w:hAnsi="Trebuchet MS"/>
                <w:i/>
                <w:color w:val="0000FF"/>
                <w:sz w:val="18"/>
                <w:szCs w:val="18"/>
              </w:rPr>
              <w:t>Hv</w:t>
            </w:r>
            <w:r w:rsidR="00EC17A6">
              <w:rPr>
                <w:rFonts w:ascii="Trebuchet MS" w:hAnsi="Trebuchet MS"/>
                <w:i/>
                <w:color w:val="0000FF"/>
                <w:sz w:val="18"/>
                <w:szCs w:val="18"/>
              </w:rPr>
              <w:t>o</w:t>
            </w:r>
            <w:r>
              <w:rPr>
                <w:rFonts w:ascii="Trebuchet MS" w:hAnsi="Trebuchet MS"/>
                <w:i/>
                <w:color w:val="0000FF"/>
                <w:sz w:val="18"/>
                <w:szCs w:val="18"/>
              </w:rPr>
              <w:t>r der er givet dispensation for metode trin skal der f</w:t>
            </w:r>
            <w:r w:rsidR="005D3141" w:rsidRPr="006B769F">
              <w:rPr>
                <w:rFonts w:ascii="Trebuchet MS" w:hAnsi="Trebuchet MS"/>
                <w:i/>
                <w:color w:val="0000FF"/>
                <w:sz w:val="18"/>
                <w:szCs w:val="18"/>
              </w:rPr>
              <w:t>or produktionsenheder</w:t>
            </w:r>
            <w:r w:rsidR="005D3141">
              <w:rPr>
                <w:rFonts w:ascii="Trebuchet MS" w:hAnsi="Trebuchet MS"/>
                <w:i/>
                <w:color w:val="0000FF"/>
                <w:sz w:val="18"/>
                <w:szCs w:val="18"/>
              </w:rPr>
              <w:t xml:space="preserve"> </w:t>
            </w:r>
            <w:r w:rsidR="005D3141" w:rsidRPr="006B769F">
              <w:rPr>
                <w:rFonts w:ascii="Trebuchet MS" w:hAnsi="Trebuchet MS"/>
                <w:i/>
                <w:color w:val="0000FF"/>
                <w:sz w:val="18"/>
                <w:szCs w:val="18"/>
              </w:rPr>
              <w:t xml:space="preserve">med gennemsnitlige årlige udledninger i periode 2: </w:t>
            </w:r>
          </w:p>
          <w:p w:rsidR="005D3141" w:rsidRPr="006B769F" w:rsidRDefault="005D3141" w:rsidP="005D3141">
            <w:pPr>
              <w:ind w:left="360"/>
              <w:rPr>
                <w:rFonts w:ascii="Trebuchet MS" w:hAnsi="Trebuchet MS"/>
                <w:i/>
                <w:color w:val="0000FF"/>
                <w:sz w:val="18"/>
                <w:szCs w:val="18"/>
              </w:rPr>
            </w:pPr>
            <w:r w:rsidRPr="006B769F">
              <w:rPr>
                <w:rFonts w:ascii="Trebuchet MS" w:hAnsi="Trebuchet MS"/>
                <w:i/>
                <w:color w:val="0000FF"/>
                <w:sz w:val="18"/>
                <w:szCs w:val="18"/>
              </w:rPr>
              <w:t>&lt; 50.000 (men &gt; eller lig med 25.000) ton CO</w:t>
            </w:r>
            <w:r w:rsidRPr="00180F65">
              <w:rPr>
                <w:rFonts w:ascii="Trebuchet MS" w:hAnsi="Trebuchet MS"/>
                <w:i/>
                <w:color w:val="0000FF"/>
                <w:sz w:val="18"/>
                <w:szCs w:val="18"/>
                <w:vertAlign w:val="subscript"/>
              </w:rPr>
              <w:t>2</w:t>
            </w:r>
            <w:r w:rsidRPr="006B769F">
              <w:rPr>
                <w:rFonts w:ascii="Trebuchet MS" w:hAnsi="Trebuchet MS"/>
                <w:i/>
                <w:color w:val="0000FF"/>
                <w:sz w:val="18"/>
                <w:szCs w:val="18"/>
              </w:rPr>
              <w:t xml:space="preserve"> indsendes rapport hvert 4. år</w:t>
            </w:r>
          </w:p>
          <w:p w:rsidR="005D3141" w:rsidRPr="006B769F" w:rsidRDefault="005D3141" w:rsidP="005D3141">
            <w:pPr>
              <w:ind w:left="360"/>
              <w:rPr>
                <w:rFonts w:ascii="Trebuchet MS" w:hAnsi="Trebuchet MS"/>
                <w:i/>
                <w:color w:val="0000FF"/>
                <w:sz w:val="18"/>
                <w:szCs w:val="18"/>
              </w:rPr>
            </w:pPr>
            <w:r w:rsidRPr="006B769F">
              <w:rPr>
                <w:rFonts w:ascii="Trebuchet MS" w:hAnsi="Trebuchet MS"/>
                <w:i/>
                <w:color w:val="0000FF"/>
                <w:sz w:val="18"/>
                <w:szCs w:val="18"/>
              </w:rPr>
              <w:t>&gt; 50.000 ton CO</w:t>
            </w:r>
            <w:r w:rsidRPr="00180F65">
              <w:rPr>
                <w:rFonts w:ascii="Trebuchet MS" w:hAnsi="Trebuchet MS"/>
                <w:i/>
                <w:color w:val="0000FF"/>
                <w:sz w:val="18"/>
                <w:szCs w:val="18"/>
                <w:vertAlign w:val="subscript"/>
              </w:rPr>
              <w:t>2</w:t>
            </w:r>
            <w:r w:rsidRPr="006B769F">
              <w:rPr>
                <w:rFonts w:ascii="Trebuchet MS" w:hAnsi="Trebuchet MS"/>
                <w:i/>
                <w:color w:val="0000FF"/>
                <w:sz w:val="18"/>
                <w:szCs w:val="18"/>
              </w:rPr>
              <w:t xml:space="preserve"> indsendes rapport hvert 2. år.</w:t>
            </w:r>
          </w:p>
          <w:p w:rsidR="005D3141" w:rsidRPr="006B769F" w:rsidRDefault="005D3141" w:rsidP="005D3141">
            <w:pPr>
              <w:ind w:left="360"/>
              <w:rPr>
                <w:rFonts w:ascii="Trebuchet MS" w:hAnsi="Trebuchet MS"/>
                <w:i/>
                <w:color w:val="0000FF"/>
                <w:sz w:val="18"/>
                <w:szCs w:val="18"/>
              </w:rPr>
            </w:pPr>
            <w:r w:rsidRPr="006B769F">
              <w:rPr>
                <w:rFonts w:ascii="Trebuchet MS" w:hAnsi="Trebuchet MS"/>
                <w:i/>
                <w:color w:val="0000FF"/>
                <w:sz w:val="18"/>
                <w:szCs w:val="18"/>
              </w:rPr>
              <w:t>&gt; 500.000 ton CO</w:t>
            </w:r>
            <w:r w:rsidRPr="00180F65">
              <w:rPr>
                <w:rFonts w:ascii="Trebuchet MS" w:hAnsi="Trebuchet MS"/>
                <w:i/>
                <w:color w:val="0000FF"/>
                <w:sz w:val="18"/>
                <w:szCs w:val="18"/>
                <w:vertAlign w:val="subscript"/>
              </w:rPr>
              <w:t>2</w:t>
            </w:r>
            <w:r w:rsidRPr="006B769F">
              <w:rPr>
                <w:rFonts w:ascii="Trebuchet MS" w:hAnsi="Trebuchet MS"/>
                <w:i/>
                <w:color w:val="0000FF"/>
                <w:sz w:val="18"/>
                <w:szCs w:val="18"/>
              </w:rPr>
              <w:t xml:space="preserve"> indsendes rapport hvert år</w:t>
            </w:r>
          </w:p>
          <w:p w:rsidR="005D3141" w:rsidRPr="00166E2D" w:rsidRDefault="005D3141" w:rsidP="005D3141">
            <w:pPr>
              <w:ind w:left="360"/>
              <w:rPr>
                <w:rFonts w:ascii="Trebuchet MS" w:hAnsi="Trebuchet MS"/>
                <w:i/>
                <w:color w:val="0000FF"/>
                <w:sz w:val="18"/>
                <w:szCs w:val="18"/>
              </w:rPr>
            </w:pPr>
            <w:r w:rsidRPr="006B769F">
              <w:rPr>
                <w:rFonts w:ascii="Trebuchet MS" w:hAnsi="Trebuchet MS"/>
                <w:i/>
                <w:color w:val="0000FF"/>
                <w:sz w:val="18"/>
                <w:szCs w:val="18"/>
              </w:rPr>
              <w:t xml:space="preserve">Hvis der er </w:t>
            </w:r>
            <w:r w:rsidR="00BC07EB">
              <w:rPr>
                <w:rFonts w:ascii="Trebuchet MS" w:hAnsi="Trebuchet MS"/>
                <w:i/>
                <w:color w:val="0000FF"/>
                <w:sz w:val="18"/>
                <w:szCs w:val="18"/>
              </w:rPr>
              <w:t>anbefaling</w:t>
            </w:r>
            <w:r w:rsidRPr="006B769F">
              <w:rPr>
                <w:rFonts w:ascii="Trebuchet MS" w:hAnsi="Trebuchet MS"/>
                <w:i/>
                <w:color w:val="0000FF"/>
                <w:sz w:val="18"/>
                <w:szCs w:val="18"/>
              </w:rPr>
              <w:t>er fra verifikator</w:t>
            </w:r>
            <w:r w:rsidR="00BC07EB">
              <w:rPr>
                <w:rFonts w:ascii="Trebuchet MS" w:hAnsi="Trebuchet MS"/>
                <w:i/>
                <w:color w:val="0000FF"/>
                <w:sz w:val="18"/>
                <w:szCs w:val="18"/>
              </w:rPr>
              <w:t xml:space="preserve"> om forbedring og afvigelse</w:t>
            </w:r>
            <w:r w:rsidRPr="006B769F">
              <w:rPr>
                <w:rFonts w:ascii="Trebuchet MS" w:hAnsi="Trebuchet MS"/>
                <w:i/>
                <w:color w:val="0000FF"/>
                <w:sz w:val="18"/>
                <w:szCs w:val="18"/>
              </w:rPr>
              <w:t xml:space="preserve"> skal dog indsendes årlig forbedringsrapport.</w:t>
            </w:r>
            <w:r w:rsidR="00166E2D" w:rsidRPr="006B769F">
              <w:rPr>
                <w:rFonts w:ascii="Trebuchet MS" w:hAnsi="Trebuchet MS"/>
                <w:i/>
                <w:color w:val="0000FF"/>
                <w:sz w:val="18"/>
                <w:szCs w:val="18"/>
              </w:rPr>
              <w:t xml:space="preserve"> Produktionsenheder med gennemsnitlige årlige udledninger under 25.000 ton CO</w:t>
            </w:r>
            <w:r w:rsidR="00166E2D" w:rsidRPr="00180F65">
              <w:rPr>
                <w:rFonts w:ascii="Trebuchet MS" w:hAnsi="Trebuchet MS"/>
                <w:i/>
                <w:color w:val="0000FF"/>
                <w:sz w:val="18"/>
                <w:szCs w:val="18"/>
                <w:vertAlign w:val="subscript"/>
              </w:rPr>
              <w:t>2</w:t>
            </w:r>
            <w:r w:rsidR="00166E2D" w:rsidRPr="006B769F">
              <w:rPr>
                <w:rFonts w:ascii="Trebuchet MS" w:hAnsi="Trebuchet MS"/>
                <w:i/>
                <w:color w:val="0000FF"/>
                <w:sz w:val="18"/>
                <w:szCs w:val="18"/>
              </w:rPr>
              <w:t xml:space="preserve"> er </w:t>
            </w:r>
            <w:r w:rsidR="00EC17A6">
              <w:rPr>
                <w:rFonts w:ascii="Trebuchet MS" w:hAnsi="Trebuchet MS"/>
                <w:i/>
                <w:color w:val="0000FF"/>
                <w:sz w:val="18"/>
                <w:szCs w:val="18"/>
              </w:rPr>
              <w:t>ved anbefaling om forbedring</w:t>
            </w:r>
            <w:r w:rsidR="00EC17A6" w:rsidRPr="006B769F">
              <w:rPr>
                <w:rFonts w:ascii="Trebuchet MS" w:hAnsi="Trebuchet MS"/>
                <w:i/>
                <w:color w:val="0000FF"/>
                <w:sz w:val="18"/>
                <w:szCs w:val="18"/>
              </w:rPr>
              <w:t xml:space="preserve"> </w:t>
            </w:r>
            <w:r w:rsidR="00166E2D" w:rsidRPr="006B769F">
              <w:rPr>
                <w:rFonts w:ascii="Trebuchet MS" w:hAnsi="Trebuchet MS"/>
                <w:i/>
                <w:color w:val="0000FF"/>
                <w:sz w:val="18"/>
                <w:szCs w:val="18"/>
              </w:rPr>
              <w:t>ikke omfattet af krav</w:t>
            </w:r>
            <w:r w:rsidR="00EC17A6">
              <w:rPr>
                <w:rFonts w:ascii="Trebuchet MS" w:hAnsi="Trebuchet MS"/>
                <w:i/>
                <w:color w:val="0000FF"/>
                <w:sz w:val="18"/>
                <w:szCs w:val="18"/>
              </w:rPr>
              <w:t>et</w:t>
            </w:r>
            <w:r w:rsidR="00BC07EB">
              <w:rPr>
                <w:rFonts w:ascii="Trebuchet MS" w:hAnsi="Trebuchet MS"/>
                <w:i/>
                <w:color w:val="0000FF"/>
                <w:sz w:val="18"/>
                <w:szCs w:val="18"/>
              </w:rPr>
              <w:t xml:space="preserve"> om </w:t>
            </w:r>
            <w:r w:rsidR="00EC17A6">
              <w:rPr>
                <w:rFonts w:ascii="Trebuchet MS" w:hAnsi="Trebuchet MS"/>
                <w:i/>
                <w:color w:val="0000FF"/>
                <w:sz w:val="18"/>
                <w:szCs w:val="18"/>
              </w:rPr>
              <w:t xml:space="preserve">indsendelse af </w:t>
            </w:r>
            <w:r w:rsidR="00BC07EB">
              <w:rPr>
                <w:rFonts w:ascii="Trebuchet MS" w:hAnsi="Trebuchet MS"/>
                <w:i/>
                <w:color w:val="0000FF"/>
                <w:sz w:val="18"/>
                <w:szCs w:val="18"/>
              </w:rPr>
              <w:t>forbedringsrapport</w:t>
            </w:r>
            <w:r w:rsidR="00166E2D">
              <w:rPr>
                <w:rFonts w:ascii="Trebuchet MS" w:hAnsi="Trebuchet MS"/>
                <w:color w:val="0000FF"/>
                <w:sz w:val="18"/>
                <w:szCs w:val="18"/>
              </w:rPr>
              <w:t xml:space="preserve">, </w:t>
            </w:r>
            <w:r w:rsidR="00166E2D" w:rsidRPr="00166E2D">
              <w:rPr>
                <w:rFonts w:ascii="Trebuchet MS" w:hAnsi="Trebuchet MS"/>
                <w:i/>
                <w:color w:val="0000FF"/>
                <w:sz w:val="18"/>
                <w:szCs w:val="18"/>
              </w:rPr>
              <w:t>jf. artikel 47 (3).</w:t>
            </w:r>
          </w:p>
          <w:p w:rsidR="0060166F" w:rsidRPr="002F2940" w:rsidRDefault="0060166F" w:rsidP="00395773">
            <w:pPr>
              <w:pStyle w:val="Listeafsnit"/>
              <w:autoSpaceDE w:val="0"/>
              <w:autoSpaceDN w:val="0"/>
              <w:adjustRightInd w:val="0"/>
              <w:ind w:left="0"/>
              <w:rPr>
                <w:rFonts w:ascii="Trebuchet MS" w:hAnsi="Trebuchet MS" w:cs="Trebuchet MS"/>
                <w:i/>
                <w:iCs/>
                <w:color w:val="0000FF"/>
                <w:sz w:val="18"/>
                <w:szCs w:val="18"/>
              </w:rPr>
            </w:pPr>
          </w:p>
        </w:tc>
      </w:tr>
    </w:tbl>
    <w:p w:rsidR="0060166F" w:rsidRDefault="0060166F" w:rsidP="00067183">
      <w:pPr>
        <w:pStyle w:val="Listeafsnit"/>
        <w:autoSpaceDE w:val="0"/>
        <w:autoSpaceDN w:val="0"/>
        <w:adjustRightInd w:val="0"/>
        <w:rPr>
          <w:rFonts w:ascii="Trebuchet MS" w:hAnsi="Trebuchet MS" w:cs="Trebuchet MS"/>
          <w:iCs/>
          <w:color w:val="0000FF"/>
          <w:sz w:val="18"/>
          <w:szCs w:val="18"/>
        </w:rPr>
      </w:pPr>
    </w:p>
    <w:tbl>
      <w:tblPr>
        <w:tblStyle w:val="Tabel-Gitter"/>
        <w:tblW w:w="0" w:type="auto"/>
        <w:tblInd w:w="392" w:type="dxa"/>
        <w:tblLook w:val="04A0" w:firstRow="1" w:lastRow="0" w:firstColumn="1" w:lastColumn="0" w:noHBand="0" w:noVBand="1"/>
      </w:tblPr>
      <w:tblGrid>
        <w:gridCol w:w="9036"/>
      </w:tblGrid>
      <w:tr w:rsidR="0095645F" w:rsidTr="00D409FD">
        <w:tc>
          <w:tcPr>
            <w:tcW w:w="9036" w:type="dxa"/>
          </w:tcPr>
          <w:p w:rsidR="001D5013" w:rsidRPr="00EE55DF" w:rsidRDefault="001D5013" w:rsidP="001D5013">
            <w:r>
              <w:rPr>
                <w:b/>
              </w:rPr>
              <w:t>Æ</w:t>
            </w:r>
            <w:r w:rsidR="00761EFB" w:rsidRPr="00EE55DF">
              <w:rPr>
                <w:b/>
              </w:rPr>
              <w:t>ndringer i emissionskilder og kildestrømme</w:t>
            </w:r>
            <w:r w:rsidR="00761EFB" w:rsidRPr="00EE55DF">
              <w:t xml:space="preserve"> </w:t>
            </w:r>
            <w:r w:rsidRPr="00EE55DF">
              <w:t>notere</w:t>
            </w:r>
            <w:r w:rsidR="00664B20">
              <w:t>s</w:t>
            </w:r>
            <w:r w:rsidRPr="00EE55DF">
              <w:t xml:space="preserve"> på kontrolark 1 (se bilag </w:t>
            </w:r>
            <w:r w:rsidR="006B769F">
              <w:t>B1</w:t>
            </w:r>
            <w:r w:rsidRPr="00EE55DF">
              <w:t xml:space="preserve">), og </w:t>
            </w:r>
            <w:r w:rsidR="00EF6C77">
              <w:t>konsekvenser af ændringer</w:t>
            </w:r>
            <w:r w:rsidR="00D80EBF">
              <w:t xml:space="preserve"> noteres, herunder vurderes, om der skal ske opdatering af </w:t>
            </w:r>
            <w:r w:rsidRPr="00EE55DF">
              <w:t>CO</w:t>
            </w:r>
            <w:r w:rsidRPr="00A77F7C">
              <w:rPr>
                <w:vertAlign w:val="subscript"/>
              </w:rPr>
              <w:t>2</w:t>
            </w:r>
            <w:r w:rsidRPr="00EE55DF">
              <w:t>-overvågningsplan</w:t>
            </w:r>
            <w:r w:rsidR="00D80EBF">
              <w:t>en</w:t>
            </w:r>
            <w:r w:rsidR="00A41870">
              <w:t xml:space="preserve"> og evt. </w:t>
            </w:r>
            <w:r w:rsidR="005774C7">
              <w:t>diagram over produkti</w:t>
            </w:r>
            <w:r w:rsidR="00A0022C">
              <w:t>onsenheden (som evt. er oploadet</w:t>
            </w:r>
            <w:r w:rsidR="005774C7">
              <w:t xml:space="preserve"> som bilag til overvågningsplanen (punkt 1b))</w:t>
            </w:r>
          </w:p>
          <w:p w:rsidR="00D80EBF" w:rsidRDefault="00D80EBF" w:rsidP="0095645F">
            <w:pPr>
              <w:pStyle w:val="Listeafsnit"/>
              <w:ind w:left="0"/>
            </w:pPr>
          </w:p>
          <w:p w:rsidR="001D5013" w:rsidRDefault="00A50D10" w:rsidP="0095645F">
            <w:pPr>
              <w:pStyle w:val="Listeafsnit"/>
              <w:ind w:left="0"/>
            </w:pPr>
            <w:r>
              <w:t xml:space="preserve">Kontrolark 1 </w:t>
            </w:r>
            <w:r w:rsidR="006B769F">
              <w:t xml:space="preserve">(Bilag B1) </w:t>
            </w:r>
            <w:r>
              <w:t>indeholder oversigt over anlæg</w:t>
            </w:r>
            <w:r w:rsidR="009E787E">
              <w:t>, brændsler og måleinstrumenter</w:t>
            </w:r>
            <w:r w:rsidR="00166E2D">
              <w:t>, som svarer til indhold i overvågningsplanen.</w:t>
            </w:r>
          </w:p>
          <w:p w:rsidR="00A50D10" w:rsidRDefault="00A50D10" w:rsidP="0095645F">
            <w:pPr>
              <w:pStyle w:val="Listeafsnit"/>
              <w:ind w:left="0"/>
            </w:pPr>
          </w:p>
          <w:p w:rsidR="0095645F" w:rsidRPr="00EE55DF" w:rsidRDefault="001D5013" w:rsidP="0095645F">
            <w:pPr>
              <w:pStyle w:val="Listeafsnit"/>
              <w:ind w:left="0"/>
            </w:pPr>
            <w:r>
              <w:t>Ændringer kan omfatte:</w:t>
            </w:r>
          </w:p>
          <w:p w:rsidR="00B11F7D" w:rsidRPr="00EE55DF" w:rsidRDefault="00B11F7D" w:rsidP="009F03B4">
            <w:pPr>
              <w:pStyle w:val="Listeafsnit"/>
              <w:numPr>
                <w:ilvl w:val="0"/>
                <w:numId w:val="2"/>
              </w:numPr>
            </w:pPr>
            <w:r w:rsidRPr="00EE55DF">
              <w:t>Tilgang eller afgang af energiproducerende anlæg (emissionskilder), uanset effektstørrelse (</w:t>
            </w:r>
            <w:r w:rsidR="00941A79">
              <w:t xml:space="preserve">omfattede anlæg på produktionsenheden (1-c i </w:t>
            </w:r>
            <w:r w:rsidR="00761EFB" w:rsidRPr="00EE55DF">
              <w:t>CO</w:t>
            </w:r>
            <w:r w:rsidR="00761EFB" w:rsidRPr="00166E2D">
              <w:rPr>
                <w:vertAlign w:val="subscript"/>
              </w:rPr>
              <w:t>2</w:t>
            </w:r>
            <w:r w:rsidR="00761EFB" w:rsidRPr="00EE55DF">
              <w:t>-</w:t>
            </w:r>
            <w:r w:rsidRPr="00EE55DF">
              <w:t>overvågningsplanen</w:t>
            </w:r>
            <w:r w:rsidR="00941A79">
              <w:t xml:space="preserve"> online version</w:t>
            </w:r>
            <w:r w:rsidRPr="00EE55DF">
              <w:t>)</w:t>
            </w:r>
          </w:p>
          <w:p w:rsidR="00B11F7D" w:rsidRPr="00EE55DF" w:rsidRDefault="00B11F7D" w:rsidP="009F03B4">
            <w:pPr>
              <w:pStyle w:val="Listeafsnit"/>
              <w:numPr>
                <w:ilvl w:val="0"/>
                <w:numId w:val="2"/>
              </w:numPr>
            </w:pPr>
            <w:r w:rsidRPr="00EE55DF">
              <w:t>Ændringer i bestående energiproducerende anlægs effektstørrelse (anlægslisten)</w:t>
            </w:r>
          </w:p>
          <w:p w:rsidR="00B11F7D" w:rsidRPr="00EE55DF" w:rsidRDefault="00B11F7D" w:rsidP="009F03B4">
            <w:pPr>
              <w:pStyle w:val="Listeafsnit"/>
              <w:numPr>
                <w:ilvl w:val="0"/>
                <w:numId w:val="2"/>
              </w:numPr>
            </w:pPr>
            <w:r w:rsidRPr="00EE55DF">
              <w:t xml:space="preserve">Ændringer i arten af benyttede brændsler, herunder anvendelsen af andre brændsler, end </w:t>
            </w:r>
            <w:r w:rsidR="00761EFB" w:rsidRPr="00EE55DF">
              <w:t>Energistyrelsen har</w:t>
            </w:r>
            <w:r w:rsidRPr="00EE55DF">
              <w:t xml:space="preserve"> godkendt i overvågningsplanen</w:t>
            </w:r>
            <w:r w:rsidR="00DD2A8F" w:rsidRPr="00EE55DF">
              <w:t xml:space="preserve"> (kildestrømme)</w:t>
            </w:r>
            <w:r w:rsidRPr="00EE55DF">
              <w:t>.</w:t>
            </w:r>
          </w:p>
          <w:p w:rsidR="00761EFB" w:rsidRPr="00EE55DF" w:rsidRDefault="00680BC4" w:rsidP="009F03B4">
            <w:pPr>
              <w:pStyle w:val="Listeafsnit"/>
              <w:numPr>
                <w:ilvl w:val="0"/>
                <w:numId w:val="2"/>
              </w:numPr>
            </w:pPr>
            <w:r w:rsidRPr="00EE55DF">
              <w:t>Nye</w:t>
            </w:r>
            <w:r w:rsidR="00761EFB" w:rsidRPr="00EE55DF">
              <w:t xml:space="preserve"> proces</w:t>
            </w:r>
            <w:r w:rsidR="00CE6A9E" w:rsidRPr="00EE55DF">
              <w:t xml:space="preserve">udledninger </w:t>
            </w:r>
            <w:r w:rsidRPr="00EE55DF">
              <w:t xml:space="preserve">(f.eks. </w:t>
            </w:r>
            <w:r w:rsidR="00CE6A9E" w:rsidRPr="00EE55DF">
              <w:t>tilsætning af nyt materiale i produktionen, som udleder CO</w:t>
            </w:r>
            <w:r w:rsidR="00CE6A9E" w:rsidRPr="00EC17A6">
              <w:rPr>
                <w:vertAlign w:val="subscript"/>
              </w:rPr>
              <w:t>2</w:t>
            </w:r>
            <w:r w:rsidR="00CE6A9E" w:rsidRPr="00EE55DF">
              <w:t>)</w:t>
            </w:r>
            <w:r w:rsidR="00DD2A8F" w:rsidRPr="00EE55DF">
              <w:t xml:space="preserve"> (kildestrømme)</w:t>
            </w:r>
          </w:p>
          <w:p w:rsidR="001D5013" w:rsidRDefault="00761EFB" w:rsidP="00166E2D">
            <w:pPr>
              <w:pStyle w:val="Listeafsnit"/>
              <w:keepNext/>
              <w:keepLines/>
              <w:numPr>
                <w:ilvl w:val="0"/>
                <w:numId w:val="2"/>
              </w:numPr>
              <w:ind w:left="714" w:hanging="357"/>
            </w:pPr>
            <w:r w:rsidRPr="00EE55DF">
              <w:t>Ændringer i måleudstyr</w:t>
            </w:r>
            <w:r w:rsidR="001D5013">
              <w:t xml:space="preserve"> (indføjes kun i produktionsenhedens overvågningsplan, hvis </w:t>
            </w:r>
            <w:r w:rsidR="001D5013">
              <w:lastRenderedPageBreak/>
              <w:t>relevant)</w:t>
            </w:r>
            <w:r w:rsidRPr="00EE55DF">
              <w:t>.</w:t>
            </w:r>
          </w:p>
          <w:p w:rsidR="00166E2D" w:rsidRPr="00EE55DF" w:rsidRDefault="00166E2D" w:rsidP="00166E2D">
            <w:pPr>
              <w:pStyle w:val="Listeafsnit"/>
            </w:pPr>
          </w:p>
          <w:p w:rsidR="00782805" w:rsidRDefault="00950AF5" w:rsidP="0069453F">
            <w:pPr>
              <w:rPr>
                <w:b/>
              </w:rPr>
            </w:pPr>
            <w:r>
              <w:rPr>
                <w:b/>
              </w:rPr>
              <w:t xml:space="preserve">Løbende evaluering af om </w:t>
            </w:r>
            <w:r w:rsidR="00AC2E25">
              <w:rPr>
                <w:b/>
              </w:rPr>
              <w:t>u</w:t>
            </w:r>
            <w:r w:rsidR="00803108">
              <w:rPr>
                <w:b/>
              </w:rPr>
              <w:t>sikkerheds</w:t>
            </w:r>
            <w:r>
              <w:rPr>
                <w:b/>
              </w:rPr>
              <w:t>tærsklerne er overholdt</w:t>
            </w:r>
            <w:r w:rsidR="000A323E">
              <w:rPr>
                <w:b/>
              </w:rPr>
              <w:t xml:space="preserve"> </w:t>
            </w:r>
          </w:p>
          <w:p w:rsidR="00FC47FE" w:rsidRPr="009D3970" w:rsidRDefault="006B769F" w:rsidP="00166355">
            <w:pPr>
              <w:rPr>
                <w:i/>
                <w:color w:val="0000FF"/>
                <w:sz w:val="18"/>
                <w:szCs w:val="18"/>
              </w:rPr>
            </w:pPr>
            <w:r w:rsidRPr="009D3970">
              <w:rPr>
                <w:rFonts w:ascii="Trebuchet MS" w:hAnsi="Trebuchet MS"/>
                <w:i/>
                <w:color w:val="0000FF"/>
                <w:sz w:val="18"/>
                <w:szCs w:val="18"/>
              </w:rPr>
              <w:t>Produktionsenheder med små udledninger (&lt; 25.000 ton CO2)</w:t>
            </w:r>
            <w:r>
              <w:rPr>
                <w:rFonts w:ascii="Trebuchet MS" w:hAnsi="Trebuchet MS"/>
                <w:i/>
                <w:color w:val="0000FF"/>
                <w:sz w:val="18"/>
                <w:szCs w:val="18"/>
              </w:rPr>
              <w:t xml:space="preserve"> er undtaget fra kravet om </w:t>
            </w:r>
            <w:r w:rsidR="006A23D5">
              <w:rPr>
                <w:rFonts w:ascii="Trebuchet MS" w:hAnsi="Trebuchet MS"/>
                <w:i/>
                <w:color w:val="0000FF"/>
                <w:sz w:val="18"/>
                <w:szCs w:val="18"/>
              </w:rPr>
              <w:t xml:space="preserve">at </w:t>
            </w:r>
            <w:r>
              <w:rPr>
                <w:rFonts w:ascii="Trebuchet MS" w:hAnsi="Trebuchet MS"/>
                <w:i/>
                <w:color w:val="0000FF"/>
                <w:sz w:val="18"/>
                <w:szCs w:val="18"/>
              </w:rPr>
              <w:t>forelægge usikkerhedsvurdering.</w:t>
            </w:r>
          </w:p>
          <w:p w:rsidR="000A323E" w:rsidRPr="000A323E" w:rsidRDefault="000A323E" w:rsidP="000A323E">
            <w:r w:rsidRPr="000A323E">
              <w:t>[eksempel er ikke udarbejdet – afventer Kommissionens vejledning]</w:t>
            </w:r>
          </w:p>
          <w:p w:rsidR="000C674F" w:rsidRPr="000A323E" w:rsidRDefault="000C674F" w:rsidP="000C674F">
            <w:pPr>
              <w:rPr>
                <w:sz w:val="24"/>
                <w:szCs w:val="24"/>
              </w:rPr>
            </w:pPr>
          </w:p>
          <w:p w:rsidR="00401879" w:rsidRPr="006B769F" w:rsidRDefault="00401879" w:rsidP="0069453F">
            <w:pPr>
              <w:rPr>
                <w:b/>
              </w:rPr>
            </w:pPr>
            <w:r w:rsidRPr="006B769F">
              <w:rPr>
                <w:b/>
              </w:rPr>
              <w:t>Forbedr</w:t>
            </w:r>
            <w:r w:rsidR="000C674F" w:rsidRPr="006B769F">
              <w:rPr>
                <w:b/>
              </w:rPr>
              <w:t>inger</w:t>
            </w:r>
            <w:r w:rsidR="00B03BEF" w:rsidRPr="006B769F">
              <w:rPr>
                <w:b/>
              </w:rPr>
              <w:t xml:space="preserve"> </w:t>
            </w:r>
          </w:p>
          <w:p w:rsidR="00401879" w:rsidRPr="00B121DB" w:rsidRDefault="00B121DB" w:rsidP="0069453F">
            <w:r w:rsidRPr="00B121DB">
              <w:t>[Stillingsbetegnelse</w:t>
            </w:r>
            <w:r>
              <w:t xml:space="preserve">] gennemgår efter den årlige verifikation verifikationsrapporten og følger op på evt. anbefalinger fra verifikator. </w:t>
            </w:r>
          </w:p>
          <w:p w:rsidR="00B121DB" w:rsidRDefault="00B121DB" w:rsidP="0069453F">
            <w:r>
              <w:t>Eventuelle ændringer udføres og noteres på k</w:t>
            </w:r>
            <w:r w:rsidRPr="00EE55DF">
              <w:t>ontrolark 1 (se bilag B</w:t>
            </w:r>
            <w:r w:rsidR="00144800">
              <w:t>1</w:t>
            </w:r>
            <w:r w:rsidRPr="00EE55DF">
              <w:t>), og indføjes hvis relevant i produktionsenhedens CO</w:t>
            </w:r>
            <w:r w:rsidRPr="005D3141">
              <w:rPr>
                <w:vertAlign w:val="subscript"/>
              </w:rPr>
              <w:t>2</w:t>
            </w:r>
            <w:r w:rsidRPr="00EE55DF">
              <w:t>-overvågningsplan.</w:t>
            </w:r>
          </w:p>
          <w:p w:rsidR="001D5013" w:rsidRDefault="001D5013" w:rsidP="0069453F">
            <w:r>
              <w:t>Endvidere kontrolleres ved samme lejlighed, om overvågningsmetoden kan forbedres.</w:t>
            </w:r>
            <w:r w:rsidR="00E5768B">
              <w:t xml:space="preserve"> Det noteres på kontrolark, at kontrol er gennemført.</w:t>
            </w:r>
          </w:p>
          <w:p w:rsidR="001D5013" w:rsidRDefault="001D5013" w:rsidP="0069453F"/>
          <w:p w:rsidR="00F524E2" w:rsidRPr="00EE3CB7" w:rsidRDefault="009D3970" w:rsidP="00F524E2">
            <w:pPr>
              <w:rPr>
                <w:i/>
              </w:rPr>
            </w:pPr>
            <w:r>
              <w:t>[Stillingsbetegnelse] har ansvar for at forbedringsrapport indsendes til Energistyrelsen senest 30. juni</w:t>
            </w:r>
            <w:r w:rsidR="002C0719">
              <w:t xml:space="preserve"> </w:t>
            </w:r>
            <w:r w:rsidR="00BC4627">
              <w:t>hvis relevant</w:t>
            </w:r>
            <w:r>
              <w:t>.</w:t>
            </w:r>
            <w:r w:rsidR="002C0719" w:rsidRPr="009D3970">
              <w:rPr>
                <w:rFonts w:ascii="Trebuchet MS" w:hAnsi="Trebuchet MS"/>
                <w:i/>
                <w:color w:val="0000FF"/>
                <w:sz w:val="18"/>
                <w:szCs w:val="18"/>
              </w:rPr>
              <w:t xml:space="preserve"> Produktionsenheder</w:t>
            </w:r>
            <w:r w:rsidR="002C0719">
              <w:rPr>
                <w:rFonts w:ascii="Trebuchet MS" w:hAnsi="Trebuchet MS"/>
                <w:i/>
                <w:color w:val="0000FF"/>
                <w:sz w:val="18"/>
                <w:szCs w:val="18"/>
              </w:rPr>
              <w:t xml:space="preserve"> </w:t>
            </w:r>
            <w:r w:rsidR="002C0719" w:rsidRPr="009D3970">
              <w:rPr>
                <w:rFonts w:ascii="Trebuchet MS" w:hAnsi="Trebuchet MS"/>
                <w:i/>
                <w:color w:val="0000FF"/>
                <w:sz w:val="18"/>
                <w:szCs w:val="18"/>
              </w:rPr>
              <w:t>med små udledninger</w:t>
            </w:r>
            <w:r w:rsidR="002C0719">
              <w:rPr>
                <w:rFonts w:ascii="Trebuchet MS" w:hAnsi="Trebuchet MS"/>
                <w:i/>
                <w:color w:val="0000FF"/>
                <w:sz w:val="18"/>
                <w:szCs w:val="18"/>
              </w:rPr>
              <w:t xml:space="preserve"> er undtaget fra kravet om at indsende forbedringsrapporter ved </w:t>
            </w:r>
            <w:r w:rsidR="00BC4627">
              <w:rPr>
                <w:rFonts w:ascii="Trebuchet MS" w:hAnsi="Trebuchet MS"/>
                <w:i/>
                <w:color w:val="0000FF"/>
                <w:sz w:val="18"/>
                <w:szCs w:val="18"/>
              </w:rPr>
              <w:t>forbedringsforslag</w:t>
            </w:r>
            <w:r w:rsidR="002C0719">
              <w:rPr>
                <w:rFonts w:ascii="Trebuchet MS" w:hAnsi="Trebuchet MS"/>
                <w:i/>
                <w:color w:val="0000FF"/>
                <w:sz w:val="18"/>
                <w:szCs w:val="18"/>
              </w:rPr>
              <w:t xml:space="preserve"> fra verifikator.</w:t>
            </w:r>
          </w:p>
          <w:p w:rsidR="009D3970" w:rsidRDefault="009D3970" w:rsidP="0069453F">
            <w:pPr>
              <w:rPr>
                <w:b/>
                <w:sz w:val="24"/>
                <w:szCs w:val="24"/>
              </w:rPr>
            </w:pPr>
          </w:p>
          <w:p w:rsidR="001D5013" w:rsidRPr="006A23D5" w:rsidRDefault="002F1003" w:rsidP="0069453F">
            <w:pPr>
              <w:rPr>
                <w:b/>
              </w:rPr>
            </w:pPr>
            <w:r w:rsidRPr="006A23D5">
              <w:rPr>
                <w:b/>
              </w:rPr>
              <w:t>Indsendelse af revideret overvågningsplan</w:t>
            </w:r>
          </w:p>
          <w:p w:rsidR="000A6923" w:rsidRPr="002F1003" w:rsidRDefault="002F1003" w:rsidP="00761EFB">
            <w:r>
              <w:t>[stillingsbetegnelse] har ansvar for at indsende n</w:t>
            </w:r>
            <w:r w:rsidR="00761EFB" w:rsidRPr="002F1003">
              <w:t xml:space="preserve">y revideret overvågningsplan </w:t>
            </w:r>
            <w:r w:rsidR="00DD2A8F" w:rsidRPr="002F1003">
              <w:t xml:space="preserve">elektronisk </w:t>
            </w:r>
            <w:r w:rsidR="00761EFB" w:rsidRPr="002F1003">
              <w:t>til Energistyrelsen</w:t>
            </w:r>
            <w:r w:rsidR="00DD2A8F" w:rsidRPr="002F1003">
              <w:t xml:space="preserve"> via Energistyrelsens </w:t>
            </w:r>
            <w:r w:rsidR="00CC2AB2">
              <w:t>online-system</w:t>
            </w:r>
            <w:r w:rsidR="00DD2A8F" w:rsidRPr="002F1003">
              <w:t xml:space="preserve"> </w:t>
            </w:r>
            <w:r w:rsidR="00CC2AB2" w:rsidRPr="00CC2AB2">
              <w:t>https://edoline.ens.dk</w:t>
            </w:r>
            <w:r w:rsidR="00CC2AB2">
              <w:t>.</w:t>
            </w:r>
          </w:p>
          <w:p w:rsidR="00DD2A8F" w:rsidRPr="000A6923" w:rsidRDefault="00DD2A8F" w:rsidP="0095645F">
            <w:pPr>
              <w:pStyle w:val="Listeafsnit"/>
              <w:ind w:left="0"/>
              <w:rPr>
                <w:sz w:val="24"/>
                <w:szCs w:val="24"/>
              </w:rPr>
            </w:pPr>
          </w:p>
        </w:tc>
      </w:tr>
    </w:tbl>
    <w:p w:rsidR="00D31AD6" w:rsidRDefault="00D31AD6" w:rsidP="00067183">
      <w:pPr>
        <w:keepNext/>
        <w:keepLines/>
        <w:autoSpaceDE w:val="0"/>
        <w:autoSpaceDN w:val="0"/>
        <w:adjustRightInd w:val="0"/>
        <w:rPr>
          <w:rFonts w:ascii="Trebuchet MS" w:hAnsi="Trebuchet MS" w:cs="Trebuchet MS"/>
          <w:i/>
          <w:iCs/>
          <w:color w:val="0000FF"/>
          <w:sz w:val="18"/>
          <w:szCs w:val="18"/>
        </w:rPr>
      </w:pPr>
    </w:p>
    <w:tbl>
      <w:tblPr>
        <w:tblStyle w:val="Tabel-Gitter"/>
        <w:tblW w:w="0" w:type="auto"/>
        <w:shd w:val="clear" w:color="auto" w:fill="B8CCE4" w:themeFill="accent1" w:themeFillTint="66"/>
        <w:tblLook w:val="04A0" w:firstRow="1" w:lastRow="0" w:firstColumn="1" w:lastColumn="0" w:noHBand="0" w:noVBand="1"/>
      </w:tblPr>
      <w:tblGrid>
        <w:gridCol w:w="9352"/>
      </w:tblGrid>
      <w:tr w:rsidR="00A0022C" w:rsidTr="00A0022C">
        <w:tc>
          <w:tcPr>
            <w:tcW w:w="9352" w:type="dxa"/>
            <w:shd w:val="clear" w:color="auto" w:fill="B8CCE4" w:themeFill="accent1" w:themeFillTint="66"/>
          </w:tcPr>
          <w:p w:rsidR="00A0022C" w:rsidRDefault="00A0022C" w:rsidP="00A0022C">
            <w:pPr>
              <w:pStyle w:val="Overskrift1"/>
              <w:outlineLvl w:val="0"/>
              <w:rPr>
                <w:rFonts w:cs="Trebuchet MS"/>
                <w:iCs/>
                <w:color w:val="0000FF"/>
              </w:rPr>
            </w:pPr>
            <w:bookmarkStart w:id="4" w:name="_Toc459104406"/>
            <w:r w:rsidRPr="00A0022C">
              <w:t>Beskrivelse af datastrømsaktiviteter</w:t>
            </w:r>
            <w:bookmarkEnd w:id="4"/>
          </w:p>
        </w:tc>
      </w:tr>
    </w:tbl>
    <w:p w:rsidR="00F05CD7" w:rsidRPr="00F05CD7" w:rsidRDefault="00F05CD7" w:rsidP="00F05CD7">
      <w:pPr>
        <w:pStyle w:val="Listeafsnit"/>
      </w:pPr>
    </w:p>
    <w:tbl>
      <w:tblPr>
        <w:tblStyle w:val="Tabel-Gitter"/>
        <w:tblW w:w="0" w:type="auto"/>
        <w:tblInd w:w="534" w:type="dxa"/>
        <w:tblLook w:val="04A0" w:firstRow="1" w:lastRow="0" w:firstColumn="1" w:lastColumn="0" w:noHBand="0" w:noVBand="1"/>
      </w:tblPr>
      <w:tblGrid>
        <w:gridCol w:w="1526"/>
        <w:gridCol w:w="7368"/>
      </w:tblGrid>
      <w:tr w:rsidR="00F05CD7" w:rsidTr="00F14ACC">
        <w:tc>
          <w:tcPr>
            <w:tcW w:w="1559" w:type="dxa"/>
          </w:tcPr>
          <w:p w:rsidR="00F05CD7" w:rsidRPr="002F2940" w:rsidRDefault="00F05CD7" w:rsidP="00F14ACC">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Regler</w:t>
            </w:r>
          </w:p>
        </w:tc>
        <w:tc>
          <w:tcPr>
            <w:tcW w:w="7761" w:type="dxa"/>
          </w:tcPr>
          <w:p w:rsidR="00F05CD7" w:rsidRPr="002F2940" w:rsidRDefault="00F05CD7" w:rsidP="00F14ACC">
            <w:pPr>
              <w:pStyle w:val="Listeafsnit"/>
              <w:autoSpaceDE w:val="0"/>
              <w:autoSpaceDN w:val="0"/>
              <w:adjustRightInd w:val="0"/>
              <w:ind w:left="0"/>
              <w:rPr>
                <w:rFonts w:ascii="Trebuchet MS" w:hAnsi="Trebuchet MS" w:cs="Trebuchet MS"/>
                <w:i/>
                <w:iCs/>
                <w:color w:val="0000FF"/>
                <w:sz w:val="18"/>
                <w:szCs w:val="18"/>
              </w:rPr>
            </w:pPr>
            <w:r>
              <w:rPr>
                <w:rFonts w:ascii="Trebuchet MS" w:hAnsi="Trebuchet MS" w:cs="Trebuchet MS"/>
                <w:i/>
                <w:iCs/>
                <w:color w:val="0000FF"/>
                <w:sz w:val="18"/>
                <w:szCs w:val="18"/>
              </w:rPr>
              <w:t>Artikel 57 i</w:t>
            </w:r>
            <w:r w:rsidRPr="00395773">
              <w:rPr>
                <w:rFonts w:ascii="Trebuchet MS" w:hAnsi="Trebuchet MS" w:cs="Trebuchet MS"/>
                <w:i/>
                <w:iCs/>
                <w:color w:val="0000FF"/>
                <w:sz w:val="18"/>
                <w:szCs w:val="18"/>
              </w:rPr>
              <w:t xml:space="preserve"> Kommissions Forordning 601/2012</w:t>
            </w:r>
          </w:p>
        </w:tc>
      </w:tr>
      <w:tr w:rsidR="00F05CD7" w:rsidTr="00F14ACC">
        <w:tc>
          <w:tcPr>
            <w:tcW w:w="1559" w:type="dxa"/>
          </w:tcPr>
          <w:p w:rsidR="00F05CD7" w:rsidRPr="002F2940" w:rsidRDefault="00F05CD7" w:rsidP="00F14ACC">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Indhold i procedure</w:t>
            </w:r>
          </w:p>
        </w:tc>
        <w:tc>
          <w:tcPr>
            <w:tcW w:w="7761" w:type="dxa"/>
          </w:tcPr>
          <w:p w:rsidR="00F05CD7" w:rsidRPr="002F2940" w:rsidRDefault="00F05CD7" w:rsidP="00F14ACC">
            <w:pPr>
              <w:pStyle w:val="Listeafsnit"/>
              <w:autoSpaceDE w:val="0"/>
              <w:autoSpaceDN w:val="0"/>
              <w:adjustRightInd w:val="0"/>
              <w:ind w:left="0"/>
              <w:rPr>
                <w:rFonts w:ascii="Trebuchet MS" w:hAnsi="Trebuchet MS" w:cs="Trebuchet MS"/>
                <w:i/>
                <w:iCs/>
                <w:color w:val="0000FF"/>
                <w:sz w:val="18"/>
                <w:szCs w:val="18"/>
              </w:rPr>
            </w:pPr>
            <w:r>
              <w:rPr>
                <w:rFonts w:ascii="Trebuchet MS" w:hAnsi="Trebuchet MS" w:cs="Trebuchet MS"/>
                <w:i/>
                <w:iCs/>
                <w:color w:val="0000FF"/>
                <w:sz w:val="18"/>
                <w:szCs w:val="18"/>
              </w:rPr>
              <w:t>I proceduren beskrives, hvem der behandler datastrømmene og hvordan disse behandles. Hvert procestrin i datastrømmen fra grunddata til årlige emissioner behandles. Der er taget udgangspunkt i en simpel produktionsenhed</w:t>
            </w:r>
          </w:p>
        </w:tc>
      </w:tr>
    </w:tbl>
    <w:p w:rsidR="00F05CD7" w:rsidRDefault="00F05CD7" w:rsidP="00F05CD7"/>
    <w:tbl>
      <w:tblPr>
        <w:tblStyle w:val="Tabel-Gitter"/>
        <w:tblW w:w="0" w:type="auto"/>
        <w:tblInd w:w="534" w:type="dxa"/>
        <w:tblLook w:val="04A0" w:firstRow="1" w:lastRow="0" w:firstColumn="1" w:lastColumn="0" w:noHBand="0" w:noVBand="1"/>
      </w:tblPr>
      <w:tblGrid>
        <w:gridCol w:w="8894"/>
      </w:tblGrid>
      <w:tr w:rsidR="00551646" w:rsidTr="00F05CD7">
        <w:tc>
          <w:tcPr>
            <w:tcW w:w="9320" w:type="dxa"/>
          </w:tcPr>
          <w:p w:rsidR="00D9339F" w:rsidRPr="00EA5BAF" w:rsidRDefault="00D9339F" w:rsidP="009F03B4">
            <w:pPr>
              <w:pStyle w:val="Listeafsnit"/>
              <w:numPr>
                <w:ilvl w:val="0"/>
                <w:numId w:val="3"/>
              </w:numPr>
              <w:ind w:left="357" w:hanging="357"/>
              <w:rPr>
                <w:b/>
              </w:rPr>
            </w:pPr>
            <w:r w:rsidRPr="00EA5BAF">
              <w:rPr>
                <w:b/>
              </w:rPr>
              <w:t>Opgørelse af brændselsforbrug</w:t>
            </w:r>
          </w:p>
          <w:p w:rsidR="004C312A" w:rsidRDefault="00FC1375" w:rsidP="00BA5F1C">
            <w:pPr>
              <w:keepNext/>
              <w:keepLines/>
            </w:pPr>
            <w:r w:rsidRPr="006E24FB">
              <w:rPr>
                <w:b/>
              </w:rPr>
              <w:t xml:space="preserve">Forbrugt </w:t>
            </w:r>
            <w:r w:rsidR="00EC275C" w:rsidRPr="006E24FB">
              <w:rPr>
                <w:b/>
              </w:rPr>
              <w:t>natur</w:t>
            </w:r>
            <w:r w:rsidRPr="006E24FB">
              <w:rPr>
                <w:b/>
              </w:rPr>
              <w:t>gasmængde</w:t>
            </w:r>
            <w:r w:rsidRPr="00BA5F1C">
              <w:rPr>
                <w:b/>
                <w:i/>
              </w:rPr>
              <w:t>:</w:t>
            </w:r>
            <w:r>
              <w:t xml:space="preserve"> </w:t>
            </w:r>
            <w:r w:rsidR="004C312A">
              <w:t xml:space="preserve">Som kontrol </w:t>
            </w:r>
            <w:r w:rsidR="00035935">
              <w:t xml:space="preserve">af gasselskabets aflæsninger </w:t>
            </w:r>
            <w:r>
              <w:t xml:space="preserve">aflæses </w:t>
            </w:r>
            <w:r w:rsidR="004C312A">
              <w:t xml:space="preserve">gasmåler </w:t>
            </w:r>
            <w:r>
              <w:t xml:space="preserve">dagligt af [stillingsbetegnelse] og noteres i døgnrapport. Ved hver månedsskift indskannes </w:t>
            </w:r>
            <w:r w:rsidR="001A2D70">
              <w:t xml:space="preserve">[stillingsbetegnelse] </w:t>
            </w:r>
            <w:r>
              <w:t xml:space="preserve">døgnrapport i mappe </w:t>
            </w:r>
            <w:r w:rsidR="00EC275C">
              <w:t xml:space="preserve">på PC’er </w:t>
            </w:r>
            <w:r>
              <w:t>”Opgørelse af brændsler</w:t>
            </w:r>
            <w:r w:rsidR="00EC275C">
              <w:t>/døgnrapporter</w:t>
            </w:r>
            <w:r>
              <w:t xml:space="preserve">”. </w:t>
            </w:r>
          </w:p>
          <w:p w:rsidR="00035935" w:rsidRDefault="00035935" w:rsidP="00BA5F1C">
            <w:pPr>
              <w:keepNext/>
              <w:keepLines/>
            </w:pPr>
          </w:p>
          <w:p w:rsidR="00035935" w:rsidRDefault="00FC1375" w:rsidP="00BA5F1C">
            <w:pPr>
              <w:keepNext/>
              <w:keepLines/>
            </w:pPr>
            <w:r>
              <w:t>Ved hver måneds udgang opgøres månedens køb af naturgas</w:t>
            </w:r>
            <w:r w:rsidR="004C312A">
              <w:t xml:space="preserve"> ud fra </w:t>
            </w:r>
            <w:r w:rsidR="00035935">
              <w:t xml:space="preserve">målinger på gasselskabets </w:t>
            </w:r>
            <w:r w:rsidR="004C312A">
              <w:t>fakturaer</w:t>
            </w:r>
            <w:r w:rsidR="00035935">
              <w:t xml:space="preserve"> fra gasselskabet</w:t>
            </w:r>
            <w:r>
              <w:t xml:space="preserve"> af [stillingsbetegnelse</w:t>
            </w:r>
            <w:r w:rsidR="00035935">
              <w:t xml:space="preserve"> - kontorpersonale</w:t>
            </w:r>
            <w:r>
              <w:t>]</w:t>
            </w:r>
            <w:r w:rsidR="00EC275C">
              <w:t xml:space="preserve"> og indføres i excel-regneark </w:t>
            </w:r>
            <w:r w:rsidR="00EA5BAF">
              <w:t>”CO</w:t>
            </w:r>
            <w:r w:rsidR="00EA5BAF" w:rsidRPr="002C0719">
              <w:rPr>
                <w:vertAlign w:val="subscript"/>
              </w:rPr>
              <w:t>2</w:t>
            </w:r>
            <w:r w:rsidR="00EA5BAF">
              <w:t>-regnskab</w:t>
            </w:r>
            <w:r w:rsidR="001500B6">
              <w:t>20xx</w:t>
            </w:r>
            <w:r w:rsidR="00EA5BAF">
              <w:t xml:space="preserve">” </w:t>
            </w:r>
            <w:r w:rsidR="00EC275C">
              <w:t xml:space="preserve">i mappen </w:t>
            </w:r>
            <w:r w:rsidR="004C312A">
              <w:t>”</w:t>
            </w:r>
            <w:r w:rsidR="001500B6">
              <w:t>CO</w:t>
            </w:r>
            <w:r w:rsidR="001500B6" w:rsidRPr="002C0719">
              <w:rPr>
                <w:vertAlign w:val="subscript"/>
              </w:rPr>
              <w:t>2</w:t>
            </w:r>
            <w:r w:rsidR="001500B6">
              <w:t>-regnskab20xx</w:t>
            </w:r>
            <w:r w:rsidR="00035935">
              <w:t>”. (se proceduren for behandling af fakturaer nedenfor).</w:t>
            </w:r>
          </w:p>
          <w:p w:rsidR="00035935" w:rsidRDefault="00035935" w:rsidP="00BA5F1C">
            <w:pPr>
              <w:keepNext/>
              <w:keepLines/>
              <w:rPr>
                <w:i/>
              </w:rPr>
            </w:pPr>
          </w:p>
          <w:p w:rsidR="00035935" w:rsidRDefault="00035935" w:rsidP="00BA5F1C">
            <w:pPr>
              <w:keepNext/>
              <w:keepLines/>
            </w:pPr>
            <w:r w:rsidRPr="006E24FB">
              <w:t>Kvalitetssikring</w:t>
            </w:r>
            <w:r w:rsidR="00FD558F" w:rsidRPr="006E24FB">
              <w:t>:</w:t>
            </w:r>
            <w:r w:rsidR="00FD558F">
              <w:rPr>
                <w:i/>
              </w:rPr>
              <w:t xml:space="preserve"> </w:t>
            </w:r>
            <w:r>
              <w:t>Målingen sammenlignes af [stillingsbetegnelse] i excelark med egne målinger fra døgnrapport.</w:t>
            </w:r>
          </w:p>
          <w:p w:rsidR="00561F76" w:rsidRDefault="00561F76" w:rsidP="00BA5F1C">
            <w:pPr>
              <w:keepNext/>
              <w:keepLines/>
            </w:pPr>
          </w:p>
          <w:p w:rsidR="00BA5F1C" w:rsidRPr="00BA5F1C" w:rsidRDefault="00BA5F1C" w:rsidP="00BA5F1C">
            <w:pPr>
              <w:keepNext/>
              <w:keepLines/>
              <w:rPr>
                <w:b/>
                <w:i/>
              </w:rPr>
            </w:pPr>
            <w:r w:rsidRPr="00561F76">
              <w:rPr>
                <w:b/>
              </w:rPr>
              <w:t>Forbrugt gasoliemængde</w:t>
            </w:r>
            <w:r w:rsidRPr="00BA5F1C">
              <w:rPr>
                <w:b/>
                <w:i/>
              </w:rPr>
              <w:t>:</w:t>
            </w:r>
            <w:r>
              <w:rPr>
                <w:b/>
                <w:i/>
              </w:rPr>
              <w:t xml:space="preserve"> </w:t>
            </w:r>
          </w:p>
          <w:p w:rsidR="00BA5F1C" w:rsidRDefault="00BA5F1C" w:rsidP="00BA5F1C">
            <w:pPr>
              <w:keepNext/>
              <w:keepLines/>
            </w:pPr>
            <w:r>
              <w:t xml:space="preserve">Årets forbrug af brændsel opgøres ved, at </w:t>
            </w:r>
          </w:p>
          <w:p w:rsidR="00BA5F1C" w:rsidRDefault="00BA5F1C" w:rsidP="009F03B4">
            <w:pPr>
              <w:pStyle w:val="Listeafsnit"/>
              <w:keepNext/>
              <w:keepLines/>
              <w:numPr>
                <w:ilvl w:val="0"/>
                <w:numId w:val="2"/>
              </w:numPr>
            </w:pPr>
            <w:r>
              <w:t>Årets brændsels</w:t>
            </w:r>
            <w:r w:rsidR="00EA5BAF">
              <w:t xml:space="preserve">indkøb </w:t>
            </w:r>
            <w:r>
              <w:t>opgjort ud fra købsfakturaer for brændsel leveret i kalenderåret.</w:t>
            </w:r>
          </w:p>
          <w:p w:rsidR="001931AA" w:rsidRDefault="007F1B3A" w:rsidP="001931AA">
            <w:pPr>
              <w:keepNext/>
              <w:keepLines/>
              <w:ind w:left="360"/>
            </w:pPr>
            <w:r>
              <w:t xml:space="preserve">+     (Brændselsbeholdning </w:t>
            </w:r>
            <w:r w:rsidR="001931AA">
              <w:t>ved årets start i tons/m3 minus brændselsbeholdning</w:t>
            </w:r>
            <w:r>
              <w:t xml:space="preserve"> </w:t>
            </w:r>
            <w:r w:rsidR="001931AA">
              <w:t>ved årets</w:t>
            </w:r>
          </w:p>
          <w:p w:rsidR="00E278C5" w:rsidRDefault="001931AA" w:rsidP="001931AA">
            <w:pPr>
              <w:keepNext/>
              <w:keepLines/>
              <w:ind w:left="360"/>
            </w:pPr>
            <w:r>
              <w:t xml:space="preserve">       </w:t>
            </w:r>
            <w:r w:rsidR="00E278C5">
              <w:t>a</w:t>
            </w:r>
            <w:r>
              <w:t>fslutning i tons/m3 (opgjort ved pejling i SRO</w:t>
            </w:r>
            <w:r w:rsidR="00E278C5">
              <w:t>-anlæg (Styrings- regulerings- og</w:t>
            </w:r>
          </w:p>
          <w:p w:rsidR="001931AA" w:rsidRDefault="00E278C5" w:rsidP="001931AA">
            <w:pPr>
              <w:keepNext/>
              <w:keepLines/>
              <w:ind w:left="360"/>
            </w:pPr>
            <w:r>
              <w:lastRenderedPageBreak/>
              <w:t xml:space="preserve">       overvågningsanlæg</w:t>
            </w:r>
            <w:r w:rsidR="0000529C">
              <w:t>)</w:t>
            </w:r>
            <w:r w:rsidR="001931AA">
              <w:t>)</w:t>
            </w:r>
          </w:p>
          <w:p w:rsidR="00BA5F1C" w:rsidRDefault="001931AA" w:rsidP="00BA5F1C">
            <w:pPr>
              <w:keepNext/>
              <w:keepLines/>
            </w:pPr>
            <w:r>
              <w:t>Der anvendes ikke brændsel til andre formål, og der udtages ikke brændsel fra tanken.</w:t>
            </w:r>
          </w:p>
          <w:p w:rsidR="001931AA" w:rsidRPr="001931AA" w:rsidRDefault="001931AA" w:rsidP="00BA5F1C">
            <w:pPr>
              <w:keepNext/>
              <w:keepLines/>
            </w:pPr>
          </w:p>
          <w:p w:rsidR="00BA5F1C" w:rsidRDefault="003807EA" w:rsidP="00BA5F1C">
            <w:pPr>
              <w:keepNext/>
              <w:keepLines/>
            </w:pPr>
            <w:r w:rsidRPr="006E24FB">
              <w:rPr>
                <w:b/>
              </w:rPr>
              <w:t xml:space="preserve">Opgørelse af </w:t>
            </w:r>
            <w:r w:rsidR="00EC275C" w:rsidRPr="006E24FB">
              <w:rPr>
                <w:b/>
              </w:rPr>
              <w:t>gasolie</w:t>
            </w:r>
            <w:r w:rsidR="001931AA" w:rsidRPr="006E24FB">
              <w:rPr>
                <w:b/>
              </w:rPr>
              <w:t>beholdning</w:t>
            </w:r>
            <w:r w:rsidRPr="006E24FB">
              <w:rPr>
                <w:b/>
              </w:rPr>
              <w:t>:</w:t>
            </w:r>
            <w:r>
              <w:t xml:space="preserve"> </w:t>
            </w:r>
            <w:r w:rsidR="00BE6D8E">
              <w:t xml:space="preserve">Tanken pejles </w:t>
            </w:r>
            <w:r w:rsidR="00FD558F">
              <w:t xml:space="preserve">af </w:t>
            </w:r>
            <w:r w:rsidR="00BE6D8E">
              <w:t xml:space="preserve">elektronisk </w:t>
            </w:r>
            <w:r w:rsidR="00FD558F">
              <w:t xml:space="preserve">tankmåler, der løbende registres </w:t>
            </w:r>
            <w:r w:rsidR="00BE6D8E">
              <w:t>af SRO-anlæg</w:t>
            </w:r>
            <w:r w:rsidR="00BA5F1C">
              <w:t xml:space="preserve"> ved månedsskift</w:t>
            </w:r>
            <w:r w:rsidR="00FD558F" w:rsidRPr="006E24FB">
              <w:rPr>
                <w:i/>
              </w:rPr>
              <w:t>.</w:t>
            </w:r>
            <w:r w:rsidR="00BE6D8E">
              <w:t xml:space="preserve"> </w:t>
            </w:r>
          </w:p>
          <w:p w:rsidR="00FD558F" w:rsidRDefault="006E24FB" w:rsidP="00BA5F1C">
            <w:pPr>
              <w:keepNext/>
              <w:keepLines/>
            </w:pPr>
            <w:r>
              <w:t>T</w:t>
            </w:r>
            <w:r w:rsidR="00FD558F">
              <w:t xml:space="preserve">il kontrol af disse målinger </w:t>
            </w:r>
            <w:r>
              <w:t xml:space="preserve">foretager [stillingsbetegnelse] </w:t>
            </w:r>
            <w:r w:rsidR="00BE6D8E">
              <w:t xml:space="preserve">ved årets start og slut </w:t>
            </w:r>
            <w:r w:rsidR="00FD558F">
              <w:t xml:space="preserve">manuel </w:t>
            </w:r>
            <w:r w:rsidR="00BE6D8E">
              <w:t xml:space="preserve">pejling af gasoliebeholdningen. </w:t>
            </w:r>
          </w:p>
          <w:p w:rsidR="00BE6D8E" w:rsidRDefault="00FD558F" w:rsidP="00BA5F1C">
            <w:pPr>
              <w:keepNext/>
              <w:keepLines/>
            </w:pPr>
            <w:r>
              <w:t xml:space="preserve">Målinger fra SRO anlæg overføres i excel-regneark </w:t>
            </w:r>
            <w:r w:rsidR="001500B6">
              <w:t xml:space="preserve">”CO2-regnskab20xx” af [stillingsbetegnelse] </w:t>
            </w:r>
            <w:r>
              <w:t>og målinger fra manuel pejling registreres af [stillingsbetegnelse] i excel-regn</w:t>
            </w:r>
            <w:r w:rsidR="00AC2E25">
              <w:t>e</w:t>
            </w:r>
            <w:r>
              <w:t>ark i mappen ”</w:t>
            </w:r>
            <w:r w:rsidR="001500B6">
              <w:t>CO2-regnskab20xx</w:t>
            </w:r>
            <w:r>
              <w:t>”.</w:t>
            </w:r>
            <w:r w:rsidR="00BE6D8E">
              <w:t xml:space="preserve"> </w:t>
            </w:r>
          </w:p>
          <w:p w:rsidR="00BE6D8E" w:rsidRDefault="00BE6D8E" w:rsidP="00BA5F1C">
            <w:pPr>
              <w:keepNext/>
              <w:keepLines/>
            </w:pPr>
          </w:p>
          <w:p w:rsidR="00FD558F" w:rsidRDefault="00BE6D8E" w:rsidP="00BA5F1C">
            <w:pPr>
              <w:keepNext/>
              <w:keepLines/>
            </w:pPr>
            <w:r w:rsidRPr="00EA5BAF">
              <w:t>Kvalitetssikring</w:t>
            </w:r>
            <w:r w:rsidR="001931AA" w:rsidRPr="00EA5BAF">
              <w:t xml:space="preserve"> af opgørelse af gasoliebeholdning</w:t>
            </w:r>
            <w:r w:rsidR="00FD558F" w:rsidRPr="00EA5BAF">
              <w:t>:</w:t>
            </w:r>
            <w:r w:rsidR="00FD558F">
              <w:t xml:space="preserve"> [Stillingsbetegnelse] sammenligner elektroniske pejlinger mod de manuelle pejlinger</w:t>
            </w:r>
            <w:r w:rsidR="001931AA">
              <w:t xml:space="preserve"> i excel ark.</w:t>
            </w:r>
          </w:p>
          <w:p w:rsidR="00144800" w:rsidRDefault="00144800" w:rsidP="00BA5F1C">
            <w:pPr>
              <w:keepNext/>
              <w:keepLines/>
              <w:rPr>
                <w:i/>
              </w:rPr>
            </w:pPr>
          </w:p>
          <w:p w:rsidR="00BA5F1C" w:rsidRPr="00561F76" w:rsidRDefault="00BA5F1C" w:rsidP="00BA5F1C">
            <w:pPr>
              <w:keepNext/>
              <w:keepLines/>
              <w:rPr>
                <w:b/>
              </w:rPr>
            </w:pPr>
            <w:r w:rsidRPr="00561F76">
              <w:rPr>
                <w:b/>
              </w:rPr>
              <w:t>Samlet kvalitetssikring:</w:t>
            </w:r>
          </w:p>
          <w:p w:rsidR="00BA5F1C" w:rsidRDefault="00BA5F1C" w:rsidP="00BA5F1C">
            <w:pPr>
              <w:keepNext/>
              <w:keepLines/>
            </w:pPr>
            <w:r>
              <w:t xml:space="preserve">Data kvalitetssikres </w:t>
            </w:r>
            <w:r w:rsidR="00F47EAC">
              <w:t xml:space="preserve">og kontrolleres </w:t>
            </w:r>
            <w:r>
              <w:t xml:space="preserve">yderligere ved at brændselsforbrug hver måned samt på årsbasis kontrolleres op imod den producerede varmeenergi på månedsbasis samt fra år til år.  Denne sammenligning udarbejdes som grafer. </w:t>
            </w:r>
          </w:p>
          <w:p w:rsidR="00F47EAC" w:rsidRDefault="00F47EAC" w:rsidP="00BA5F1C">
            <w:pPr>
              <w:keepNext/>
              <w:keepLines/>
            </w:pPr>
            <w:r>
              <w:t>Denne sammenligning skal sikres, at der kan gribes ind over for f.eks. fejl i udstyr.</w:t>
            </w:r>
          </w:p>
          <w:p w:rsidR="00D80EBF" w:rsidRDefault="00D80EBF" w:rsidP="00BA5F1C">
            <w:pPr>
              <w:keepNext/>
              <w:keepLines/>
            </w:pPr>
          </w:p>
          <w:p w:rsidR="00FD558F" w:rsidRPr="00EA5BAF" w:rsidRDefault="00AC30F9" w:rsidP="009F03B4">
            <w:pPr>
              <w:pStyle w:val="Listeafsnit"/>
              <w:keepNext/>
              <w:keepLines/>
              <w:numPr>
                <w:ilvl w:val="0"/>
                <w:numId w:val="3"/>
              </w:numPr>
              <w:rPr>
                <w:b/>
              </w:rPr>
            </w:pPr>
            <w:r w:rsidRPr="00EA5BAF">
              <w:rPr>
                <w:b/>
              </w:rPr>
              <w:t>F</w:t>
            </w:r>
            <w:r w:rsidR="00FD558F" w:rsidRPr="00EA5BAF">
              <w:rPr>
                <w:b/>
              </w:rPr>
              <w:t>aktura og bogføring</w:t>
            </w:r>
            <w:r w:rsidRPr="00EA5BAF">
              <w:rPr>
                <w:b/>
              </w:rPr>
              <w:t xml:space="preserve"> – behandling af brændselsindkøb</w:t>
            </w:r>
          </w:p>
          <w:p w:rsidR="003B18D3" w:rsidRDefault="00FD558F" w:rsidP="00D80EBF">
            <w:pPr>
              <w:keepNext/>
              <w:keepLines/>
            </w:pPr>
            <w:r>
              <w:t xml:space="preserve">Når en faktura modtages ved den daglige poståbning, forsynes fakturaen med konteringsstempel </w:t>
            </w:r>
            <w:r w:rsidR="00AC30F9">
              <w:t xml:space="preserve">og indskannes </w:t>
            </w:r>
            <w:r w:rsidR="004930C2">
              <w:t xml:space="preserve">det elektroniske betalingssystem </w:t>
            </w:r>
            <w:r>
              <w:t>og konteres af [stillings</w:t>
            </w:r>
            <w:r w:rsidR="003B18D3">
              <w:t xml:space="preserve">betegnelse i </w:t>
            </w:r>
            <w:r>
              <w:t>bogholderiet</w:t>
            </w:r>
            <w:r w:rsidR="003B18D3">
              <w:t>]</w:t>
            </w:r>
            <w:r w:rsidR="00AC30F9">
              <w:t>, hvorefter den</w:t>
            </w:r>
            <w:r w:rsidR="004930C2">
              <w:t xml:space="preserve"> sendes </w:t>
            </w:r>
            <w:r>
              <w:t xml:space="preserve">til </w:t>
            </w:r>
            <w:r w:rsidR="003B18D3">
              <w:t>[stillingsbetegnelse]</w:t>
            </w:r>
            <w:r>
              <w:t xml:space="preserve">, der </w:t>
            </w:r>
            <w:r w:rsidR="004930C2">
              <w:t>attesterer/godkender</w:t>
            </w:r>
            <w:r>
              <w:t xml:space="preserve"> fakturaen, og returnerer den godkendte faktura til bogholderiet.</w:t>
            </w:r>
            <w:r w:rsidR="003B18D3">
              <w:t xml:space="preserve"> </w:t>
            </w:r>
          </w:p>
          <w:p w:rsidR="003B18D3" w:rsidRDefault="003B18D3" w:rsidP="00BA5F1C">
            <w:pPr>
              <w:keepNext/>
              <w:keepLines/>
            </w:pPr>
          </w:p>
          <w:p w:rsidR="00FD558F" w:rsidRDefault="003B18D3" w:rsidP="00BA5F1C">
            <w:pPr>
              <w:keepNext/>
              <w:keepLines/>
            </w:pPr>
            <w:r>
              <w:t>[Stillingsbetegnelse</w:t>
            </w:r>
            <w:r w:rsidR="001500B6">
              <w:t>]</w:t>
            </w:r>
            <w:r>
              <w:t xml:space="preserve"> indtaster gasselskab</w:t>
            </w:r>
            <w:r w:rsidR="001500B6">
              <w:t xml:space="preserve">ets måleraflæsninger </w:t>
            </w:r>
            <w:r>
              <w:t>og brændselsindkøb for gasolie</w:t>
            </w:r>
            <w:r w:rsidR="001500B6">
              <w:t xml:space="preserve"> i excel reg</w:t>
            </w:r>
            <w:r w:rsidR="007F1B3A">
              <w:t>ne</w:t>
            </w:r>
            <w:r w:rsidR="001500B6">
              <w:t>ark ”CO2-regnskab20xx”</w:t>
            </w:r>
            <w:r>
              <w:t>.</w:t>
            </w:r>
          </w:p>
          <w:p w:rsidR="00FD558F" w:rsidRDefault="00FD558F" w:rsidP="00BA5F1C">
            <w:pPr>
              <w:keepNext/>
              <w:keepLines/>
            </w:pPr>
          </w:p>
          <w:p w:rsidR="00AC30F9" w:rsidRDefault="00AC30F9" w:rsidP="00BA5F1C">
            <w:pPr>
              <w:keepNext/>
              <w:keepLines/>
            </w:pPr>
            <w:r>
              <w:t xml:space="preserve">Faktura/købsbilag </w:t>
            </w:r>
            <w:r w:rsidR="00FD558F">
              <w:t xml:space="preserve">arkiveres af </w:t>
            </w:r>
            <w:r>
              <w:t>[stillingsbetegnelse]</w:t>
            </w:r>
            <w:r w:rsidR="00FD558F">
              <w:t xml:space="preserve"> indtil betalingstidspunkt. Efter betaling arkiveres købsbilaget i mappe med købsbilag i nr. orden. Der udføres årlig revision af statsautoriseret revisionsfirma. </w:t>
            </w:r>
            <w:r>
              <w:t xml:space="preserve"> </w:t>
            </w:r>
            <w:r w:rsidR="00FD558F">
              <w:t>Alle købsbilag indføres i EDB Finans og Forbrugersystem</w:t>
            </w:r>
            <w:r>
              <w:t>.</w:t>
            </w:r>
          </w:p>
          <w:p w:rsidR="004930C2" w:rsidRDefault="004930C2" w:rsidP="00BA5F1C">
            <w:pPr>
              <w:keepNext/>
              <w:keepLines/>
            </w:pPr>
            <w:r>
              <w:t>Endvidere opbevares fakturaer, så de kan udleveres til verifikator i forbindelse med årlig CO2-verifikation.</w:t>
            </w:r>
          </w:p>
          <w:p w:rsidR="004930C2" w:rsidRDefault="004930C2" w:rsidP="00BA5F1C">
            <w:pPr>
              <w:keepNext/>
              <w:keepLines/>
            </w:pPr>
          </w:p>
          <w:p w:rsidR="00FD558F" w:rsidRDefault="00FD558F" w:rsidP="00BA5F1C">
            <w:pPr>
              <w:keepNext/>
              <w:keepLines/>
            </w:pPr>
            <w:r w:rsidRPr="00FC5360">
              <w:t>Betaling</w:t>
            </w:r>
            <w:r w:rsidR="004930C2" w:rsidRPr="00FC5360">
              <w:t xml:space="preserve"> og kreditorer:</w:t>
            </w:r>
            <w:r w:rsidR="004930C2">
              <w:rPr>
                <w:i/>
              </w:rPr>
              <w:t xml:space="preserve"> </w:t>
            </w:r>
            <w:r w:rsidRPr="00202049">
              <w:t>Når</w:t>
            </w:r>
            <w:r>
              <w:t xml:space="preserve"> en faktura er godkendt i det elektroniske betalingssystem, </w:t>
            </w:r>
            <w:r w:rsidR="004930C2">
              <w:t>godkender [stillingsbetegnelse/direktøren]</w:t>
            </w:r>
            <w:r>
              <w:t xml:space="preserve"> for varmeværket </w:t>
            </w:r>
            <w:r w:rsidR="004930C2">
              <w:t xml:space="preserve">at </w:t>
            </w:r>
            <w:r>
              <w:t>betalingen gennemføres.</w:t>
            </w:r>
          </w:p>
          <w:p w:rsidR="00FD558F" w:rsidRDefault="00FD558F" w:rsidP="00BA5F1C">
            <w:pPr>
              <w:keepNext/>
              <w:keepLines/>
            </w:pPr>
          </w:p>
          <w:p w:rsidR="00FD558F" w:rsidRDefault="00EA5BAF" w:rsidP="00BA5F1C">
            <w:pPr>
              <w:keepNext/>
              <w:keepLines/>
            </w:pPr>
            <w:r>
              <w:t>[Stillingsbetegnelse]</w:t>
            </w:r>
            <w:r w:rsidR="00FD558F">
              <w:t xml:space="preserve"> afstemmer ved hver månedsafslutning kreditorliste med modtagne kontoudtog eller i mangel heraf med ikke betalte købsfakturaer.</w:t>
            </w:r>
          </w:p>
          <w:p w:rsidR="00FD558F" w:rsidRDefault="00FD558F" w:rsidP="00BA5F1C">
            <w:pPr>
              <w:keepNext/>
              <w:keepLines/>
            </w:pPr>
          </w:p>
          <w:p w:rsidR="004930C2" w:rsidRPr="00EA5BAF" w:rsidRDefault="00EA5BAF" w:rsidP="009F03B4">
            <w:pPr>
              <w:pStyle w:val="Listeafsnit"/>
              <w:keepNext/>
              <w:keepLines/>
              <w:numPr>
                <w:ilvl w:val="0"/>
                <w:numId w:val="3"/>
              </w:numPr>
              <w:rPr>
                <w:b/>
              </w:rPr>
            </w:pPr>
            <w:r>
              <w:rPr>
                <w:b/>
              </w:rPr>
              <w:t>Beregning</w:t>
            </w:r>
            <w:r w:rsidR="004930C2" w:rsidRPr="00EA5BAF">
              <w:rPr>
                <w:b/>
              </w:rPr>
              <w:t xml:space="preserve"> af CO2-udledning</w:t>
            </w:r>
          </w:p>
          <w:p w:rsidR="00EA5BAF" w:rsidRDefault="001500B6" w:rsidP="00EA5BAF">
            <w:r>
              <w:t>[Stillingsbetegnelse] foretager beregning af p</w:t>
            </w:r>
            <w:r w:rsidR="00EA5BAF">
              <w:t>roduktionsenhedens samlede CO</w:t>
            </w:r>
            <w:r w:rsidR="00EA5BAF">
              <w:rPr>
                <w:vertAlign w:val="subscript"/>
              </w:rPr>
              <w:t>2</w:t>
            </w:r>
            <w:r w:rsidR="00EA5BAF">
              <w:t xml:space="preserve">-udledning </w:t>
            </w:r>
            <w:r>
              <w:t>(</w:t>
            </w:r>
            <w:r w:rsidR="00EA5BAF">
              <w:t>opgøres som summen af CO</w:t>
            </w:r>
            <w:r w:rsidR="00EA5BAF">
              <w:rPr>
                <w:vertAlign w:val="subscript"/>
              </w:rPr>
              <w:t>2</w:t>
            </w:r>
            <w:r w:rsidR="00EA5BAF">
              <w:t>-udledningen for hvert af de benyttede brændsler</w:t>
            </w:r>
            <w:r>
              <w:t xml:space="preserve">) i </w:t>
            </w:r>
            <w:r w:rsidR="00177E71">
              <w:t xml:space="preserve">Energistyrelsens online version af CO2-udledningsrapport og </w:t>
            </w:r>
            <w:r>
              <w:t>excel-regneark ”CO2-regnskab20xx”</w:t>
            </w:r>
            <w:r w:rsidR="00177E71">
              <w:t xml:space="preserve"> for hver måned</w:t>
            </w:r>
            <w:r w:rsidR="00EA5BAF">
              <w:t>.</w:t>
            </w:r>
          </w:p>
          <w:p w:rsidR="00EA5BAF" w:rsidRDefault="00EA5BAF" w:rsidP="00EA5BAF"/>
          <w:p w:rsidR="00EA5BAF" w:rsidRDefault="00EA5BAF" w:rsidP="00EA5BAF">
            <w:r>
              <w:t>For hvert brændsel beregnes CO</w:t>
            </w:r>
            <w:r>
              <w:rPr>
                <w:vertAlign w:val="subscript"/>
              </w:rPr>
              <w:t>2</w:t>
            </w:r>
            <w:r>
              <w:t xml:space="preserve">-udledningen </w:t>
            </w:r>
            <w:r w:rsidR="001500B6">
              <w:t xml:space="preserve">i regnearket </w:t>
            </w:r>
            <w:r>
              <w:t>som:</w:t>
            </w:r>
          </w:p>
          <w:p w:rsidR="00EA5BAF" w:rsidRDefault="00A50D10" w:rsidP="00EA5BAF">
            <w:pPr>
              <w:jc w:val="center"/>
            </w:pPr>
            <w:r>
              <w:t>C</w:t>
            </w:r>
            <w:r w:rsidR="00EA5BAF">
              <w:t>O</w:t>
            </w:r>
            <w:r w:rsidR="00EA5BAF">
              <w:rPr>
                <w:vertAlign w:val="subscript"/>
              </w:rPr>
              <w:t>2</w:t>
            </w:r>
            <w:r w:rsidR="00EA5BAF">
              <w:t>-udledning = brændselsforbrug omfattet af kvoter • brændværdi • emissionsfaktor • oxidationsfaktor</w:t>
            </w:r>
          </w:p>
          <w:p w:rsidR="00EA5BAF" w:rsidRDefault="00177E71" w:rsidP="00A50D10">
            <w:pPr>
              <w:spacing w:before="120"/>
            </w:pPr>
            <w:r>
              <w:lastRenderedPageBreak/>
              <w:t>[Stillingsbetegnelse] tjekker hvert år Energistyrelsens hjemmeside for ændringer i standardfaktorer for brændværdi og emissionsfaktor for [</w:t>
            </w:r>
            <w:r w:rsidR="00EA5BAF">
              <w:t>naturgas, fuelolie, gasolie/dieselolie, benzin og LPG</w:t>
            </w:r>
            <w:r>
              <w:t xml:space="preserve">]. </w:t>
            </w:r>
            <w:r w:rsidR="00EA5BAF">
              <w:t xml:space="preserve">For bygas anvendes værdier, som oplyses af gasselskabet. </w:t>
            </w:r>
            <w:r>
              <w:t xml:space="preserve">Se også overvågningsplanens afsnit </w:t>
            </w:r>
            <w:r w:rsidR="009C29A5">
              <w:t>4 – Oplysninger om kildestrømme</w:t>
            </w:r>
            <w:r>
              <w:t xml:space="preserve">. </w:t>
            </w:r>
          </w:p>
          <w:p w:rsidR="00EA5BAF" w:rsidRDefault="00EA5BAF" w:rsidP="00EA5BAF"/>
          <w:p w:rsidR="00EA5BAF" w:rsidRDefault="00EA5BAF" w:rsidP="00EA5BAF">
            <w:r>
              <w:t>For biobrændsler anvendes standardbrændværdier</w:t>
            </w:r>
            <w:r w:rsidR="001500B6">
              <w:t xml:space="preserve"> xxxx [</w:t>
            </w:r>
            <w:r w:rsidR="001500B6" w:rsidRPr="009C29A5">
              <w:rPr>
                <w:i/>
                <w:color w:val="0000FF"/>
              </w:rPr>
              <w:t xml:space="preserve">enten de </w:t>
            </w:r>
            <w:r w:rsidRPr="009C29A5">
              <w:rPr>
                <w:i/>
                <w:color w:val="0000FF"/>
              </w:rPr>
              <w:t>som angives af Energistyrelsen eller brændværdierne opgøres på grundlag af fakturaer for brændselskøb eller ved anden dokumentérbar metode</w:t>
            </w:r>
            <w:r w:rsidR="00F577CF">
              <w:t>]</w:t>
            </w:r>
            <w:r>
              <w:t>. Der anvendes en emissionsfaktor på 0</w:t>
            </w:r>
            <w:r w:rsidR="00FC5360">
              <w:t>, da der er tale om 100 pct. bionedbrydelig</w:t>
            </w:r>
            <w:r w:rsidR="00CC1D24">
              <w:t>t</w:t>
            </w:r>
            <w:r w:rsidR="00FC5360">
              <w:t xml:space="preserve"> brændsel. Leverandør her leveret dokumentation for dette</w:t>
            </w:r>
            <w:r w:rsidR="00CC1D24">
              <w:t xml:space="preserve">, som er arkiveret i </w:t>
            </w:r>
            <w:r w:rsidR="00FC5360">
              <w:t>mappen CO</w:t>
            </w:r>
            <w:r w:rsidR="00FC5360" w:rsidRPr="00AC2E25">
              <w:rPr>
                <w:vertAlign w:val="subscript"/>
              </w:rPr>
              <w:t>2</w:t>
            </w:r>
            <w:r w:rsidR="00FC5360">
              <w:t xml:space="preserve">-overvågning. </w:t>
            </w:r>
          </w:p>
          <w:p w:rsidR="00BA5F1C" w:rsidRDefault="00BA5F1C" w:rsidP="00BA5F1C">
            <w:pPr>
              <w:keepNext/>
              <w:keepLines/>
            </w:pPr>
          </w:p>
          <w:p w:rsidR="00551646" w:rsidRDefault="00D9339F" w:rsidP="00CC1D24">
            <w:pPr>
              <w:keepNext/>
              <w:keepLines/>
              <w:spacing w:after="120"/>
            </w:pPr>
            <w:r w:rsidRPr="00B71B5B">
              <w:t>CO</w:t>
            </w:r>
            <w:r w:rsidRPr="00B71B5B">
              <w:rPr>
                <w:vertAlign w:val="subscript"/>
              </w:rPr>
              <w:t>2</w:t>
            </w:r>
            <w:r w:rsidRPr="00B71B5B">
              <w:t>-udledningen beregnes for hvert kalenderår opgjort pr. brændselstype.</w:t>
            </w:r>
          </w:p>
          <w:p w:rsidR="00CC1D24" w:rsidRDefault="00CC1D24" w:rsidP="00CC1D24">
            <w:pPr>
              <w:keepNext/>
              <w:keepLines/>
              <w:spacing w:after="120"/>
              <w:rPr>
                <w:sz w:val="24"/>
                <w:szCs w:val="24"/>
              </w:rPr>
            </w:pPr>
          </w:p>
        </w:tc>
      </w:tr>
    </w:tbl>
    <w:p w:rsidR="00F75824" w:rsidRDefault="00F75824">
      <w:pPr>
        <w:rPr>
          <w:sz w:val="24"/>
          <w:szCs w:val="24"/>
        </w:rPr>
      </w:pPr>
    </w:p>
    <w:tbl>
      <w:tblPr>
        <w:tblStyle w:val="Tabel-Gitter"/>
        <w:tblW w:w="0" w:type="auto"/>
        <w:shd w:val="clear" w:color="auto" w:fill="B8CCE4" w:themeFill="accent1" w:themeFillTint="66"/>
        <w:tblLook w:val="04A0" w:firstRow="1" w:lastRow="0" w:firstColumn="1" w:lastColumn="0" w:noHBand="0" w:noVBand="1"/>
      </w:tblPr>
      <w:tblGrid>
        <w:gridCol w:w="9352"/>
      </w:tblGrid>
      <w:tr w:rsidR="00A0022C" w:rsidTr="00A0022C">
        <w:tc>
          <w:tcPr>
            <w:tcW w:w="9352" w:type="dxa"/>
            <w:shd w:val="clear" w:color="auto" w:fill="B8CCE4" w:themeFill="accent1" w:themeFillTint="66"/>
          </w:tcPr>
          <w:p w:rsidR="00A0022C" w:rsidRDefault="00A0022C" w:rsidP="00A0022C">
            <w:pPr>
              <w:pStyle w:val="Overskrift1"/>
              <w:outlineLvl w:val="0"/>
              <w:rPr>
                <w:szCs w:val="24"/>
              </w:rPr>
            </w:pPr>
            <w:bookmarkStart w:id="5" w:name="_Toc459104407"/>
            <w:r w:rsidRPr="00A0022C">
              <w:rPr>
                <w:rStyle w:val="Overskrift2Tegn"/>
                <w:rFonts w:asciiTheme="minorHAnsi" w:eastAsiaTheme="majorEastAsia" w:hAnsiTheme="minorHAnsi" w:cstheme="majorBidi"/>
                <w:b/>
                <w:bCs/>
                <w:lang w:eastAsia="en-US"/>
              </w:rPr>
              <w:t>Vurdering af risici forbundet med processen og risici forbundet med kontrolaktiviteter</w:t>
            </w:r>
            <w:bookmarkEnd w:id="5"/>
          </w:p>
        </w:tc>
      </w:tr>
    </w:tbl>
    <w:p w:rsidR="00A0022C" w:rsidRDefault="00A0022C">
      <w:pPr>
        <w:rPr>
          <w:sz w:val="24"/>
          <w:szCs w:val="24"/>
        </w:rPr>
      </w:pPr>
    </w:p>
    <w:tbl>
      <w:tblPr>
        <w:tblStyle w:val="Tabel-Gitter"/>
        <w:tblW w:w="0" w:type="auto"/>
        <w:tblInd w:w="534" w:type="dxa"/>
        <w:tblLook w:val="04A0" w:firstRow="1" w:lastRow="0" w:firstColumn="1" w:lastColumn="0" w:noHBand="0" w:noVBand="1"/>
      </w:tblPr>
      <w:tblGrid>
        <w:gridCol w:w="1527"/>
        <w:gridCol w:w="7367"/>
      </w:tblGrid>
      <w:tr w:rsidR="00F14ACC" w:rsidTr="006C6884">
        <w:tc>
          <w:tcPr>
            <w:tcW w:w="1527" w:type="dxa"/>
            <w:vAlign w:val="center"/>
          </w:tcPr>
          <w:p w:rsidR="00F14ACC" w:rsidRPr="002F2940" w:rsidRDefault="00F14ACC" w:rsidP="00F14ACC">
            <w:pPr>
              <w:pStyle w:val="Listeafsnit"/>
              <w:autoSpaceDE w:val="0"/>
              <w:autoSpaceDN w:val="0"/>
              <w:adjustRightInd w:val="0"/>
              <w:spacing w:before="120" w:after="12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Regler</w:t>
            </w:r>
          </w:p>
        </w:tc>
        <w:tc>
          <w:tcPr>
            <w:tcW w:w="7367" w:type="dxa"/>
            <w:vAlign w:val="bottom"/>
          </w:tcPr>
          <w:p w:rsidR="00F14ACC" w:rsidRPr="002F2940" w:rsidRDefault="0000741B" w:rsidP="0000741B">
            <w:pPr>
              <w:pStyle w:val="Listeafsnit"/>
              <w:autoSpaceDE w:val="0"/>
              <w:autoSpaceDN w:val="0"/>
              <w:adjustRightInd w:val="0"/>
              <w:spacing w:before="120" w:after="120"/>
              <w:ind w:left="0"/>
              <w:rPr>
                <w:rFonts w:ascii="Trebuchet MS" w:hAnsi="Trebuchet MS" w:cs="Trebuchet MS"/>
                <w:i/>
                <w:iCs/>
                <w:color w:val="0000FF"/>
                <w:sz w:val="18"/>
                <w:szCs w:val="18"/>
              </w:rPr>
            </w:pPr>
            <w:r>
              <w:rPr>
                <w:rFonts w:ascii="Trebuchet MS" w:hAnsi="Trebuchet MS" w:cs="Trebuchet MS"/>
                <w:i/>
                <w:iCs/>
                <w:color w:val="0000FF"/>
                <w:sz w:val="18"/>
                <w:szCs w:val="18"/>
              </w:rPr>
              <w:t xml:space="preserve">Artikel 58 og artikel 47, stk. 3 i </w:t>
            </w:r>
            <w:r w:rsidRPr="0000741B">
              <w:rPr>
                <w:rFonts w:ascii="Trebuchet MS" w:hAnsi="Trebuchet MS" w:cs="Trebuchet MS"/>
                <w:i/>
                <w:iCs/>
                <w:color w:val="0000FF"/>
                <w:sz w:val="18"/>
                <w:szCs w:val="18"/>
              </w:rPr>
              <w:t xml:space="preserve">Kommissions Forordning 601/2012 </w:t>
            </w:r>
          </w:p>
        </w:tc>
      </w:tr>
      <w:tr w:rsidR="00F14ACC" w:rsidTr="006C6884">
        <w:tc>
          <w:tcPr>
            <w:tcW w:w="1527" w:type="dxa"/>
          </w:tcPr>
          <w:p w:rsidR="00F14ACC" w:rsidRPr="002F2940" w:rsidRDefault="00F14ACC" w:rsidP="00F14ACC">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Indhold i procedure</w:t>
            </w:r>
          </w:p>
        </w:tc>
        <w:tc>
          <w:tcPr>
            <w:tcW w:w="7367" w:type="dxa"/>
          </w:tcPr>
          <w:p w:rsidR="00F14ACC" w:rsidRPr="002F2940" w:rsidRDefault="00F14ACC" w:rsidP="0000741B">
            <w:pPr>
              <w:pStyle w:val="Listeafsnit"/>
              <w:autoSpaceDE w:val="0"/>
              <w:autoSpaceDN w:val="0"/>
              <w:adjustRightInd w:val="0"/>
              <w:ind w:left="0"/>
              <w:rPr>
                <w:rFonts w:ascii="Trebuchet MS" w:hAnsi="Trebuchet MS" w:cs="Trebuchet MS"/>
                <w:i/>
                <w:iCs/>
                <w:color w:val="0000FF"/>
                <w:sz w:val="18"/>
                <w:szCs w:val="18"/>
              </w:rPr>
            </w:pPr>
            <w:r>
              <w:rPr>
                <w:rFonts w:ascii="Trebuchet MS" w:hAnsi="Trebuchet MS" w:cs="Trebuchet MS"/>
                <w:i/>
                <w:iCs/>
                <w:color w:val="0000FF"/>
                <w:sz w:val="18"/>
                <w:szCs w:val="18"/>
              </w:rPr>
              <w:t xml:space="preserve">I proceduren beskrives, </w:t>
            </w:r>
            <w:r w:rsidR="0000741B" w:rsidRPr="00871FBD">
              <w:rPr>
                <w:rFonts w:ascii="Trebuchet MS" w:eastAsia="Times New Roman" w:hAnsi="Trebuchet MS" w:cs="Arial"/>
                <w:i/>
                <w:iCs/>
                <w:color w:val="0000FF"/>
                <w:sz w:val="18"/>
                <w:szCs w:val="18"/>
                <w:lang w:eastAsia="da-DK"/>
              </w:rPr>
              <w:t>hvordan vurderinger af risici forbundet med processen og kontrolrisici udføres ved etablering af et effektivt kontrolsystem</w:t>
            </w:r>
          </w:p>
        </w:tc>
      </w:tr>
    </w:tbl>
    <w:p w:rsidR="00F14ACC" w:rsidRDefault="00F14ACC" w:rsidP="009A58CE">
      <w:pPr>
        <w:pStyle w:val="Listeafsnit"/>
        <w:spacing w:after="0" w:line="240" w:lineRule="auto"/>
        <w:ind w:left="360"/>
        <w:rPr>
          <w:rFonts w:ascii="Trebuchet MS" w:eastAsia="Times New Roman" w:hAnsi="Trebuchet MS" w:cs="Arial"/>
          <w:i/>
          <w:iCs/>
          <w:color w:val="0000FF"/>
          <w:sz w:val="18"/>
          <w:szCs w:val="18"/>
          <w:lang w:eastAsia="da-DK"/>
        </w:rPr>
      </w:pPr>
    </w:p>
    <w:p w:rsidR="009A58CE" w:rsidRPr="00871FBD" w:rsidRDefault="009A58CE" w:rsidP="009A58CE">
      <w:pPr>
        <w:pStyle w:val="Listeafsnit"/>
        <w:spacing w:after="0" w:line="240" w:lineRule="auto"/>
        <w:ind w:left="360"/>
        <w:rPr>
          <w:rFonts w:ascii="Trebuchet MS" w:hAnsi="Trebuchet MS"/>
          <w:b/>
          <w:color w:val="0000FF"/>
          <w:sz w:val="24"/>
          <w:szCs w:val="24"/>
        </w:rPr>
      </w:pPr>
    </w:p>
    <w:tbl>
      <w:tblPr>
        <w:tblStyle w:val="Tabel-Gitter"/>
        <w:tblW w:w="0" w:type="auto"/>
        <w:tblInd w:w="534" w:type="dxa"/>
        <w:tblLook w:val="04A0" w:firstRow="1" w:lastRow="0" w:firstColumn="1" w:lastColumn="0" w:noHBand="0" w:noVBand="1"/>
      </w:tblPr>
      <w:tblGrid>
        <w:gridCol w:w="8894"/>
      </w:tblGrid>
      <w:tr w:rsidR="00A15CBF" w:rsidTr="002F1003">
        <w:tc>
          <w:tcPr>
            <w:tcW w:w="9320" w:type="dxa"/>
          </w:tcPr>
          <w:p w:rsidR="00A15CBF" w:rsidRPr="00A359D0" w:rsidRDefault="00A359D0" w:rsidP="00BC6D54">
            <w:pPr>
              <w:rPr>
                <w:i/>
              </w:rPr>
            </w:pPr>
            <w:r w:rsidRPr="00B14740">
              <w:rPr>
                <w:i/>
                <w:color w:val="0000FF"/>
              </w:rPr>
              <w:t>Produktionsenheder med små udledninger (anlæg med gennemsnitlig årlige udledninger i 2008-12 &lt; 25.000 ton CO</w:t>
            </w:r>
            <w:r w:rsidRPr="006E6E28">
              <w:rPr>
                <w:i/>
                <w:color w:val="0000FF"/>
                <w:vertAlign w:val="subscript"/>
              </w:rPr>
              <w:t>2</w:t>
            </w:r>
            <w:r w:rsidRPr="00B14740">
              <w:rPr>
                <w:i/>
                <w:color w:val="0000FF"/>
              </w:rPr>
              <w:t xml:space="preserve">) skal ikke </w:t>
            </w:r>
            <w:r w:rsidR="00BC07EB">
              <w:rPr>
                <w:i/>
                <w:color w:val="0000FF"/>
              </w:rPr>
              <w:t>fremlæ</w:t>
            </w:r>
            <w:r w:rsidR="003B5072">
              <w:rPr>
                <w:i/>
                <w:color w:val="0000FF"/>
              </w:rPr>
              <w:t>g</w:t>
            </w:r>
            <w:r w:rsidR="00BC07EB">
              <w:rPr>
                <w:i/>
                <w:color w:val="0000FF"/>
              </w:rPr>
              <w:t xml:space="preserve">ge </w:t>
            </w:r>
            <w:r w:rsidRPr="00B14740">
              <w:rPr>
                <w:i/>
                <w:color w:val="0000FF"/>
              </w:rPr>
              <w:t xml:space="preserve"> risiko-vurderinger</w:t>
            </w:r>
            <w:r w:rsidR="00B14740" w:rsidRPr="00B14740">
              <w:rPr>
                <w:i/>
                <w:color w:val="0000FF"/>
              </w:rPr>
              <w:t xml:space="preserve"> (jf. forordningens artikel 47, 3 der henviser til artikel 12, stk. 1, 3. afsnit</w:t>
            </w:r>
            <w:r w:rsidR="00B14740">
              <w:rPr>
                <w:i/>
              </w:rPr>
              <w:t>)</w:t>
            </w:r>
            <w:r w:rsidRPr="00A359D0">
              <w:rPr>
                <w:i/>
              </w:rPr>
              <w:t>.</w:t>
            </w:r>
          </w:p>
          <w:p w:rsidR="00BC6D54" w:rsidRDefault="00BC6D54" w:rsidP="00BC6D54">
            <w:pPr>
              <w:rPr>
                <w:b/>
                <w:sz w:val="24"/>
                <w:szCs w:val="24"/>
              </w:rPr>
            </w:pPr>
          </w:p>
          <w:p w:rsidR="000A323E" w:rsidRPr="000A323E" w:rsidRDefault="000A323E" w:rsidP="00BC6D54">
            <w:r w:rsidRPr="000A323E">
              <w:t>[Eksempel er ikke udarbejdet – afventer Kommissionens vejledning]</w:t>
            </w:r>
          </w:p>
          <w:p w:rsidR="00B14740" w:rsidRDefault="00B14740" w:rsidP="00BC6D54">
            <w:pPr>
              <w:rPr>
                <w:sz w:val="24"/>
                <w:szCs w:val="24"/>
              </w:rPr>
            </w:pPr>
          </w:p>
          <w:p w:rsidR="00B14740" w:rsidRDefault="00B14740" w:rsidP="00BC6D54">
            <w:pPr>
              <w:rPr>
                <w:sz w:val="24"/>
                <w:szCs w:val="24"/>
              </w:rPr>
            </w:pPr>
          </w:p>
          <w:p w:rsidR="00B14740" w:rsidRPr="00A359D0" w:rsidRDefault="00B14740" w:rsidP="00BC6D54">
            <w:pPr>
              <w:rPr>
                <w:sz w:val="24"/>
                <w:szCs w:val="24"/>
              </w:rPr>
            </w:pPr>
          </w:p>
        </w:tc>
      </w:tr>
    </w:tbl>
    <w:p w:rsidR="00A0022C" w:rsidRDefault="00A0022C" w:rsidP="00A0022C">
      <w:pPr>
        <w:pStyle w:val="Overskrift1"/>
        <w:numPr>
          <w:ilvl w:val="0"/>
          <w:numId w:val="0"/>
        </w:numPr>
        <w:rPr>
          <w:b w:val="0"/>
        </w:rPr>
      </w:pPr>
    </w:p>
    <w:p w:rsidR="00A0022C" w:rsidRDefault="00A0022C" w:rsidP="00A0022C">
      <w:pPr>
        <w:rPr>
          <w:rFonts w:eastAsiaTheme="majorEastAsia" w:cstheme="majorBidi"/>
          <w:sz w:val="24"/>
          <w:szCs w:val="28"/>
        </w:rPr>
      </w:pPr>
      <w:r>
        <w:br w:type="page"/>
      </w:r>
    </w:p>
    <w:tbl>
      <w:tblPr>
        <w:tblStyle w:val="Tabel-Gitter"/>
        <w:tblW w:w="0" w:type="auto"/>
        <w:shd w:val="clear" w:color="auto" w:fill="B8CCE4" w:themeFill="accent1" w:themeFillTint="66"/>
        <w:tblLook w:val="04A0" w:firstRow="1" w:lastRow="0" w:firstColumn="1" w:lastColumn="0" w:noHBand="0" w:noVBand="1"/>
      </w:tblPr>
      <w:tblGrid>
        <w:gridCol w:w="9352"/>
      </w:tblGrid>
      <w:tr w:rsidR="00A0022C" w:rsidTr="00A0022C">
        <w:tc>
          <w:tcPr>
            <w:tcW w:w="9352" w:type="dxa"/>
            <w:shd w:val="clear" w:color="auto" w:fill="B8CCE4" w:themeFill="accent1" w:themeFillTint="66"/>
          </w:tcPr>
          <w:p w:rsidR="00A0022C" w:rsidRDefault="00A0022C" w:rsidP="00A0022C">
            <w:pPr>
              <w:pStyle w:val="Overskrift1"/>
              <w:outlineLvl w:val="0"/>
            </w:pPr>
            <w:bookmarkStart w:id="6" w:name="_Toc459104408"/>
            <w:r w:rsidRPr="00A0022C">
              <w:rPr>
                <w:rStyle w:val="Overskrift2Tegn"/>
                <w:rFonts w:asciiTheme="minorHAnsi" w:eastAsiaTheme="majorEastAsia" w:hAnsiTheme="minorHAnsi" w:cstheme="majorBidi"/>
                <w:b/>
                <w:bCs/>
                <w:lang w:eastAsia="en-US"/>
              </w:rPr>
              <w:lastRenderedPageBreak/>
              <w:t>Kvalitetssikring af måleudstyr</w:t>
            </w:r>
            <w:bookmarkEnd w:id="6"/>
            <w:r w:rsidRPr="00A0022C">
              <w:t xml:space="preserve"> </w:t>
            </w:r>
          </w:p>
        </w:tc>
      </w:tr>
    </w:tbl>
    <w:p w:rsidR="00A0022C" w:rsidRPr="00A0022C" w:rsidRDefault="00A0022C" w:rsidP="00894F1A">
      <w:pPr>
        <w:spacing w:after="0"/>
      </w:pPr>
    </w:p>
    <w:tbl>
      <w:tblPr>
        <w:tblStyle w:val="Tabel-Gitter"/>
        <w:tblW w:w="0" w:type="auto"/>
        <w:tblInd w:w="534" w:type="dxa"/>
        <w:tblLook w:val="04A0" w:firstRow="1" w:lastRow="0" w:firstColumn="1" w:lastColumn="0" w:noHBand="0" w:noVBand="1"/>
      </w:tblPr>
      <w:tblGrid>
        <w:gridCol w:w="1527"/>
        <w:gridCol w:w="7367"/>
      </w:tblGrid>
      <w:tr w:rsidR="00F14ACC" w:rsidTr="001723D5">
        <w:tc>
          <w:tcPr>
            <w:tcW w:w="1527" w:type="dxa"/>
          </w:tcPr>
          <w:p w:rsidR="00F14ACC" w:rsidRPr="002F2940" w:rsidRDefault="00F14ACC" w:rsidP="00F14ACC">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Regler</w:t>
            </w:r>
          </w:p>
        </w:tc>
        <w:tc>
          <w:tcPr>
            <w:tcW w:w="7367" w:type="dxa"/>
          </w:tcPr>
          <w:p w:rsidR="0000741B" w:rsidRPr="002F2940" w:rsidRDefault="00F14ACC" w:rsidP="0000741B">
            <w:pPr>
              <w:pStyle w:val="Listeafsnit"/>
              <w:autoSpaceDE w:val="0"/>
              <w:autoSpaceDN w:val="0"/>
              <w:adjustRightInd w:val="0"/>
              <w:ind w:left="0"/>
              <w:rPr>
                <w:rFonts w:ascii="Trebuchet MS" w:hAnsi="Trebuchet MS" w:cs="Trebuchet MS"/>
                <w:i/>
                <w:iCs/>
                <w:color w:val="0000FF"/>
                <w:sz w:val="18"/>
                <w:szCs w:val="18"/>
              </w:rPr>
            </w:pPr>
            <w:r>
              <w:rPr>
                <w:rFonts w:ascii="Trebuchet MS" w:hAnsi="Trebuchet MS" w:cs="Trebuchet MS"/>
                <w:i/>
                <w:iCs/>
                <w:color w:val="0000FF"/>
                <w:sz w:val="18"/>
                <w:szCs w:val="18"/>
              </w:rPr>
              <w:t xml:space="preserve">Artikel </w:t>
            </w:r>
            <w:r w:rsidR="0000741B" w:rsidRPr="0000741B">
              <w:rPr>
                <w:rFonts w:ascii="Trebuchet MS" w:hAnsi="Trebuchet MS" w:cs="Trebuchet MS"/>
                <w:i/>
                <w:iCs/>
                <w:color w:val="0000FF"/>
                <w:sz w:val="18"/>
                <w:szCs w:val="18"/>
              </w:rPr>
              <w:t>58 og 59</w:t>
            </w:r>
            <w:r w:rsidR="0000741B">
              <w:rPr>
                <w:rFonts w:ascii="Trebuchet MS" w:hAnsi="Trebuchet MS" w:cs="Trebuchet MS"/>
                <w:i/>
                <w:iCs/>
                <w:color w:val="0000FF"/>
                <w:sz w:val="18"/>
                <w:szCs w:val="18"/>
              </w:rPr>
              <w:t xml:space="preserve"> i </w:t>
            </w:r>
            <w:r w:rsidR="0000741B" w:rsidRPr="0000741B">
              <w:rPr>
                <w:rFonts w:ascii="Trebuchet MS" w:hAnsi="Trebuchet MS" w:cs="Trebuchet MS"/>
                <w:i/>
                <w:iCs/>
                <w:color w:val="0000FF"/>
                <w:sz w:val="18"/>
                <w:szCs w:val="18"/>
              </w:rPr>
              <w:t>Kommissionens forordning 601/2012</w:t>
            </w:r>
            <w:r w:rsidR="0000741B">
              <w:rPr>
                <w:rFonts w:ascii="Trebuchet MS" w:hAnsi="Trebuchet MS" w:cs="Trebuchet MS"/>
                <w:i/>
                <w:iCs/>
                <w:color w:val="0000FF"/>
                <w:sz w:val="18"/>
                <w:szCs w:val="18"/>
              </w:rPr>
              <w:t>.</w:t>
            </w:r>
          </w:p>
        </w:tc>
      </w:tr>
      <w:tr w:rsidR="00F14ACC" w:rsidTr="001723D5">
        <w:tc>
          <w:tcPr>
            <w:tcW w:w="1527" w:type="dxa"/>
          </w:tcPr>
          <w:p w:rsidR="00F14ACC" w:rsidRPr="002F2940" w:rsidRDefault="00F14ACC" w:rsidP="00F14ACC">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Indhold i procedure</w:t>
            </w:r>
          </w:p>
        </w:tc>
        <w:tc>
          <w:tcPr>
            <w:tcW w:w="7367" w:type="dxa"/>
          </w:tcPr>
          <w:p w:rsidR="00F14ACC" w:rsidRPr="002F2940" w:rsidRDefault="00F14ACC" w:rsidP="000539CD">
            <w:pPr>
              <w:pStyle w:val="Listeafsnit"/>
              <w:autoSpaceDE w:val="0"/>
              <w:autoSpaceDN w:val="0"/>
              <w:adjustRightInd w:val="0"/>
              <w:ind w:left="0"/>
              <w:rPr>
                <w:rFonts w:ascii="Trebuchet MS" w:hAnsi="Trebuchet MS" w:cs="Trebuchet MS"/>
                <w:i/>
                <w:iCs/>
                <w:color w:val="0000FF"/>
                <w:sz w:val="18"/>
                <w:szCs w:val="18"/>
              </w:rPr>
            </w:pPr>
            <w:r>
              <w:rPr>
                <w:rFonts w:ascii="Trebuchet MS" w:hAnsi="Trebuchet MS" w:cs="Trebuchet MS"/>
                <w:i/>
                <w:iCs/>
                <w:color w:val="0000FF"/>
                <w:sz w:val="18"/>
                <w:szCs w:val="18"/>
              </w:rPr>
              <w:t xml:space="preserve">I proceduren beskrives, </w:t>
            </w:r>
            <w:r w:rsidR="000539CD" w:rsidRPr="00871FBD">
              <w:rPr>
                <w:rFonts w:ascii="Trebuchet MS" w:eastAsia="Times New Roman" w:hAnsi="Trebuchet MS" w:cs="Arial"/>
                <w:i/>
                <w:iCs/>
                <w:color w:val="0000FF"/>
                <w:sz w:val="18"/>
                <w:szCs w:val="18"/>
                <w:lang w:eastAsia="da-DK"/>
              </w:rPr>
              <w:t xml:space="preserve">hvordan alt relevant måleudstyr kalibreres og inspiceres med jævne mellemrum, i de tilfælde, hvor det er relevant, og hvordan manglende overholdelse af kravene håndteres.  </w:t>
            </w:r>
            <w:r w:rsidR="000539CD" w:rsidRPr="00871FBD">
              <w:rPr>
                <w:rFonts w:ascii="Trebuchet MS" w:hAnsi="Trebuchet MS"/>
                <w:b/>
                <w:color w:val="0000FF"/>
                <w:sz w:val="24"/>
                <w:szCs w:val="24"/>
              </w:rPr>
              <w:t xml:space="preserve"> </w:t>
            </w:r>
          </w:p>
        </w:tc>
      </w:tr>
    </w:tbl>
    <w:p w:rsidR="00F14ACC" w:rsidRDefault="00F14ACC" w:rsidP="009A58CE">
      <w:pPr>
        <w:pStyle w:val="Listeafsnit"/>
        <w:spacing w:after="0" w:line="240" w:lineRule="auto"/>
        <w:ind w:left="360"/>
        <w:rPr>
          <w:rFonts w:ascii="Trebuchet MS" w:eastAsia="Times New Roman" w:hAnsi="Trebuchet MS" w:cs="Arial"/>
          <w:i/>
          <w:iCs/>
          <w:color w:val="0000FF"/>
          <w:sz w:val="18"/>
          <w:szCs w:val="18"/>
          <w:lang w:eastAsia="da-DK"/>
        </w:rPr>
      </w:pPr>
    </w:p>
    <w:p w:rsidR="00F14ACC" w:rsidRDefault="00F14ACC" w:rsidP="009A58CE">
      <w:pPr>
        <w:pStyle w:val="Listeafsnit"/>
        <w:spacing w:after="0" w:line="240" w:lineRule="auto"/>
        <w:ind w:left="360"/>
        <w:rPr>
          <w:rFonts w:ascii="Trebuchet MS" w:eastAsia="Times New Roman" w:hAnsi="Trebuchet MS" w:cs="Arial"/>
          <w:i/>
          <w:iCs/>
          <w:color w:val="0000FF"/>
          <w:sz w:val="18"/>
          <w:szCs w:val="18"/>
          <w:lang w:eastAsia="da-DK"/>
        </w:rPr>
      </w:pPr>
    </w:p>
    <w:tbl>
      <w:tblPr>
        <w:tblStyle w:val="Tabel-Gitter"/>
        <w:tblW w:w="0" w:type="auto"/>
        <w:tblInd w:w="534" w:type="dxa"/>
        <w:tblLook w:val="04A0" w:firstRow="1" w:lastRow="0" w:firstColumn="1" w:lastColumn="0" w:noHBand="0" w:noVBand="1"/>
      </w:tblPr>
      <w:tblGrid>
        <w:gridCol w:w="8894"/>
      </w:tblGrid>
      <w:tr w:rsidR="00AB12C1" w:rsidTr="000539CD">
        <w:tc>
          <w:tcPr>
            <w:tcW w:w="8894" w:type="dxa"/>
          </w:tcPr>
          <w:p w:rsidR="00D452BD" w:rsidRPr="00871FBD" w:rsidRDefault="00D452BD" w:rsidP="00BC6D54">
            <w:pPr>
              <w:rPr>
                <w:i/>
                <w:color w:val="0000FF"/>
              </w:rPr>
            </w:pPr>
            <w:r w:rsidRPr="00871FBD">
              <w:rPr>
                <w:i/>
                <w:color w:val="0000FF"/>
              </w:rPr>
              <w:t>Proceduren er relevant, hvor produktionsenheden selv har ansvar for måle</w:t>
            </w:r>
            <w:r w:rsidR="00371377">
              <w:rPr>
                <w:i/>
                <w:color w:val="0000FF"/>
              </w:rPr>
              <w:t>udstyret</w:t>
            </w:r>
            <w:r w:rsidRPr="00871FBD">
              <w:rPr>
                <w:i/>
                <w:color w:val="0000FF"/>
              </w:rPr>
              <w:t xml:space="preserve">. </w:t>
            </w:r>
          </w:p>
          <w:p w:rsidR="00871FBD" w:rsidRPr="00A4694E" w:rsidRDefault="00871FBD" w:rsidP="00BC6D54">
            <w:pPr>
              <w:rPr>
                <w:i/>
              </w:rPr>
            </w:pPr>
          </w:p>
          <w:p w:rsidR="00DF6DE7" w:rsidRDefault="00751F02" w:rsidP="00AB12C1">
            <w:r w:rsidRPr="00A4694E">
              <w:t>[Stillingsbe</w:t>
            </w:r>
            <w:r w:rsidR="009F75AE" w:rsidRPr="00A4694E">
              <w:t>tegnelse] er ansvarlig for, at målere kalibreres, justeres</w:t>
            </w:r>
            <w:r w:rsidR="009C29A5">
              <w:t xml:space="preserve"> </w:t>
            </w:r>
            <w:r w:rsidR="009F75AE" w:rsidRPr="00A4694E">
              <w:t>og kontrolleres i overensstemmelse med</w:t>
            </w:r>
            <w:r w:rsidR="00A4694E">
              <w:t xml:space="preserve"> </w:t>
            </w:r>
            <w:r w:rsidR="00871FBD">
              <w:t>leverandørens specifikationer</w:t>
            </w:r>
            <w:r w:rsidR="00C45E42">
              <w:t xml:space="preserve"> [</w:t>
            </w:r>
            <w:r w:rsidR="00DF6DE7">
              <w:rPr>
                <w:i/>
              </w:rPr>
              <w:t>bør</w:t>
            </w:r>
            <w:r w:rsidR="00C45E42" w:rsidRPr="00C45E42">
              <w:rPr>
                <w:i/>
              </w:rPr>
              <w:t xml:space="preserve"> uddybes</w:t>
            </w:r>
            <w:r w:rsidR="00DF6DE7">
              <w:rPr>
                <w:i/>
              </w:rPr>
              <w:t xml:space="preserve"> i proceduren</w:t>
            </w:r>
            <w:r w:rsidR="00C45E42">
              <w:t>]</w:t>
            </w:r>
            <w:r w:rsidR="00871FBD">
              <w:t>.</w:t>
            </w:r>
            <w:r w:rsidR="00DF6DE7">
              <w:t xml:space="preserve"> </w:t>
            </w:r>
          </w:p>
          <w:p w:rsidR="00DF6DE7" w:rsidRDefault="00DF6DE7" w:rsidP="00AB12C1"/>
          <w:p w:rsidR="00DF6DE7" w:rsidRDefault="00DF6DE7" w:rsidP="00AB12C1">
            <w:r>
              <w:t>Ligeledes sikres at evt. pejleudstyr kontrolleres i overensstemmelse med leverandørens specifikationer [</w:t>
            </w:r>
            <w:r w:rsidRPr="00AC2E25">
              <w:rPr>
                <w:i/>
              </w:rPr>
              <w:t>bør uddybes i procedu</w:t>
            </w:r>
            <w:bookmarkStart w:id="7" w:name="_GoBack"/>
            <w:bookmarkEnd w:id="7"/>
            <w:r w:rsidRPr="00AC2E25">
              <w:rPr>
                <w:i/>
              </w:rPr>
              <w:t>ren</w:t>
            </w:r>
            <w:r>
              <w:t>]</w:t>
            </w:r>
          </w:p>
          <w:p w:rsidR="00DF6DE7" w:rsidRDefault="00DF6DE7" w:rsidP="00AB12C1"/>
          <w:p w:rsidR="00BC6D54" w:rsidRPr="00A4694E" w:rsidRDefault="00871FBD" w:rsidP="00AB12C1">
            <w:pPr>
              <w:rPr>
                <w:b/>
              </w:rPr>
            </w:pPr>
            <w:r>
              <w:t xml:space="preserve"> På kontrolark (Bilag </w:t>
            </w:r>
            <w:r w:rsidR="007F2B05">
              <w:t>E</w:t>
            </w:r>
            <w:r>
              <w:t>) noteres kontrol af måle</w:t>
            </w:r>
            <w:r w:rsidR="00DF6DE7">
              <w:t>udstyr</w:t>
            </w:r>
            <w:r>
              <w:t>.</w:t>
            </w:r>
          </w:p>
          <w:p w:rsidR="009E0C53" w:rsidRPr="00C45E42" w:rsidRDefault="009E0C53" w:rsidP="00C45E42"/>
        </w:tc>
      </w:tr>
    </w:tbl>
    <w:p w:rsidR="00A0022C" w:rsidRDefault="00A0022C" w:rsidP="00A0022C">
      <w:pPr>
        <w:pStyle w:val="Overskrift1"/>
        <w:numPr>
          <w:ilvl w:val="0"/>
          <w:numId w:val="0"/>
        </w:numPr>
        <w:spacing w:before="0"/>
        <w:rPr>
          <w:rStyle w:val="Overskrift2Tegn"/>
          <w:rFonts w:asciiTheme="minorHAnsi" w:eastAsiaTheme="majorEastAsia" w:hAnsiTheme="minorHAnsi" w:cstheme="majorBidi"/>
          <w:b/>
          <w:bCs/>
          <w:szCs w:val="28"/>
          <w:lang w:eastAsia="en-US"/>
        </w:rPr>
      </w:pPr>
    </w:p>
    <w:tbl>
      <w:tblPr>
        <w:tblStyle w:val="Tabel-Gitter"/>
        <w:tblW w:w="0" w:type="auto"/>
        <w:shd w:val="clear" w:color="auto" w:fill="B8CCE4" w:themeFill="accent1" w:themeFillTint="66"/>
        <w:tblLook w:val="04A0" w:firstRow="1" w:lastRow="0" w:firstColumn="1" w:lastColumn="0" w:noHBand="0" w:noVBand="1"/>
      </w:tblPr>
      <w:tblGrid>
        <w:gridCol w:w="9352"/>
      </w:tblGrid>
      <w:tr w:rsidR="00A0022C" w:rsidTr="00894F1A">
        <w:tc>
          <w:tcPr>
            <w:tcW w:w="9352" w:type="dxa"/>
            <w:shd w:val="clear" w:color="auto" w:fill="B8CCE4" w:themeFill="accent1" w:themeFillTint="66"/>
          </w:tcPr>
          <w:p w:rsidR="00A0022C" w:rsidRDefault="00A0022C" w:rsidP="00894F1A">
            <w:pPr>
              <w:pStyle w:val="Overskrift1"/>
              <w:outlineLvl w:val="0"/>
            </w:pPr>
            <w:bookmarkStart w:id="8" w:name="_Toc459104409"/>
            <w:r w:rsidRPr="00894F1A">
              <w:rPr>
                <w:rStyle w:val="Overskrift2Tegn"/>
                <w:rFonts w:asciiTheme="minorHAnsi" w:eastAsiaTheme="majorEastAsia" w:hAnsiTheme="minorHAnsi" w:cstheme="majorBidi"/>
                <w:b/>
                <w:bCs/>
                <w:lang w:eastAsia="en-US"/>
              </w:rPr>
              <w:t>Kvalitetssikring af informationsteknologi, der anvendes til datastrømsaktiviteter</w:t>
            </w:r>
            <w:bookmarkEnd w:id="8"/>
            <w:r w:rsidRPr="00894F1A">
              <w:t xml:space="preserve"> </w:t>
            </w:r>
          </w:p>
        </w:tc>
      </w:tr>
    </w:tbl>
    <w:p w:rsidR="00A0022C" w:rsidRPr="00A0022C" w:rsidRDefault="00A0022C" w:rsidP="00A0022C">
      <w:pPr>
        <w:pStyle w:val="Overskrift1"/>
        <w:numPr>
          <w:ilvl w:val="0"/>
          <w:numId w:val="0"/>
        </w:numPr>
        <w:spacing w:before="0"/>
        <w:ind w:left="714"/>
        <w:rPr>
          <w:rStyle w:val="Overskrift2Tegn"/>
          <w:rFonts w:asciiTheme="minorHAnsi" w:eastAsiaTheme="majorEastAsia" w:hAnsiTheme="minorHAnsi" w:cstheme="majorBidi"/>
          <w:b/>
          <w:bCs/>
          <w:szCs w:val="28"/>
          <w:lang w:eastAsia="en-US"/>
        </w:rPr>
      </w:pPr>
    </w:p>
    <w:tbl>
      <w:tblPr>
        <w:tblStyle w:val="Tabel-Gitter"/>
        <w:tblW w:w="0" w:type="auto"/>
        <w:tblInd w:w="534" w:type="dxa"/>
        <w:tblLook w:val="04A0" w:firstRow="1" w:lastRow="0" w:firstColumn="1" w:lastColumn="0" w:noHBand="0" w:noVBand="1"/>
      </w:tblPr>
      <w:tblGrid>
        <w:gridCol w:w="1527"/>
        <w:gridCol w:w="7367"/>
      </w:tblGrid>
      <w:tr w:rsidR="001723D5" w:rsidTr="001723D5">
        <w:tc>
          <w:tcPr>
            <w:tcW w:w="1527" w:type="dxa"/>
          </w:tcPr>
          <w:p w:rsidR="001723D5" w:rsidRPr="002F2940" w:rsidRDefault="001723D5" w:rsidP="001723D5">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Regler</w:t>
            </w:r>
          </w:p>
        </w:tc>
        <w:tc>
          <w:tcPr>
            <w:tcW w:w="7367" w:type="dxa"/>
          </w:tcPr>
          <w:p w:rsidR="001723D5" w:rsidRPr="002F2940" w:rsidRDefault="001723D5" w:rsidP="001723D5">
            <w:pPr>
              <w:pStyle w:val="Listeafsnit"/>
              <w:autoSpaceDE w:val="0"/>
              <w:autoSpaceDN w:val="0"/>
              <w:adjustRightInd w:val="0"/>
              <w:ind w:left="0"/>
              <w:rPr>
                <w:rFonts w:ascii="Trebuchet MS" w:hAnsi="Trebuchet MS" w:cs="Trebuchet MS"/>
                <w:i/>
                <w:iCs/>
                <w:color w:val="0000FF"/>
                <w:sz w:val="18"/>
                <w:szCs w:val="18"/>
              </w:rPr>
            </w:pPr>
            <w:r>
              <w:rPr>
                <w:rFonts w:ascii="Trebuchet MS" w:hAnsi="Trebuchet MS" w:cs="Trebuchet MS"/>
                <w:i/>
                <w:iCs/>
                <w:color w:val="0000FF"/>
                <w:sz w:val="18"/>
                <w:szCs w:val="18"/>
              </w:rPr>
              <w:t xml:space="preserve">Artikel </w:t>
            </w:r>
            <w:r w:rsidRPr="0000741B">
              <w:rPr>
                <w:rFonts w:ascii="Trebuchet MS" w:hAnsi="Trebuchet MS" w:cs="Trebuchet MS"/>
                <w:i/>
                <w:iCs/>
                <w:color w:val="0000FF"/>
                <w:sz w:val="18"/>
                <w:szCs w:val="18"/>
              </w:rPr>
              <w:t xml:space="preserve">58 og </w:t>
            </w:r>
            <w:r>
              <w:rPr>
                <w:rFonts w:ascii="Trebuchet MS" w:hAnsi="Trebuchet MS" w:cs="Trebuchet MS"/>
                <w:i/>
                <w:iCs/>
                <w:color w:val="0000FF"/>
                <w:sz w:val="18"/>
                <w:szCs w:val="18"/>
              </w:rPr>
              <w:t xml:space="preserve">60 i </w:t>
            </w:r>
            <w:r w:rsidRPr="0000741B">
              <w:rPr>
                <w:rFonts w:ascii="Trebuchet MS" w:hAnsi="Trebuchet MS" w:cs="Trebuchet MS"/>
                <w:i/>
                <w:iCs/>
                <w:color w:val="0000FF"/>
                <w:sz w:val="18"/>
                <w:szCs w:val="18"/>
              </w:rPr>
              <w:t>Kommissionens forordning 601/2012</w:t>
            </w:r>
            <w:r>
              <w:rPr>
                <w:rFonts w:ascii="Trebuchet MS" w:hAnsi="Trebuchet MS" w:cs="Trebuchet MS"/>
                <w:i/>
                <w:iCs/>
                <w:color w:val="0000FF"/>
                <w:sz w:val="18"/>
                <w:szCs w:val="18"/>
              </w:rPr>
              <w:t>.</w:t>
            </w:r>
          </w:p>
        </w:tc>
      </w:tr>
      <w:tr w:rsidR="001723D5" w:rsidTr="001723D5">
        <w:tc>
          <w:tcPr>
            <w:tcW w:w="1527" w:type="dxa"/>
          </w:tcPr>
          <w:p w:rsidR="001723D5" w:rsidRPr="002F2940" w:rsidRDefault="001723D5" w:rsidP="001723D5">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Indhold i procedure</w:t>
            </w:r>
          </w:p>
        </w:tc>
        <w:tc>
          <w:tcPr>
            <w:tcW w:w="7367" w:type="dxa"/>
          </w:tcPr>
          <w:p w:rsidR="001723D5" w:rsidRPr="001723D5" w:rsidRDefault="001723D5" w:rsidP="001723D5">
            <w:pPr>
              <w:pStyle w:val="Listeafsnit"/>
              <w:autoSpaceDE w:val="0"/>
              <w:autoSpaceDN w:val="0"/>
              <w:adjustRightInd w:val="0"/>
              <w:ind w:left="0"/>
              <w:rPr>
                <w:rFonts w:ascii="Trebuchet MS" w:eastAsia="Times New Roman" w:hAnsi="Trebuchet MS" w:cs="Arial"/>
                <w:i/>
                <w:iCs/>
                <w:color w:val="0000FF"/>
                <w:sz w:val="18"/>
                <w:szCs w:val="18"/>
                <w:lang w:eastAsia="da-DK"/>
              </w:rPr>
            </w:pPr>
            <w:r>
              <w:rPr>
                <w:rFonts w:ascii="Trebuchet MS" w:hAnsi="Trebuchet MS" w:cs="Trebuchet MS"/>
                <w:i/>
                <w:iCs/>
                <w:color w:val="0000FF"/>
                <w:sz w:val="18"/>
                <w:szCs w:val="18"/>
              </w:rPr>
              <w:t xml:space="preserve">I proceduren beskrives, </w:t>
            </w:r>
            <w:r w:rsidRPr="00871FBD">
              <w:rPr>
                <w:rFonts w:ascii="Trebuchet MS" w:eastAsia="Times New Roman" w:hAnsi="Trebuchet MS" w:cs="Arial"/>
                <w:i/>
                <w:iCs/>
                <w:color w:val="0000FF"/>
                <w:sz w:val="18"/>
                <w:szCs w:val="18"/>
                <w:lang w:eastAsia="da-DK"/>
              </w:rPr>
              <w:t xml:space="preserve">hvordan </w:t>
            </w:r>
            <w:r>
              <w:rPr>
                <w:rFonts w:ascii="Trebuchet MS" w:eastAsia="Times New Roman" w:hAnsi="Trebuchet MS" w:cs="Arial"/>
                <w:i/>
                <w:iCs/>
                <w:color w:val="0000FF"/>
                <w:sz w:val="18"/>
                <w:szCs w:val="18"/>
                <w:lang w:eastAsia="da-DK"/>
              </w:rPr>
              <w:t xml:space="preserve">informationsteknologi afprøves og kontrolleres, </w:t>
            </w:r>
            <w:r w:rsidRPr="001723D5">
              <w:rPr>
                <w:rFonts w:ascii="Trebuchet MS" w:eastAsia="Times New Roman" w:hAnsi="Trebuchet MS" w:cs="Arial"/>
                <w:i/>
                <w:iCs/>
                <w:color w:val="0000FF"/>
                <w:sz w:val="18"/>
                <w:szCs w:val="18"/>
                <w:lang w:eastAsia="da-DK"/>
              </w:rPr>
              <w:t xml:space="preserve">herunder adgangskontrol, </w:t>
            </w:r>
            <w:r w:rsidR="00EA0FB6" w:rsidRPr="001723D5">
              <w:rPr>
                <w:rFonts w:ascii="Trebuchet MS" w:eastAsia="Times New Roman" w:hAnsi="Trebuchet MS" w:cs="Arial"/>
                <w:i/>
                <w:iCs/>
                <w:color w:val="0000FF"/>
                <w:sz w:val="18"/>
                <w:szCs w:val="18"/>
                <w:lang w:eastAsia="da-DK"/>
              </w:rPr>
              <w:t>backup</w:t>
            </w:r>
            <w:r w:rsidRPr="001723D5">
              <w:rPr>
                <w:rFonts w:ascii="Trebuchet MS" w:eastAsia="Times New Roman" w:hAnsi="Trebuchet MS" w:cs="Arial"/>
                <w:i/>
                <w:iCs/>
                <w:color w:val="0000FF"/>
                <w:sz w:val="18"/>
                <w:szCs w:val="18"/>
                <w:lang w:eastAsia="da-DK"/>
              </w:rPr>
              <w:t>, genoprettelse og sikkerhed.</w:t>
            </w:r>
          </w:p>
          <w:p w:rsidR="001723D5" w:rsidRDefault="001723D5" w:rsidP="001723D5">
            <w:pPr>
              <w:rPr>
                <w:rFonts w:ascii="Trebuchet MS" w:hAnsi="Trebuchet MS"/>
                <w:i/>
                <w:color w:val="0000FF"/>
                <w:sz w:val="18"/>
                <w:szCs w:val="18"/>
              </w:rPr>
            </w:pPr>
          </w:p>
          <w:p w:rsidR="001723D5" w:rsidRPr="002F2940" w:rsidRDefault="001723D5" w:rsidP="001723D5">
            <w:pPr>
              <w:rPr>
                <w:rFonts w:ascii="Trebuchet MS" w:hAnsi="Trebuchet MS" w:cs="Trebuchet MS"/>
                <w:i/>
                <w:iCs/>
                <w:color w:val="0000FF"/>
                <w:sz w:val="18"/>
                <w:szCs w:val="18"/>
              </w:rPr>
            </w:pPr>
            <w:r w:rsidRPr="001723D5">
              <w:rPr>
                <w:rFonts w:ascii="Trebuchet MS" w:hAnsi="Trebuchet MS"/>
                <w:i/>
                <w:color w:val="0000FF"/>
                <w:sz w:val="18"/>
                <w:szCs w:val="18"/>
              </w:rPr>
              <w:t>Hvis virksomheden i forvejen har en IT-procedure (fx IT-sikkerhedshåndbog), som dækker forordningens artikel 60, kan der henvises hertil og der skal ikke udarbejdes nye procedurer</w:t>
            </w:r>
            <w:r w:rsidRPr="001723D5">
              <w:rPr>
                <w:rFonts w:ascii="Trebuchet MS" w:hAnsi="Trebuchet MS"/>
                <w:i/>
                <w:sz w:val="18"/>
                <w:szCs w:val="18"/>
              </w:rPr>
              <w:t>.</w:t>
            </w:r>
            <w:r w:rsidRPr="00871FBD">
              <w:rPr>
                <w:rFonts w:ascii="Trebuchet MS" w:eastAsia="Times New Roman" w:hAnsi="Trebuchet MS" w:cs="Arial"/>
                <w:i/>
                <w:iCs/>
                <w:color w:val="0000FF"/>
                <w:sz w:val="18"/>
                <w:szCs w:val="18"/>
                <w:lang w:eastAsia="da-DK"/>
              </w:rPr>
              <w:t xml:space="preserve">  </w:t>
            </w:r>
            <w:r w:rsidRPr="00871FBD">
              <w:rPr>
                <w:rFonts w:ascii="Trebuchet MS" w:hAnsi="Trebuchet MS"/>
                <w:b/>
                <w:color w:val="0000FF"/>
                <w:sz w:val="24"/>
                <w:szCs w:val="24"/>
              </w:rPr>
              <w:t xml:space="preserve"> </w:t>
            </w:r>
          </w:p>
        </w:tc>
      </w:tr>
    </w:tbl>
    <w:p w:rsidR="001723D5" w:rsidRDefault="001723D5" w:rsidP="001723D5">
      <w:pPr>
        <w:pStyle w:val="Listeafsnit"/>
        <w:spacing w:after="0" w:line="240" w:lineRule="auto"/>
        <w:ind w:left="360"/>
        <w:rPr>
          <w:rFonts w:ascii="Trebuchet MS" w:eastAsia="Times New Roman" w:hAnsi="Trebuchet MS" w:cs="Arial"/>
          <w:i/>
          <w:iCs/>
          <w:color w:val="0000FF"/>
          <w:sz w:val="18"/>
          <w:szCs w:val="18"/>
          <w:lang w:eastAsia="da-DK"/>
        </w:rPr>
      </w:pPr>
    </w:p>
    <w:tbl>
      <w:tblPr>
        <w:tblStyle w:val="Tabel-Gitter"/>
        <w:tblW w:w="0" w:type="auto"/>
        <w:tblInd w:w="534" w:type="dxa"/>
        <w:tblLook w:val="04A0" w:firstRow="1" w:lastRow="0" w:firstColumn="1" w:lastColumn="0" w:noHBand="0" w:noVBand="1"/>
      </w:tblPr>
      <w:tblGrid>
        <w:gridCol w:w="8894"/>
      </w:tblGrid>
      <w:tr w:rsidR="00D90B41" w:rsidTr="001723D5">
        <w:tc>
          <w:tcPr>
            <w:tcW w:w="8894" w:type="dxa"/>
          </w:tcPr>
          <w:p w:rsidR="00D90B41" w:rsidRPr="006D0E18" w:rsidRDefault="00D90B41" w:rsidP="00121A22">
            <w:pPr>
              <w:spacing w:before="120"/>
            </w:pPr>
            <w:r w:rsidRPr="00B0661D">
              <w:rPr>
                <w:b/>
              </w:rPr>
              <w:t>Beskrivelse af systemet:</w:t>
            </w:r>
            <w:r>
              <w:rPr>
                <w:b/>
                <w:sz w:val="24"/>
                <w:szCs w:val="24"/>
              </w:rPr>
              <w:t xml:space="preserve"> </w:t>
            </w:r>
            <w:r w:rsidRPr="006D0E18">
              <w:t xml:space="preserve">IT-systemet består af </w:t>
            </w:r>
            <w:r w:rsidR="00EA0FB6">
              <w:t>[</w:t>
            </w:r>
            <w:r w:rsidR="00267C46" w:rsidRPr="006D0E18">
              <w:t>Beskrivelse af IT-systemer og evt. serverløsninger]</w:t>
            </w:r>
          </w:p>
          <w:p w:rsidR="00DA4CA9" w:rsidRPr="006D0E18" w:rsidRDefault="008C4DBE" w:rsidP="000A79C2">
            <w:r>
              <w:t xml:space="preserve">Registrering af data </w:t>
            </w:r>
            <w:r w:rsidR="00DA4CA9" w:rsidRPr="006D0E18">
              <w:t>foretages i system udviklet af</w:t>
            </w:r>
            <w:r w:rsidR="006E2A85">
              <w:t xml:space="preserve"> [</w:t>
            </w:r>
            <w:r w:rsidR="00DA4CA9" w:rsidRPr="006D0E18">
              <w:t xml:space="preserve">…… ]. Der henvises til samlet brugervejledning, der findes i pdf-fil på </w:t>
            </w:r>
            <w:r w:rsidR="006E2A85">
              <w:t>[</w:t>
            </w:r>
            <w:r w:rsidR="00DA4CA9" w:rsidRPr="006D0E18">
              <w:t>…</w:t>
            </w:r>
            <w:r w:rsidR="006E2A85">
              <w:t>.</w:t>
            </w:r>
            <w:r w:rsidR="00DA4CA9" w:rsidRPr="006D0E18">
              <w:t>]</w:t>
            </w:r>
          </w:p>
          <w:p w:rsidR="00DA4CA9" w:rsidRPr="00D90B41" w:rsidRDefault="00DA4CA9" w:rsidP="00121A22">
            <w:pPr>
              <w:spacing w:after="120"/>
              <w:rPr>
                <w:sz w:val="24"/>
                <w:szCs w:val="24"/>
              </w:rPr>
            </w:pPr>
            <w:r w:rsidRPr="006D0E18">
              <w:t>Styring-, Regulering og Overvågningsstystemet (SRO-anlæg) foretages i system udviklet af […].</w:t>
            </w:r>
            <w:r w:rsidR="00BE0AE4" w:rsidRPr="006D0E18">
              <w:t xml:space="preserve"> Der henvises til brugervejledning, der findes i pdf-fil på [….]</w:t>
            </w:r>
          </w:p>
        </w:tc>
      </w:tr>
      <w:tr w:rsidR="000A79C2" w:rsidTr="001723D5">
        <w:tc>
          <w:tcPr>
            <w:tcW w:w="8894" w:type="dxa"/>
          </w:tcPr>
          <w:p w:rsidR="00D44A31" w:rsidRDefault="008D79E8" w:rsidP="00D44A31">
            <w:pPr>
              <w:spacing w:before="120"/>
            </w:pPr>
            <w:r w:rsidRPr="00B0661D">
              <w:rPr>
                <w:b/>
              </w:rPr>
              <w:t>Kontrol og vedligeholdelse:</w:t>
            </w:r>
            <w:r w:rsidR="00121A22">
              <w:rPr>
                <w:b/>
                <w:sz w:val="24"/>
                <w:szCs w:val="24"/>
              </w:rPr>
              <w:t xml:space="preserve"> </w:t>
            </w:r>
            <w:r w:rsidR="00121A22" w:rsidRPr="006D0E18">
              <w:t xml:space="preserve">Udstyr vedligeholdes og </w:t>
            </w:r>
            <w:r w:rsidR="006A2ED9" w:rsidRPr="006D0E18">
              <w:t>afprøves</w:t>
            </w:r>
            <w:r w:rsidR="00121A22" w:rsidRPr="006D0E18">
              <w:t xml:space="preserve"> efter leverandørens anvisninger og kun godkendte personer må udføre reparationer og vedligeholdelse. Eventuelle </w:t>
            </w:r>
            <w:r w:rsidR="00D44A31">
              <w:t>forsikringskrav skal overholdes [tekst afhænger af leverandørens anvisninger].</w:t>
            </w:r>
          </w:p>
          <w:p w:rsidR="00D44A31" w:rsidRDefault="00D44A31" w:rsidP="000A79C2">
            <w:pPr>
              <w:rPr>
                <w:b/>
              </w:rPr>
            </w:pPr>
          </w:p>
          <w:p w:rsidR="00D90B41" w:rsidRPr="006D0E18" w:rsidRDefault="00D90B41" w:rsidP="000A79C2">
            <w:r w:rsidRPr="00B0661D">
              <w:rPr>
                <w:b/>
              </w:rPr>
              <w:t>Adgangsko</w:t>
            </w:r>
            <w:r w:rsidR="00227F35" w:rsidRPr="00B0661D">
              <w:rPr>
                <w:b/>
              </w:rPr>
              <w:t>ntrol</w:t>
            </w:r>
            <w:r w:rsidRPr="00B0661D">
              <w:rPr>
                <w:b/>
              </w:rPr>
              <w:t>:</w:t>
            </w:r>
            <w:r>
              <w:rPr>
                <w:b/>
                <w:sz w:val="24"/>
                <w:szCs w:val="24"/>
              </w:rPr>
              <w:t xml:space="preserve"> </w:t>
            </w:r>
            <w:r w:rsidRPr="006D0E18">
              <w:t xml:space="preserve">Tildeling af adgangskoder skal ske ved en formaliseret </w:t>
            </w:r>
            <w:r w:rsidR="00227F35" w:rsidRPr="006D0E18">
              <w:t xml:space="preserve">og sikker </w:t>
            </w:r>
            <w:r w:rsidRPr="006D0E18">
              <w:t xml:space="preserve">proces. Processen skal </w:t>
            </w:r>
            <w:r w:rsidR="008D79E8" w:rsidRPr="006D0E18">
              <w:t xml:space="preserve">bl.a. </w:t>
            </w:r>
            <w:r w:rsidRPr="006D0E18">
              <w:t>omfatte følgende</w:t>
            </w:r>
            <w:r w:rsidR="00451FA0" w:rsidRPr="006D0E18">
              <w:t>: Personlige adgangskoder er fortrolige; gruppeadgangskoder</w:t>
            </w:r>
            <w:r w:rsidR="006E2A85">
              <w:t xml:space="preserve"> </w:t>
            </w:r>
            <w:r w:rsidR="00451FA0" w:rsidRPr="006D0E18">
              <w:t>må kun kendes af gruppens</w:t>
            </w:r>
            <w:r w:rsidR="00755799" w:rsidRPr="006D0E18">
              <w:t xml:space="preserve"> </w:t>
            </w:r>
            <w:r w:rsidR="00451FA0" w:rsidRPr="006D0E18">
              <w:t>medlemmer</w:t>
            </w:r>
            <w:r w:rsidR="006E2A85">
              <w:t xml:space="preserve">; </w:t>
            </w:r>
            <w:r w:rsidR="00227F35" w:rsidRPr="006D0E18">
              <w:t xml:space="preserve">midlertidige adgangskoder skal ske på en sikker måde (unikke, ikke kunne gættes etc.), standardkoder ændres efter installation af systemet og </w:t>
            </w:r>
            <w:r w:rsidR="00121A22" w:rsidRPr="006D0E18">
              <w:t>systemet skal sikre, at der kun benyttes koder med</w:t>
            </w:r>
            <w:r w:rsidR="00881985" w:rsidRPr="006D0E18">
              <w:t xml:space="preserve"> sikker og</w:t>
            </w:r>
            <w:r w:rsidR="00121A22" w:rsidRPr="006D0E18">
              <w:t xml:space="preserve"> fastlagt kvalitet</w:t>
            </w:r>
            <w:r w:rsidR="00227F35" w:rsidRPr="006D0E18">
              <w:t>.</w:t>
            </w:r>
            <w:r w:rsidR="006E2A85">
              <w:t xml:space="preserve"> </w:t>
            </w:r>
          </w:p>
          <w:p w:rsidR="00227F35" w:rsidRDefault="00227F35" w:rsidP="00227F35">
            <w:pPr>
              <w:rPr>
                <w:b/>
                <w:sz w:val="24"/>
                <w:szCs w:val="24"/>
              </w:rPr>
            </w:pPr>
          </w:p>
          <w:p w:rsidR="00AC30F9" w:rsidRPr="006D0E18" w:rsidRDefault="00227F35" w:rsidP="00227F35">
            <w:r w:rsidRPr="00B0661D">
              <w:rPr>
                <w:b/>
              </w:rPr>
              <w:t>Back-up og gendannelse:</w:t>
            </w:r>
            <w:r>
              <w:rPr>
                <w:sz w:val="24"/>
                <w:szCs w:val="24"/>
              </w:rPr>
              <w:t xml:space="preserve"> </w:t>
            </w:r>
            <w:r w:rsidRPr="006D0E18">
              <w:t xml:space="preserve">[Stillingsbetegnelse] tager backup af registrerede målinger </w:t>
            </w:r>
            <w:r w:rsidR="00AC30F9" w:rsidRPr="006D0E18">
              <w:t xml:space="preserve">og systemer </w:t>
            </w:r>
            <w:r w:rsidRPr="006D0E18">
              <w:t>på hverdage, såfremt systemerne har været i brug.</w:t>
            </w:r>
            <w:r w:rsidR="008D79E8" w:rsidRPr="006D0E18">
              <w:t xml:space="preserve"> </w:t>
            </w:r>
            <w:r w:rsidR="008C4DBE">
              <w:t>B</w:t>
            </w:r>
            <w:r w:rsidR="008D79E8" w:rsidRPr="006D0E18">
              <w:t>a</w:t>
            </w:r>
            <w:r w:rsidR="008C4DBE">
              <w:t>c</w:t>
            </w:r>
            <w:r w:rsidR="008D79E8" w:rsidRPr="006D0E18">
              <w:t>k-up skal opbevares eksternt (tages ud af huset</w:t>
            </w:r>
            <w:r w:rsidR="00AC30F9" w:rsidRPr="006D0E18">
              <w:t>/uploades til ekstern server via internettet</w:t>
            </w:r>
            <w:r w:rsidR="008D79E8" w:rsidRPr="006D0E18">
              <w:t>), således at seneste back-up altid kan forefindes.</w:t>
            </w:r>
          </w:p>
          <w:p w:rsidR="00AC30F9" w:rsidRPr="006D0E18" w:rsidRDefault="00AC30F9" w:rsidP="00227F35">
            <w:r w:rsidRPr="006D0E18">
              <w:lastRenderedPageBreak/>
              <w:t xml:space="preserve">Der laves desuden årlig backup af systemet på cd-rom som opbevares i brandsikker boks.    </w:t>
            </w:r>
          </w:p>
          <w:p w:rsidR="00AC30F9" w:rsidRPr="00D90B41" w:rsidRDefault="008D79E8" w:rsidP="00894F1A">
            <w:pPr>
              <w:rPr>
                <w:sz w:val="24"/>
                <w:szCs w:val="24"/>
              </w:rPr>
            </w:pPr>
            <w:r w:rsidRPr="006D0E18">
              <w:t>Back-up</w:t>
            </w:r>
            <w:r w:rsidR="0052614C" w:rsidRPr="006D0E18">
              <w:t xml:space="preserve"> sikre, at relevante data opbevares og kan genskabes i 10 år.</w:t>
            </w:r>
          </w:p>
        </w:tc>
      </w:tr>
    </w:tbl>
    <w:p w:rsidR="00AC24DF" w:rsidRDefault="00AC24DF"/>
    <w:tbl>
      <w:tblPr>
        <w:tblStyle w:val="Tabel-Gitter"/>
        <w:tblW w:w="0" w:type="auto"/>
        <w:tblLook w:val="04A0" w:firstRow="1" w:lastRow="0" w:firstColumn="1" w:lastColumn="0" w:noHBand="0" w:noVBand="1"/>
      </w:tblPr>
      <w:tblGrid>
        <w:gridCol w:w="9352"/>
      </w:tblGrid>
      <w:tr w:rsidR="00894F1A" w:rsidTr="00894F1A">
        <w:tc>
          <w:tcPr>
            <w:tcW w:w="9352" w:type="dxa"/>
            <w:shd w:val="clear" w:color="auto" w:fill="B8CCE4" w:themeFill="accent1" w:themeFillTint="66"/>
          </w:tcPr>
          <w:p w:rsidR="00894F1A" w:rsidRPr="00894F1A" w:rsidRDefault="00894F1A" w:rsidP="00894F1A">
            <w:pPr>
              <w:pStyle w:val="Overskrift1"/>
              <w:outlineLvl w:val="0"/>
            </w:pPr>
            <w:bookmarkStart w:id="9" w:name="_Toc459104410"/>
            <w:r w:rsidRPr="00894F1A">
              <w:rPr>
                <w:rStyle w:val="Overskrift2Tegn"/>
                <w:rFonts w:asciiTheme="minorHAnsi" w:eastAsiaTheme="majorEastAsia" w:hAnsiTheme="minorHAnsi" w:cstheme="majorBidi"/>
                <w:b/>
                <w:bCs/>
                <w:lang w:eastAsia="en-US"/>
              </w:rPr>
              <w:t>Sikring af regelmæssig intern gennemgang og validering af data</w:t>
            </w:r>
            <w:bookmarkEnd w:id="9"/>
          </w:p>
        </w:tc>
      </w:tr>
    </w:tbl>
    <w:p w:rsidR="00894F1A" w:rsidRDefault="00894F1A"/>
    <w:tbl>
      <w:tblPr>
        <w:tblStyle w:val="Tabel-Gitter"/>
        <w:tblW w:w="0" w:type="auto"/>
        <w:tblInd w:w="534" w:type="dxa"/>
        <w:tblLook w:val="04A0" w:firstRow="1" w:lastRow="0" w:firstColumn="1" w:lastColumn="0" w:noHBand="0" w:noVBand="1"/>
      </w:tblPr>
      <w:tblGrid>
        <w:gridCol w:w="1527"/>
        <w:gridCol w:w="7367"/>
      </w:tblGrid>
      <w:tr w:rsidR="007A3C40" w:rsidTr="007A3C40">
        <w:tc>
          <w:tcPr>
            <w:tcW w:w="1527" w:type="dxa"/>
          </w:tcPr>
          <w:p w:rsidR="00894F1A" w:rsidRDefault="00894F1A" w:rsidP="007A3C40">
            <w:pPr>
              <w:pStyle w:val="Listeafsnit"/>
              <w:autoSpaceDE w:val="0"/>
              <w:autoSpaceDN w:val="0"/>
              <w:adjustRightInd w:val="0"/>
              <w:ind w:left="0"/>
              <w:rPr>
                <w:rFonts w:ascii="Trebuchet MS" w:hAnsi="Trebuchet MS" w:cs="Trebuchet MS"/>
                <w:i/>
                <w:iCs/>
                <w:color w:val="0000FF"/>
                <w:sz w:val="18"/>
                <w:szCs w:val="18"/>
              </w:rPr>
            </w:pPr>
          </w:p>
          <w:p w:rsidR="007A3C40" w:rsidRPr="002F2940" w:rsidRDefault="007A3C40" w:rsidP="007A3C40">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Regler</w:t>
            </w:r>
          </w:p>
        </w:tc>
        <w:tc>
          <w:tcPr>
            <w:tcW w:w="7367" w:type="dxa"/>
          </w:tcPr>
          <w:p w:rsidR="007A3C40" w:rsidRPr="002F2940" w:rsidRDefault="007A3C40" w:rsidP="007A3C40">
            <w:pPr>
              <w:pStyle w:val="Listeafsnit"/>
              <w:autoSpaceDE w:val="0"/>
              <w:autoSpaceDN w:val="0"/>
              <w:adjustRightInd w:val="0"/>
              <w:ind w:left="0"/>
              <w:rPr>
                <w:rFonts w:ascii="Trebuchet MS" w:hAnsi="Trebuchet MS" w:cs="Trebuchet MS"/>
                <w:i/>
                <w:iCs/>
                <w:color w:val="0000FF"/>
                <w:sz w:val="18"/>
                <w:szCs w:val="18"/>
              </w:rPr>
            </w:pPr>
            <w:r>
              <w:rPr>
                <w:rFonts w:ascii="Trebuchet MS" w:hAnsi="Trebuchet MS" w:cs="Trebuchet MS"/>
                <w:i/>
                <w:iCs/>
                <w:color w:val="0000FF"/>
                <w:sz w:val="18"/>
                <w:szCs w:val="18"/>
              </w:rPr>
              <w:t xml:space="preserve">Artikel </w:t>
            </w:r>
            <w:r w:rsidRPr="0000741B">
              <w:rPr>
                <w:rFonts w:ascii="Trebuchet MS" w:hAnsi="Trebuchet MS" w:cs="Trebuchet MS"/>
                <w:i/>
                <w:iCs/>
                <w:color w:val="0000FF"/>
                <w:sz w:val="18"/>
                <w:szCs w:val="18"/>
              </w:rPr>
              <w:t>58</w:t>
            </w:r>
            <w:r>
              <w:rPr>
                <w:rFonts w:ascii="Trebuchet MS" w:hAnsi="Trebuchet MS" w:cs="Trebuchet MS"/>
                <w:i/>
                <w:iCs/>
                <w:color w:val="0000FF"/>
                <w:sz w:val="18"/>
                <w:szCs w:val="18"/>
              </w:rPr>
              <w:t>, stk. 3, litra c) og d)</w:t>
            </w:r>
            <w:r w:rsidRPr="0000741B">
              <w:rPr>
                <w:rFonts w:ascii="Trebuchet MS" w:hAnsi="Trebuchet MS" w:cs="Trebuchet MS"/>
                <w:i/>
                <w:iCs/>
                <w:color w:val="0000FF"/>
                <w:sz w:val="18"/>
                <w:szCs w:val="18"/>
              </w:rPr>
              <w:t xml:space="preserve"> og </w:t>
            </w:r>
            <w:r w:rsidR="00BB456C">
              <w:rPr>
                <w:rFonts w:ascii="Trebuchet MS" w:hAnsi="Trebuchet MS" w:cs="Trebuchet MS"/>
                <w:i/>
                <w:iCs/>
                <w:color w:val="0000FF"/>
                <w:sz w:val="18"/>
                <w:szCs w:val="18"/>
              </w:rPr>
              <w:t xml:space="preserve">artikel </w:t>
            </w:r>
            <w:r>
              <w:rPr>
                <w:rFonts w:ascii="Trebuchet MS" w:hAnsi="Trebuchet MS" w:cs="Trebuchet MS"/>
                <w:i/>
                <w:iCs/>
                <w:color w:val="0000FF"/>
                <w:sz w:val="18"/>
                <w:szCs w:val="18"/>
              </w:rPr>
              <w:t xml:space="preserve">61-62 i </w:t>
            </w:r>
            <w:r w:rsidRPr="0000741B">
              <w:rPr>
                <w:rFonts w:ascii="Trebuchet MS" w:hAnsi="Trebuchet MS" w:cs="Trebuchet MS"/>
                <w:i/>
                <w:iCs/>
                <w:color w:val="0000FF"/>
                <w:sz w:val="18"/>
                <w:szCs w:val="18"/>
              </w:rPr>
              <w:t>Kommissionens forordning 601/2012</w:t>
            </w:r>
            <w:r>
              <w:rPr>
                <w:rFonts w:ascii="Trebuchet MS" w:hAnsi="Trebuchet MS" w:cs="Trebuchet MS"/>
                <w:i/>
                <w:iCs/>
                <w:color w:val="0000FF"/>
                <w:sz w:val="18"/>
                <w:szCs w:val="18"/>
              </w:rPr>
              <w:t>.</w:t>
            </w:r>
          </w:p>
        </w:tc>
      </w:tr>
      <w:tr w:rsidR="007A3C40" w:rsidTr="007A3C40">
        <w:tc>
          <w:tcPr>
            <w:tcW w:w="1527" w:type="dxa"/>
          </w:tcPr>
          <w:p w:rsidR="007A3C40" w:rsidRPr="002F2940" w:rsidRDefault="007A3C40" w:rsidP="007A3C40">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Indhold i procedure</w:t>
            </w:r>
          </w:p>
        </w:tc>
        <w:tc>
          <w:tcPr>
            <w:tcW w:w="7367" w:type="dxa"/>
          </w:tcPr>
          <w:p w:rsidR="00BB456C" w:rsidRPr="00BB456C" w:rsidRDefault="007A3C40" w:rsidP="00BB456C">
            <w:pPr>
              <w:rPr>
                <w:rFonts w:ascii="Arial" w:eastAsia="Times New Roman" w:hAnsi="Arial" w:cs="Arial"/>
                <w:i/>
                <w:iCs/>
                <w:color w:val="0000FF"/>
                <w:sz w:val="18"/>
                <w:szCs w:val="18"/>
                <w:lang w:eastAsia="da-DK"/>
              </w:rPr>
            </w:pPr>
            <w:r w:rsidRPr="00BB456C">
              <w:rPr>
                <w:rFonts w:ascii="Trebuchet MS" w:hAnsi="Trebuchet MS" w:cs="Trebuchet MS"/>
                <w:i/>
                <w:iCs/>
                <w:color w:val="0000FF"/>
                <w:sz w:val="18"/>
                <w:szCs w:val="18"/>
              </w:rPr>
              <w:t>I proceduren</w:t>
            </w:r>
            <w:r w:rsidR="00BB456C" w:rsidRPr="00BB456C">
              <w:rPr>
                <w:rFonts w:ascii="Trebuchet MS" w:hAnsi="Trebuchet MS" w:cs="Trebuchet MS"/>
                <w:i/>
                <w:iCs/>
                <w:color w:val="0000FF"/>
                <w:sz w:val="18"/>
                <w:szCs w:val="18"/>
              </w:rPr>
              <w:t xml:space="preserve"> </w:t>
            </w:r>
            <w:r w:rsidR="00BB456C" w:rsidRPr="00BB456C">
              <w:rPr>
                <w:rFonts w:ascii="Arial" w:eastAsia="Times New Roman" w:hAnsi="Arial" w:cs="Arial"/>
                <w:i/>
                <w:iCs/>
                <w:color w:val="0000FF"/>
                <w:sz w:val="18"/>
                <w:szCs w:val="18"/>
                <w:lang w:eastAsia="da-DK"/>
              </w:rPr>
              <w:t>skal angives, at processen med gennemgang og validering omfatter en kontrol af, om dataene er fuldstændige, sammenligninger med data med tidligere år, sammenligning af brændselsforbrug rapporteret med indkøbsfortegnelser og faktor opnået for brændselsleverandører med internationale referencefaktorer, i de tilfælde hvor det er relevant, og kriterier for afvisning af data.</w:t>
            </w:r>
          </w:p>
          <w:p w:rsidR="007A3C40" w:rsidRPr="002F2940" w:rsidRDefault="007A3C40" w:rsidP="007A3C40">
            <w:pPr>
              <w:rPr>
                <w:rFonts w:ascii="Trebuchet MS" w:hAnsi="Trebuchet MS" w:cs="Trebuchet MS"/>
                <w:i/>
                <w:iCs/>
                <w:color w:val="0000FF"/>
                <w:sz w:val="18"/>
                <w:szCs w:val="18"/>
              </w:rPr>
            </w:pPr>
            <w:r w:rsidRPr="00871FBD">
              <w:rPr>
                <w:rFonts w:ascii="Trebuchet MS" w:hAnsi="Trebuchet MS"/>
                <w:b/>
                <w:color w:val="0000FF"/>
                <w:sz w:val="24"/>
                <w:szCs w:val="24"/>
              </w:rPr>
              <w:t xml:space="preserve"> </w:t>
            </w:r>
          </w:p>
        </w:tc>
      </w:tr>
    </w:tbl>
    <w:p w:rsidR="007A3C40" w:rsidRDefault="007A3C40" w:rsidP="007A3C40">
      <w:pPr>
        <w:pStyle w:val="Listeafsnit"/>
        <w:spacing w:after="0" w:line="240" w:lineRule="auto"/>
        <w:ind w:left="360"/>
        <w:rPr>
          <w:rFonts w:ascii="Trebuchet MS" w:eastAsia="Times New Roman" w:hAnsi="Trebuchet MS" w:cs="Arial"/>
          <w:i/>
          <w:iCs/>
          <w:color w:val="0000FF"/>
          <w:sz w:val="18"/>
          <w:szCs w:val="18"/>
          <w:lang w:eastAsia="da-DK"/>
        </w:rPr>
      </w:pPr>
    </w:p>
    <w:p w:rsidR="007A3C40" w:rsidRDefault="007A3C40" w:rsidP="006E2A85">
      <w:pPr>
        <w:spacing w:after="0" w:line="240" w:lineRule="auto"/>
        <w:ind w:left="360"/>
        <w:rPr>
          <w:rFonts w:ascii="Arial" w:eastAsia="Times New Roman" w:hAnsi="Arial" w:cs="Arial"/>
          <w:i/>
          <w:iCs/>
          <w:color w:val="333399"/>
          <w:sz w:val="18"/>
          <w:szCs w:val="18"/>
          <w:lang w:eastAsia="da-DK"/>
        </w:rPr>
      </w:pPr>
    </w:p>
    <w:p w:rsidR="007A3C40" w:rsidRDefault="007A3C40" w:rsidP="006E2A85">
      <w:pPr>
        <w:spacing w:after="0" w:line="240" w:lineRule="auto"/>
        <w:ind w:left="360"/>
        <w:rPr>
          <w:rFonts w:ascii="Arial" w:eastAsia="Times New Roman" w:hAnsi="Arial" w:cs="Arial"/>
          <w:i/>
          <w:iCs/>
          <w:color w:val="333399"/>
          <w:sz w:val="18"/>
          <w:szCs w:val="18"/>
          <w:lang w:eastAsia="da-DK"/>
        </w:rPr>
      </w:pPr>
    </w:p>
    <w:tbl>
      <w:tblPr>
        <w:tblStyle w:val="Tabel-Gitter"/>
        <w:tblW w:w="0" w:type="auto"/>
        <w:tblInd w:w="534" w:type="dxa"/>
        <w:tblLook w:val="04A0" w:firstRow="1" w:lastRow="0" w:firstColumn="1" w:lastColumn="0" w:noHBand="0" w:noVBand="1"/>
      </w:tblPr>
      <w:tblGrid>
        <w:gridCol w:w="8894"/>
      </w:tblGrid>
      <w:tr w:rsidR="00C363EB" w:rsidTr="00BB456C">
        <w:tc>
          <w:tcPr>
            <w:tcW w:w="8894" w:type="dxa"/>
          </w:tcPr>
          <w:p w:rsidR="00C56091" w:rsidRDefault="00276B24" w:rsidP="00C363EB">
            <w:r w:rsidRPr="008C4DBE">
              <w:t>[Stillingsbetegnelse]</w:t>
            </w:r>
            <w:r w:rsidR="00400705" w:rsidRPr="008C4DBE">
              <w:t>, som ikke er involveret i den daglige CO</w:t>
            </w:r>
            <w:r w:rsidR="00400705" w:rsidRPr="006E6E28">
              <w:rPr>
                <w:vertAlign w:val="subscript"/>
              </w:rPr>
              <w:t>2</w:t>
            </w:r>
            <w:r w:rsidR="00400705" w:rsidRPr="008C4DBE">
              <w:t>-overvågning,</w:t>
            </w:r>
            <w:r w:rsidRPr="008C4DBE">
              <w:t xml:space="preserve"> udfører en gang</w:t>
            </w:r>
            <w:r w:rsidR="00BB456C">
              <w:t xml:space="preserve"> </w:t>
            </w:r>
            <w:r w:rsidRPr="008C4DBE">
              <w:t>årlig</w:t>
            </w:r>
            <w:r w:rsidR="007D3989">
              <w:t xml:space="preserve"> </w:t>
            </w:r>
            <w:r w:rsidR="00BB456C">
              <w:t>k</w:t>
            </w:r>
            <w:r w:rsidR="001C5E8C" w:rsidRPr="008C4DBE">
              <w:t>ontrol af, at overvågningsplanen og de interne procedurer for CO</w:t>
            </w:r>
            <w:r w:rsidR="001C5E8C" w:rsidRPr="006E6E28">
              <w:rPr>
                <w:vertAlign w:val="subscript"/>
              </w:rPr>
              <w:t>2</w:t>
            </w:r>
            <w:r w:rsidR="001C5E8C" w:rsidRPr="008C4DBE">
              <w:t xml:space="preserve">-overvågning overholdes. </w:t>
            </w:r>
          </w:p>
          <w:p w:rsidR="003440DC" w:rsidRDefault="003440DC" w:rsidP="00C363EB">
            <w:pPr>
              <w:rPr>
                <w:sz w:val="24"/>
                <w:szCs w:val="24"/>
              </w:rPr>
            </w:pPr>
          </w:p>
          <w:p w:rsidR="00C56091" w:rsidRPr="00BB456C" w:rsidRDefault="00C56091" w:rsidP="00C363EB">
            <w:r w:rsidRPr="00BB456C">
              <w:t>Kontrollen skal indeholde følgende:</w:t>
            </w:r>
          </w:p>
          <w:p w:rsidR="00C56091" w:rsidRPr="008C4DBE" w:rsidRDefault="00C56091" w:rsidP="009F03B4">
            <w:pPr>
              <w:pStyle w:val="Listeafsnit"/>
              <w:numPr>
                <w:ilvl w:val="0"/>
                <w:numId w:val="2"/>
              </w:numPr>
              <w:ind w:left="360"/>
            </w:pPr>
            <w:r w:rsidRPr="008C4DBE">
              <w:t>Kontrol af, at data er fuldstændig</w:t>
            </w:r>
            <w:r w:rsidR="00840061">
              <w:t>e</w:t>
            </w:r>
            <w:r w:rsidRPr="008C4DBE">
              <w:t xml:space="preserve"> (fx er der dokumentation for alle køb</w:t>
            </w:r>
            <w:r w:rsidR="00A4694E">
              <w:t>, følges procedu</w:t>
            </w:r>
            <w:r w:rsidR="00752EE4">
              <w:t>r</w:t>
            </w:r>
            <w:r w:rsidR="00A4694E">
              <w:t>er</w:t>
            </w:r>
            <w:r w:rsidRPr="008C4DBE">
              <w:t>)</w:t>
            </w:r>
          </w:p>
          <w:p w:rsidR="00C56091" w:rsidRPr="008C4DBE" w:rsidRDefault="00C56091" w:rsidP="009F03B4">
            <w:pPr>
              <w:pStyle w:val="Listeafsnit"/>
              <w:numPr>
                <w:ilvl w:val="0"/>
                <w:numId w:val="2"/>
              </w:numPr>
              <w:ind w:left="360"/>
            </w:pPr>
            <w:r w:rsidRPr="008C4DBE">
              <w:t>Sammenligning af kalenderårets rapporterede tal med tallene fra tidligere år og vurdering af årsag til evt. væsentlig forskel</w:t>
            </w:r>
          </w:p>
          <w:p w:rsidR="00C56091" w:rsidRPr="008C4DBE" w:rsidRDefault="00650BF0" w:rsidP="009F03B4">
            <w:pPr>
              <w:pStyle w:val="Listeafsnit"/>
              <w:numPr>
                <w:ilvl w:val="0"/>
                <w:numId w:val="2"/>
              </w:numPr>
              <w:ind w:left="360"/>
            </w:pPr>
            <w:r w:rsidRPr="008C4DBE">
              <w:t>Sammenligning af data/værdier fra evt. forskellige systemer, herunder</w:t>
            </w:r>
            <w:r w:rsidR="00717149" w:rsidRPr="008C4DBE">
              <w:t>:</w:t>
            </w:r>
          </w:p>
          <w:p w:rsidR="00650BF0" w:rsidRPr="008C4DBE" w:rsidRDefault="00650BF0" w:rsidP="009F03B4">
            <w:pPr>
              <w:numPr>
                <w:ilvl w:val="1"/>
                <w:numId w:val="1"/>
              </w:numPr>
              <w:ind w:left="1080"/>
            </w:pPr>
            <w:r w:rsidRPr="008C4DBE">
              <w:t>vurdering af energitjenesten (udtrykt ved f. eks. den producerede energimængde) i forhold til brændselsforbruget, udtrykt ved brændselsindkøb og ændringer af lagerbeholdninger</w:t>
            </w:r>
            <w:r w:rsidR="007D3989">
              <w:t>.</w:t>
            </w:r>
            <w:r w:rsidR="00BB456C">
              <w:t xml:space="preserve"> [Kriterier for afvisning]</w:t>
            </w:r>
          </w:p>
          <w:p w:rsidR="00276B24" w:rsidRPr="00BB456C" w:rsidRDefault="00717149" w:rsidP="009F03B4">
            <w:pPr>
              <w:pStyle w:val="Listeafsnit"/>
              <w:numPr>
                <w:ilvl w:val="1"/>
                <w:numId w:val="1"/>
              </w:numPr>
              <w:ind w:left="1080"/>
              <w:rPr>
                <w:b/>
              </w:rPr>
            </w:pPr>
            <w:r w:rsidRPr="008C4DBE">
              <w:t>Sammenligning af aggregerede data og rådata</w:t>
            </w:r>
            <w:r w:rsidR="007D3989">
              <w:t>.</w:t>
            </w:r>
            <w:r w:rsidR="00BB456C">
              <w:t xml:space="preserve"> [kriterier for afvisning]</w:t>
            </w:r>
          </w:p>
          <w:p w:rsidR="00BB456C" w:rsidRDefault="00BB456C" w:rsidP="00BB456C">
            <w:pPr>
              <w:rPr>
                <w:b/>
              </w:rPr>
            </w:pPr>
          </w:p>
          <w:p w:rsidR="00BB456C" w:rsidRDefault="006E6E28" w:rsidP="00BB456C">
            <w:pPr>
              <w:rPr>
                <w:b/>
                <w:sz w:val="24"/>
                <w:szCs w:val="24"/>
              </w:rPr>
            </w:pPr>
            <w:r>
              <w:t xml:space="preserve">Den interne kontrol/revision </w:t>
            </w:r>
            <w:r w:rsidR="00BB456C">
              <w:t xml:space="preserve">dokumenteres </w:t>
            </w:r>
            <w:r>
              <w:t xml:space="preserve">skriftligt </w:t>
            </w:r>
            <w:r w:rsidR="00BB456C">
              <w:t xml:space="preserve">i kontrol skema (Se bilag </w:t>
            </w:r>
            <w:r>
              <w:t>G</w:t>
            </w:r>
            <w:r w:rsidR="00BB456C">
              <w:t>)</w:t>
            </w:r>
          </w:p>
          <w:p w:rsidR="00BB456C" w:rsidRPr="00BB456C" w:rsidRDefault="00BB456C" w:rsidP="00BB456C">
            <w:pPr>
              <w:rPr>
                <w:b/>
                <w:sz w:val="24"/>
                <w:szCs w:val="24"/>
              </w:rPr>
            </w:pPr>
          </w:p>
        </w:tc>
      </w:tr>
    </w:tbl>
    <w:p w:rsidR="00BB456C" w:rsidRDefault="00BB456C">
      <w:pPr>
        <w:rPr>
          <w:b/>
          <w:bCs/>
        </w:rPr>
      </w:pPr>
    </w:p>
    <w:tbl>
      <w:tblPr>
        <w:tblW w:w="9781" w:type="dxa"/>
        <w:tblInd w:w="212" w:type="dxa"/>
        <w:tblCellMar>
          <w:left w:w="70" w:type="dxa"/>
          <w:right w:w="70" w:type="dxa"/>
        </w:tblCellMar>
        <w:tblLook w:val="04A0" w:firstRow="1" w:lastRow="0" w:firstColumn="1" w:lastColumn="0" w:noHBand="0" w:noVBand="1"/>
      </w:tblPr>
      <w:tblGrid>
        <w:gridCol w:w="9781"/>
      </w:tblGrid>
      <w:tr w:rsidR="00894F1A" w:rsidRPr="00F73269" w:rsidTr="00F6659B">
        <w:trPr>
          <w:trHeight w:val="430"/>
        </w:trPr>
        <w:tc>
          <w:tcPr>
            <w:tcW w:w="9781" w:type="dxa"/>
            <w:tcBorders>
              <w:top w:val="nil"/>
              <w:left w:val="nil"/>
              <w:bottom w:val="nil"/>
              <w:right w:val="nil"/>
            </w:tcBorders>
            <w:shd w:val="clear" w:color="000000" w:fill="FFFFFF"/>
            <w:hideMark/>
          </w:tcPr>
          <w:p w:rsidR="00894F1A" w:rsidRPr="00894F1A" w:rsidRDefault="00894F1A" w:rsidP="00894F1A">
            <w:pPr>
              <w:pStyle w:val="Overskrift1"/>
              <w:numPr>
                <w:ilvl w:val="0"/>
                <w:numId w:val="0"/>
              </w:numPr>
              <w:ind w:left="720"/>
            </w:pPr>
          </w:p>
        </w:tc>
      </w:tr>
      <w:tr w:rsidR="00F73269" w:rsidRPr="00F73269" w:rsidTr="00F6659B">
        <w:trPr>
          <w:trHeight w:val="430"/>
        </w:trPr>
        <w:tc>
          <w:tcPr>
            <w:tcW w:w="9781" w:type="dxa"/>
            <w:tcBorders>
              <w:top w:val="nil"/>
              <w:left w:val="nil"/>
              <w:bottom w:val="nil"/>
              <w:right w:val="nil"/>
            </w:tcBorders>
            <w:shd w:val="clear" w:color="000000" w:fill="FFFFFF"/>
            <w:hideMark/>
          </w:tcPr>
          <w:tbl>
            <w:tblPr>
              <w:tblStyle w:val="Tabel-Gitter"/>
              <w:tblW w:w="0" w:type="auto"/>
              <w:shd w:val="clear" w:color="auto" w:fill="B8CCE4" w:themeFill="accent1" w:themeFillTint="66"/>
              <w:tblLook w:val="04A0" w:firstRow="1" w:lastRow="0" w:firstColumn="1" w:lastColumn="0" w:noHBand="0" w:noVBand="1"/>
            </w:tblPr>
            <w:tblGrid>
              <w:gridCol w:w="9626"/>
            </w:tblGrid>
            <w:tr w:rsidR="00894F1A" w:rsidTr="00894F1A">
              <w:tc>
                <w:tcPr>
                  <w:tcW w:w="9626" w:type="dxa"/>
                  <w:shd w:val="clear" w:color="auto" w:fill="B8CCE4" w:themeFill="accent1" w:themeFillTint="66"/>
                </w:tcPr>
                <w:p w:rsidR="00894F1A" w:rsidRDefault="00402ED9" w:rsidP="00894F1A">
                  <w:pPr>
                    <w:pStyle w:val="Overskrift1"/>
                    <w:outlineLvl w:val="0"/>
                  </w:pPr>
                  <w:r>
                    <w:rPr>
                      <w:rFonts w:eastAsiaTheme="minorHAnsi" w:cstheme="minorBidi"/>
                      <w:b w:val="0"/>
                      <w:bCs w:val="0"/>
                      <w:sz w:val="22"/>
                      <w:szCs w:val="22"/>
                    </w:rPr>
                    <w:br w:type="page"/>
                  </w:r>
                  <w:bookmarkStart w:id="10" w:name="_Toc459104411"/>
                  <w:r w:rsidR="00894F1A" w:rsidRPr="00894F1A">
                    <w:t>Håndtering af rettelser og korrigerende handlinger</w:t>
                  </w:r>
                  <w:bookmarkEnd w:id="10"/>
                </w:p>
              </w:tc>
            </w:tr>
          </w:tbl>
          <w:p w:rsidR="00894F1A" w:rsidRDefault="00894F1A" w:rsidP="00894F1A">
            <w:pPr>
              <w:pStyle w:val="Overskrift1"/>
              <w:numPr>
                <w:ilvl w:val="0"/>
                <w:numId w:val="0"/>
              </w:numPr>
            </w:pPr>
          </w:p>
          <w:tbl>
            <w:tblPr>
              <w:tblStyle w:val="Tabel-Gitter"/>
              <w:tblW w:w="0" w:type="auto"/>
              <w:tblInd w:w="209" w:type="dxa"/>
              <w:tblLook w:val="04A0" w:firstRow="1" w:lastRow="0" w:firstColumn="1" w:lastColumn="0" w:noHBand="0" w:noVBand="1"/>
            </w:tblPr>
            <w:tblGrid>
              <w:gridCol w:w="1852"/>
              <w:gridCol w:w="7367"/>
            </w:tblGrid>
            <w:tr w:rsidR="007A3C40" w:rsidTr="00BB456C">
              <w:tc>
                <w:tcPr>
                  <w:tcW w:w="1852" w:type="dxa"/>
                </w:tcPr>
                <w:p w:rsidR="007A3C40" w:rsidRPr="002F2940" w:rsidRDefault="007A3C40" w:rsidP="007A3C40">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Regler</w:t>
                  </w:r>
                </w:p>
              </w:tc>
              <w:tc>
                <w:tcPr>
                  <w:tcW w:w="7367" w:type="dxa"/>
                </w:tcPr>
                <w:p w:rsidR="007A3C40" w:rsidRPr="002F2940" w:rsidRDefault="007A3C40" w:rsidP="00BB456C">
                  <w:pPr>
                    <w:pStyle w:val="Listeafsnit"/>
                    <w:autoSpaceDE w:val="0"/>
                    <w:autoSpaceDN w:val="0"/>
                    <w:adjustRightInd w:val="0"/>
                    <w:ind w:left="0"/>
                    <w:rPr>
                      <w:rFonts w:ascii="Trebuchet MS" w:hAnsi="Trebuchet MS" w:cs="Trebuchet MS"/>
                      <w:i/>
                      <w:iCs/>
                      <w:color w:val="0000FF"/>
                      <w:sz w:val="18"/>
                      <w:szCs w:val="18"/>
                    </w:rPr>
                  </w:pPr>
                  <w:r>
                    <w:rPr>
                      <w:rFonts w:ascii="Trebuchet MS" w:hAnsi="Trebuchet MS" w:cs="Trebuchet MS"/>
                      <w:i/>
                      <w:iCs/>
                      <w:color w:val="0000FF"/>
                      <w:sz w:val="18"/>
                      <w:szCs w:val="18"/>
                    </w:rPr>
                    <w:t xml:space="preserve">Artikel </w:t>
                  </w:r>
                  <w:r w:rsidRPr="0000741B">
                    <w:rPr>
                      <w:rFonts w:ascii="Trebuchet MS" w:hAnsi="Trebuchet MS" w:cs="Trebuchet MS"/>
                      <w:i/>
                      <w:iCs/>
                      <w:color w:val="0000FF"/>
                      <w:sz w:val="18"/>
                      <w:szCs w:val="18"/>
                    </w:rPr>
                    <w:t xml:space="preserve">58 og </w:t>
                  </w:r>
                  <w:r>
                    <w:rPr>
                      <w:rFonts w:ascii="Trebuchet MS" w:hAnsi="Trebuchet MS" w:cs="Trebuchet MS"/>
                      <w:i/>
                      <w:iCs/>
                      <w:color w:val="0000FF"/>
                      <w:sz w:val="18"/>
                      <w:szCs w:val="18"/>
                    </w:rPr>
                    <w:t>6</w:t>
                  </w:r>
                  <w:r w:rsidR="00BB456C">
                    <w:rPr>
                      <w:rFonts w:ascii="Trebuchet MS" w:hAnsi="Trebuchet MS" w:cs="Trebuchet MS"/>
                      <w:i/>
                      <w:iCs/>
                      <w:color w:val="0000FF"/>
                      <w:sz w:val="18"/>
                      <w:szCs w:val="18"/>
                    </w:rPr>
                    <w:t>3</w:t>
                  </w:r>
                  <w:r>
                    <w:rPr>
                      <w:rFonts w:ascii="Trebuchet MS" w:hAnsi="Trebuchet MS" w:cs="Trebuchet MS"/>
                      <w:i/>
                      <w:iCs/>
                      <w:color w:val="0000FF"/>
                      <w:sz w:val="18"/>
                      <w:szCs w:val="18"/>
                    </w:rPr>
                    <w:t xml:space="preserve"> i </w:t>
                  </w:r>
                  <w:r w:rsidRPr="0000741B">
                    <w:rPr>
                      <w:rFonts w:ascii="Trebuchet MS" w:hAnsi="Trebuchet MS" w:cs="Trebuchet MS"/>
                      <w:i/>
                      <w:iCs/>
                      <w:color w:val="0000FF"/>
                      <w:sz w:val="18"/>
                      <w:szCs w:val="18"/>
                    </w:rPr>
                    <w:t>Kommissionens forordning 601/2012</w:t>
                  </w:r>
                  <w:r>
                    <w:rPr>
                      <w:rFonts w:ascii="Trebuchet MS" w:hAnsi="Trebuchet MS" w:cs="Trebuchet MS"/>
                      <w:i/>
                      <w:iCs/>
                      <w:color w:val="0000FF"/>
                      <w:sz w:val="18"/>
                      <w:szCs w:val="18"/>
                    </w:rPr>
                    <w:t>.</w:t>
                  </w:r>
                </w:p>
              </w:tc>
            </w:tr>
            <w:tr w:rsidR="007A3C40" w:rsidTr="00BB456C">
              <w:tc>
                <w:tcPr>
                  <w:tcW w:w="1852" w:type="dxa"/>
                </w:tcPr>
                <w:p w:rsidR="007A3C40" w:rsidRPr="002F2940" w:rsidRDefault="007A3C40" w:rsidP="007A3C40">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Indhold i procedure</w:t>
                  </w:r>
                </w:p>
              </w:tc>
              <w:tc>
                <w:tcPr>
                  <w:tcW w:w="7367" w:type="dxa"/>
                </w:tcPr>
                <w:p w:rsidR="00BB456C" w:rsidRDefault="007A3C40" w:rsidP="00EA0FB6">
                  <w:pPr>
                    <w:rPr>
                      <w:rFonts w:ascii="Arial" w:eastAsia="Times New Roman" w:hAnsi="Arial" w:cs="Arial"/>
                      <w:i/>
                      <w:iCs/>
                      <w:color w:val="333399"/>
                      <w:sz w:val="18"/>
                      <w:szCs w:val="18"/>
                      <w:lang w:eastAsia="da-DK"/>
                    </w:rPr>
                  </w:pPr>
                  <w:r w:rsidRPr="006256A0">
                    <w:rPr>
                      <w:rFonts w:ascii="Trebuchet MS" w:hAnsi="Trebuchet MS" w:cs="Trebuchet MS"/>
                      <w:i/>
                      <w:iCs/>
                      <w:color w:val="0000FF"/>
                      <w:sz w:val="18"/>
                      <w:szCs w:val="18"/>
                    </w:rPr>
                    <w:t xml:space="preserve">I proceduren beskrives, </w:t>
                  </w:r>
                  <w:r w:rsidR="00BB456C" w:rsidRPr="006256A0">
                    <w:rPr>
                      <w:rFonts w:ascii="Arial" w:eastAsia="Times New Roman" w:hAnsi="Arial" w:cs="Arial"/>
                      <w:i/>
                      <w:iCs/>
                      <w:color w:val="0000FF"/>
                      <w:sz w:val="18"/>
                      <w:szCs w:val="18"/>
                      <w:lang w:eastAsia="da-DK"/>
                    </w:rPr>
                    <w:t>hvilke relevante foranstaltninger, der skal tages, hvis</w:t>
                  </w:r>
                  <w:r w:rsidR="00EA0FB6">
                    <w:rPr>
                      <w:rFonts w:ascii="Arial" w:eastAsia="Times New Roman" w:hAnsi="Arial" w:cs="Arial"/>
                      <w:i/>
                      <w:iCs/>
                      <w:color w:val="0000FF"/>
                      <w:sz w:val="18"/>
                      <w:szCs w:val="18"/>
                      <w:lang w:eastAsia="da-DK"/>
                    </w:rPr>
                    <w:t xml:space="preserve"> </w:t>
                  </w:r>
                  <w:r w:rsidR="00BB456C" w:rsidRPr="006256A0">
                    <w:rPr>
                      <w:rFonts w:ascii="Arial" w:eastAsia="Times New Roman" w:hAnsi="Arial" w:cs="Arial"/>
                      <w:i/>
                      <w:iCs/>
                      <w:color w:val="0000FF"/>
                      <w:sz w:val="18"/>
                      <w:szCs w:val="18"/>
                      <w:lang w:eastAsia="da-DK"/>
                    </w:rPr>
                    <w:t>datastrømsaktiviteter og kontrolaktiviteter ikke fungerer effektivt. I proceduren skal det være fastlagt, hvordan resultaternes gyldighed vurderes, samt oplysninger om processen til bestemmelse af, hvad fejlen skyldes og hvordan den korrigeres</w:t>
                  </w:r>
                  <w:r w:rsidR="006256A0">
                    <w:rPr>
                      <w:rFonts w:ascii="Arial" w:eastAsia="Times New Roman" w:hAnsi="Arial" w:cs="Arial"/>
                      <w:i/>
                      <w:iCs/>
                      <w:color w:val="0000FF"/>
                      <w:sz w:val="18"/>
                      <w:szCs w:val="18"/>
                      <w:lang w:eastAsia="da-DK"/>
                    </w:rPr>
                    <w:t>.</w:t>
                  </w:r>
                </w:p>
                <w:p w:rsidR="00BB456C" w:rsidRDefault="00BB456C" w:rsidP="00BB456C">
                  <w:pPr>
                    <w:pStyle w:val="Listeafsnit"/>
                    <w:autoSpaceDE w:val="0"/>
                    <w:autoSpaceDN w:val="0"/>
                    <w:adjustRightInd w:val="0"/>
                    <w:ind w:left="0"/>
                    <w:rPr>
                      <w:rFonts w:ascii="Arial" w:eastAsia="Times New Roman" w:hAnsi="Arial" w:cs="Arial"/>
                      <w:i/>
                      <w:iCs/>
                      <w:color w:val="333399"/>
                      <w:sz w:val="18"/>
                      <w:szCs w:val="18"/>
                      <w:lang w:eastAsia="da-DK"/>
                    </w:rPr>
                  </w:pPr>
                </w:p>
                <w:p w:rsidR="007A3C40" w:rsidRPr="002F2940" w:rsidRDefault="007A3C40" w:rsidP="007A3C40">
                  <w:pPr>
                    <w:rPr>
                      <w:rFonts w:ascii="Trebuchet MS" w:hAnsi="Trebuchet MS" w:cs="Trebuchet MS"/>
                      <w:i/>
                      <w:iCs/>
                      <w:color w:val="0000FF"/>
                      <w:sz w:val="18"/>
                      <w:szCs w:val="18"/>
                    </w:rPr>
                  </w:pPr>
                  <w:r w:rsidRPr="00871FBD">
                    <w:rPr>
                      <w:rFonts w:ascii="Trebuchet MS" w:hAnsi="Trebuchet MS"/>
                      <w:b/>
                      <w:color w:val="0000FF"/>
                      <w:sz w:val="24"/>
                      <w:szCs w:val="24"/>
                    </w:rPr>
                    <w:t xml:space="preserve"> </w:t>
                  </w:r>
                </w:p>
              </w:tc>
            </w:tr>
          </w:tbl>
          <w:p w:rsidR="007A3C40" w:rsidRDefault="007A3C40" w:rsidP="007A3C40">
            <w:pPr>
              <w:pStyle w:val="Listeafsnit"/>
              <w:spacing w:after="0" w:line="240" w:lineRule="auto"/>
              <w:ind w:left="360"/>
              <w:rPr>
                <w:rFonts w:ascii="Trebuchet MS" w:eastAsia="Times New Roman" w:hAnsi="Trebuchet MS" w:cs="Arial"/>
                <w:i/>
                <w:iCs/>
                <w:color w:val="0000FF"/>
                <w:sz w:val="18"/>
                <w:szCs w:val="18"/>
                <w:lang w:eastAsia="da-DK"/>
              </w:rPr>
            </w:pPr>
          </w:p>
          <w:tbl>
            <w:tblPr>
              <w:tblStyle w:val="Tabel-Gitter"/>
              <w:tblW w:w="0" w:type="auto"/>
              <w:tblInd w:w="209" w:type="dxa"/>
              <w:tblLook w:val="04A0" w:firstRow="1" w:lastRow="0" w:firstColumn="1" w:lastColumn="0" w:noHBand="0" w:noVBand="1"/>
            </w:tblPr>
            <w:tblGrid>
              <w:gridCol w:w="9213"/>
            </w:tblGrid>
            <w:tr w:rsidR="00C363EB" w:rsidTr="007F2B05">
              <w:tc>
                <w:tcPr>
                  <w:tcW w:w="9213" w:type="dxa"/>
                </w:tcPr>
                <w:p w:rsidR="00D67531" w:rsidRDefault="00D67531" w:rsidP="00EC2E01">
                  <w:pPr>
                    <w:rPr>
                      <w:b/>
                      <w:sz w:val="24"/>
                      <w:szCs w:val="24"/>
                    </w:rPr>
                  </w:pPr>
                </w:p>
                <w:p w:rsidR="00753CAF" w:rsidRDefault="00D67531" w:rsidP="00EC2E01">
                  <w:r w:rsidRPr="00753CAF">
                    <w:t xml:space="preserve">Hvis der konstateres fejl </w:t>
                  </w:r>
                  <w:r w:rsidR="00D12C7F">
                    <w:t xml:space="preserve">(f.eks. fejl ved måling) </w:t>
                  </w:r>
                  <w:r w:rsidR="00D12C7F" w:rsidRPr="00753CAF">
                    <w:t xml:space="preserve">og afvigelser </w:t>
                  </w:r>
                  <w:r w:rsidR="00D12C7F">
                    <w:t xml:space="preserve">(f.eks. ved sammenholdelse af brændselsforbrug med produceret varme) </w:t>
                  </w:r>
                  <w:r w:rsidRPr="00753CAF">
                    <w:t>eller at kontrolaktiviteter ikke fungerer effektivt iværks</w:t>
                  </w:r>
                  <w:r w:rsidR="00753CAF" w:rsidRPr="00753CAF">
                    <w:t>ætter/igangsætter [stillingsbetegnelse] tiltag, som retter op på afvigelsen/fejlen</w:t>
                  </w:r>
                  <w:r w:rsidR="00753CAF">
                    <w:t>.</w:t>
                  </w:r>
                </w:p>
                <w:p w:rsidR="00753CAF" w:rsidRDefault="00753CAF" w:rsidP="00EC2E01"/>
                <w:p w:rsidR="00D67531" w:rsidRDefault="00753CAF" w:rsidP="00EC2E01">
                  <w:r>
                    <w:t xml:space="preserve">Det vurderes om resultaterne i de forskellige trin af fastsættelsen af udledningen er gyldige, og der </w:t>
                  </w:r>
                  <w:r w:rsidR="0091724A">
                    <w:t>rettes op på data uden at</w:t>
                  </w:r>
                  <w:r w:rsidRPr="00753CAF">
                    <w:t xml:space="preserve"> udledningen sættes for lavt. </w:t>
                  </w:r>
                </w:p>
                <w:p w:rsidR="006256A0" w:rsidRDefault="006256A0" w:rsidP="00EC2E01"/>
                <w:p w:rsidR="006256A0" w:rsidRPr="00753CAF" w:rsidRDefault="006256A0" w:rsidP="00EC2E01">
                  <w:r>
                    <w:t>Hvis fejl har betydning for udledningen og den opdages efter den årligt CO</w:t>
                  </w:r>
                  <w:r w:rsidRPr="003440DC">
                    <w:rPr>
                      <w:vertAlign w:val="subscript"/>
                    </w:rPr>
                    <w:t>2</w:t>
                  </w:r>
                  <w:r>
                    <w:t>-rapportering kontaktes verifikator og fejlen rapporteres til Energistyrelsen.</w:t>
                  </w:r>
                </w:p>
                <w:p w:rsidR="00753CAF" w:rsidRPr="00753CAF" w:rsidRDefault="00753CAF" w:rsidP="00EC2E01"/>
                <w:p w:rsidR="008B2D75" w:rsidRDefault="00512571" w:rsidP="00EC2E01">
                  <w:r w:rsidRPr="00753CAF">
                    <w:t xml:space="preserve">For at </w:t>
                  </w:r>
                  <w:r w:rsidR="00D12C7F">
                    <w:t xml:space="preserve">dokumentere handlinger og evt. </w:t>
                  </w:r>
                  <w:r w:rsidRPr="00753CAF">
                    <w:t>forebygge og afhjælpe fremtidige fejl og afvigelser</w:t>
                  </w:r>
                  <w:r w:rsidR="00D12C7F">
                    <w:t xml:space="preserve"> </w:t>
                  </w:r>
                  <w:r w:rsidRPr="00753CAF">
                    <w:t xml:space="preserve">udfylder [stillingsbetegnelse] </w:t>
                  </w:r>
                  <w:r w:rsidR="008B2D75">
                    <w:t xml:space="preserve">beskrivelse af </w:t>
                  </w:r>
                  <w:r w:rsidR="00D67531" w:rsidRPr="00753CAF">
                    <w:t xml:space="preserve">evt. fejl og afvigelser </w:t>
                  </w:r>
                  <w:r w:rsidRPr="00753CAF">
                    <w:t xml:space="preserve">bilag </w:t>
                  </w:r>
                  <w:r w:rsidR="006256A0">
                    <w:t>H</w:t>
                  </w:r>
                  <w:r w:rsidRPr="00753CAF">
                    <w:t xml:space="preserve">. </w:t>
                  </w:r>
                </w:p>
                <w:p w:rsidR="008B2D75" w:rsidRDefault="008B2D75" w:rsidP="00EC2E01"/>
                <w:p w:rsidR="00512571" w:rsidRPr="00753CAF" w:rsidRDefault="00512571" w:rsidP="00EC2E01">
                  <w:r w:rsidRPr="00753CAF">
                    <w:t xml:space="preserve">Der </w:t>
                  </w:r>
                  <w:r w:rsidR="00D67531" w:rsidRPr="00753CAF">
                    <w:t>beskrives</w:t>
                  </w:r>
                  <w:r w:rsidRPr="00753CAF">
                    <w:t xml:space="preserve"> følgende:</w:t>
                  </w:r>
                </w:p>
                <w:p w:rsidR="00512571" w:rsidRPr="00753CAF" w:rsidRDefault="00D12C7F" w:rsidP="009F03B4">
                  <w:pPr>
                    <w:pStyle w:val="Listeafsnit"/>
                    <w:numPr>
                      <w:ilvl w:val="0"/>
                      <w:numId w:val="1"/>
                    </w:numPr>
                  </w:pPr>
                  <w:r>
                    <w:t>Å</w:t>
                  </w:r>
                  <w:r w:rsidR="00512571" w:rsidRPr="00753CAF">
                    <w:t>rsagen klarlægges</w:t>
                  </w:r>
                </w:p>
                <w:p w:rsidR="00512571" w:rsidRPr="00753CAF" w:rsidRDefault="00D12C7F" w:rsidP="009F03B4">
                  <w:pPr>
                    <w:pStyle w:val="Listeafsnit"/>
                    <w:numPr>
                      <w:ilvl w:val="0"/>
                      <w:numId w:val="1"/>
                    </w:numPr>
                  </w:pPr>
                  <w:r>
                    <w:t>D</w:t>
                  </w:r>
                  <w:r w:rsidR="00D67531" w:rsidRPr="00753CAF">
                    <w:t>e handlinger, som er nødvendige for at rette op på afvigelsen</w:t>
                  </w:r>
                  <w:r w:rsidR="00753CAF" w:rsidRPr="00753CAF">
                    <w:t>, herunder rettelse af fejlbehæftede data, og hvis relevant CO</w:t>
                  </w:r>
                  <w:r w:rsidR="00753CAF" w:rsidRPr="003440DC">
                    <w:rPr>
                      <w:vertAlign w:val="subscript"/>
                    </w:rPr>
                    <w:t>2</w:t>
                  </w:r>
                  <w:r w:rsidR="00753CAF" w:rsidRPr="00753CAF">
                    <w:t>-udledningsrapporten.</w:t>
                  </w:r>
                </w:p>
                <w:p w:rsidR="00753CAF" w:rsidRPr="00753CAF" w:rsidRDefault="00753CAF" w:rsidP="009F03B4">
                  <w:pPr>
                    <w:numPr>
                      <w:ilvl w:val="0"/>
                      <w:numId w:val="1"/>
                    </w:numPr>
                  </w:pPr>
                  <w:r w:rsidRPr="00753CAF">
                    <w:t xml:space="preserve">De handlinger, som </w:t>
                  </w:r>
                  <w:r w:rsidR="007C1692">
                    <w:t xml:space="preserve">har været </w:t>
                  </w:r>
                  <w:r w:rsidRPr="00753CAF">
                    <w:t>nødvendige for at undgå gentagelse af afvigelsen, herunder</w:t>
                  </w:r>
                  <w:r>
                    <w:t xml:space="preserve"> vurderes også</w:t>
                  </w:r>
                  <w:r w:rsidR="007C1692">
                    <w:t>,</w:t>
                  </w:r>
                  <w:r>
                    <w:t xml:space="preserve"> om </w:t>
                  </w:r>
                  <w:r w:rsidR="00B26A48">
                    <w:t xml:space="preserve">det er nødvendigt at </w:t>
                  </w:r>
                  <w:r w:rsidRPr="00753CAF">
                    <w:t>ændre procedurer, så de stemmer overens med de nye tiltag eller handlinger</w:t>
                  </w:r>
                  <w:r w:rsidR="00B26A48">
                    <w:t>.</w:t>
                  </w:r>
                </w:p>
                <w:p w:rsidR="001C74B7" w:rsidRDefault="00EC2E01" w:rsidP="00B26A48">
                  <w:pPr>
                    <w:rPr>
                      <w:b/>
                      <w:sz w:val="24"/>
                      <w:szCs w:val="24"/>
                    </w:rPr>
                  </w:pPr>
                  <w:r>
                    <w:t xml:space="preserve"> </w:t>
                  </w:r>
                </w:p>
              </w:tc>
            </w:tr>
          </w:tbl>
          <w:p w:rsidR="00C363EB" w:rsidRDefault="00C363EB" w:rsidP="00C363EB">
            <w:pPr>
              <w:pStyle w:val="Listeafsnit"/>
              <w:ind w:left="1080"/>
              <w:rPr>
                <w:b/>
                <w:sz w:val="24"/>
                <w:szCs w:val="24"/>
              </w:rPr>
            </w:pPr>
          </w:p>
          <w:p w:rsidR="00894F1A" w:rsidRDefault="00894F1A" w:rsidP="00C363EB">
            <w:pPr>
              <w:pStyle w:val="Listeafsnit"/>
              <w:ind w:left="1080"/>
              <w:rPr>
                <w:b/>
                <w:sz w:val="24"/>
                <w:szCs w:val="24"/>
              </w:rPr>
            </w:pPr>
          </w:p>
          <w:tbl>
            <w:tblPr>
              <w:tblStyle w:val="Tabel-Gitter"/>
              <w:tblW w:w="0" w:type="auto"/>
              <w:shd w:val="clear" w:color="auto" w:fill="B8CCE4" w:themeFill="accent1" w:themeFillTint="66"/>
              <w:tblLook w:val="04A0" w:firstRow="1" w:lastRow="0" w:firstColumn="1" w:lastColumn="0" w:noHBand="0" w:noVBand="1"/>
            </w:tblPr>
            <w:tblGrid>
              <w:gridCol w:w="9626"/>
            </w:tblGrid>
            <w:tr w:rsidR="00894F1A" w:rsidTr="00894F1A">
              <w:tc>
                <w:tcPr>
                  <w:tcW w:w="9626" w:type="dxa"/>
                  <w:shd w:val="clear" w:color="auto" w:fill="B8CCE4" w:themeFill="accent1" w:themeFillTint="66"/>
                </w:tcPr>
                <w:p w:rsidR="00894F1A" w:rsidRPr="00402ED9" w:rsidRDefault="00894F1A" w:rsidP="00402ED9">
                  <w:pPr>
                    <w:pStyle w:val="Overskrift1"/>
                    <w:outlineLvl w:val="0"/>
                    <w:rPr>
                      <w:szCs w:val="20"/>
                    </w:rPr>
                  </w:pPr>
                  <w:bookmarkStart w:id="11" w:name="_Toc459104412"/>
                  <w:r w:rsidRPr="00402ED9">
                    <w:rPr>
                      <w:rStyle w:val="Overskrift2Tegn"/>
                      <w:rFonts w:asciiTheme="minorHAnsi" w:eastAsiaTheme="majorEastAsia" w:hAnsiTheme="minorHAnsi" w:cstheme="majorBidi"/>
                      <w:b/>
                      <w:bCs/>
                      <w:lang w:eastAsia="en-US"/>
                    </w:rPr>
                    <w:t>Procedure til kontrol af overdragede processer</w:t>
                  </w:r>
                  <w:bookmarkEnd w:id="11"/>
                  <w:r w:rsidRPr="00402ED9">
                    <w:t xml:space="preserve"> </w:t>
                  </w:r>
                </w:p>
              </w:tc>
            </w:tr>
          </w:tbl>
          <w:p w:rsidR="002D1934" w:rsidRDefault="002D1934" w:rsidP="00F73269">
            <w:pPr>
              <w:spacing w:after="0" w:line="240" w:lineRule="auto"/>
              <w:rPr>
                <w:rFonts w:ascii="Arial" w:eastAsia="Times New Roman" w:hAnsi="Arial" w:cs="Arial"/>
                <w:b/>
                <w:bCs/>
                <w:sz w:val="20"/>
                <w:szCs w:val="20"/>
                <w:lang w:eastAsia="da-DK"/>
              </w:rPr>
            </w:pPr>
          </w:p>
          <w:p w:rsidR="00894F1A" w:rsidRDefault="00894F1A" w:rsidP="00F73269">
            <w:pPr>
              <w:spacing w:after="0" w:line="240" w:lineRule="auto"/>
              <w:rPr>
                <w:rFonts w:ascii="Arial" w:eastAsia="Times New Roman" w:hAnsi="Arial" w:cs="Arial"/>
                <w:b/>
                <w:bCs/>
                <w:sz w:val="20"/>
                <w:szCs w:val="20"/>
                <w:lang w:eastAsia="da-DK"/>
              </w:rPr>
            </w:pPr>
          </w:p>
          <w:tbl>
            <w:tblPr>
              <w:tblStyle w:val="Tabel-Gitter"/>
              <w:tblW w:w="0" w:type="auto"/>
              <w:tblInd w:w="350" w:type="dxa"/>
              <w:tblLook w:val="04A0" w:firstRow="1" w:lastRow="0" w:firstColumn="1" w:lastColumn="0" w:noHBand="0" w:noVBand="1"/>
            </w:tblPr>
            <w:tblGrid>
              <w:gridCol w:w="1711"/>
              <w:gridCol w:w="7367"/>
            </w:tblGrid>
            <w:tr w:rsidR="007A3C40" w:rsidTr="009449ED">
              <w:tc>
                <w:tcPr>
                  <w:tcW w:w="1711" w:type="dxa"/>
                </w:tcPr>
                <w:p w:rsidR="007A3C40" w:rsidRPr="002F2940" w:rsidRDefault="007A3C40" w:rsidP="007A3C40">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Regler</w:t>
                  </w:r>
                </w:p>
              </w:tc>
              <w:tc>
                <w:tcPr>
                  <w:tcW w:w="7367" w:type="dxa"/>
                </w:tcPr>
                <w:p w:rsidR="007A3C40" w:rsidRPr="002F2940" w:rsidRDefault="007A3C40" w:rsidP="009449ED">
                  <w:pPr>
                    <w:pStyle w:val="Listeafsnit"/>
                    <w:autoSpaceDE w:val="0"/>
                    <w:autoSpaceDN w:val="0"/>
                    <w:adjustRightInd w:val="0"/>
                    <w:ind w:left="0"/>
                    <w:rPr>
                      <w:rFonts w:ascii="Trebuchet MS" w:hAnsi="Trebuchet MS" w:cs="Trebuchet MS"/>
                      <w:i/>
                      <w:iCs/>
                      <w:color w:val="0000FF"/>
                      <w:sz w:val="18"/>
                      <w:szCs w:val="18"/>
                    </w:rPr>
                  </w:pPr>
                  <w:r>
                    <w:rPr>
                      <w:rFonts w:ascii="Trebuchet MS" w:hAnsi="Trebuchet MS" w:cs="Trebuchet MS"/>
                      <w:i/>
                      <w:iCs/>
                      <w:color w:val="0000FF"/>
                      <w:sz w:val="18"/>
                      <w:szCs w:val="18"/>
                    </w:rPr>
                    <w:t xml:space="preserve">Artikel </w:t>
                  </w:r>
                  <w:r w:rsidRPr="0000741B">
                    <w:rPr>
                      <w:rFonts w:ascii="Trebuchet MS" w:hAnsi="Trebuchet MS" w:cs="Trebuchet MS"/>
                      <w:i/>
                      <w:iCs/>
                      <w:color w:val="0000FF"/>
                      <w:sz w:val="18"/>
                      <w:szCs w:val="18"/>
                    </w:rPr>
                    <w:t xml:space="preserve">58 og </w:t>
                  </w:r>
                  <w:r w:rsidR="009449ED">
                    <w:rPr>
                      <w:rFonts w:ascii="Trebuchet MS" w:hAnsi="Trebuchet MS" w:cs="Trebuchet MS"/>
                      <w:i/>
                      <w:iCs/>
                      <w:color w:val="0000FF"/>
                      <w:sz w:val="18"/>
                      <w:szCs w:val="18"/>
                    </w:rPr>
                    <w:t>64</w:t>
                  </w:r>
                  <w:r>
                    <w:rPr>
                      <w:rFonts w:ascii="Trebuchet MS" w:hAnsi="Trebuchet MS" w:cs="Trebuchet MS"/>
                      <w:i/>
                      <w:iCs/>
                      <w:color w:val="0000FF"/>
                      <w:sz w:val="18"/>
                      <w:szCs w:val="18"/>
                    </w:rPr>
                    <w:t xml:space="preserve"> i </w:t>
                  </w:r>
                  <w:r w:rsidRPr="0000741B">
                    <w:rPr>
                      <w:rFonts w:ascii="Trebuchet MS" w:hAnsi="Trebuchet MS" w:cs="Trebuchet MS"/>
                      <w:i/>
                      <w:iCs/>
                      <w:color w:val="0000FF"/>
                      <w:sz w:val="18"/>
                      <w:szCs w:val="18"/>
                    </w:rPr>
                    <w:t>Kommissionens forordning 601/2012</w:t>
                  </w:r>
                  <w:r>
                    <w:rPr>
                      <w:rFonts w:ascii="Trebuchet MS" w:hAnsi="Trebuchet MS" w:cs="Trebuchet MS"/>
                      <w:i/>
                      <w:iCs/>
                      <w:color w:val="0000FF"/>
                      <w:sz w:val="18"/>
                      <w:szCs w:val="18"/>
                    </w:rPr>
                    <w:t>.</w:t>
                  </w:r>
                </w:p>
              </w:tc>
            </w:tr>
            <w:tr w:rsidR="007A3C40" w:rsidTr="009449ED">
              <w:tc>
                <w:tcPr>
                  <w:tcW w:w="1711" w:type="dxa"/>
                </w:tcPr>
                <w:p w:rsidR="007A3C40" w:rsidRPr="002F2940" w:rsidRDefault="007A3C40" w:rsidP="007A3C40">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Indhold i procedure</w:t>
                  </w:r>
                </w:p>
              </w:tc>
              <w:tc>
                <w:tcPr>
                  <w:tcW w:w="7367" w:type="dxa"/>
                </w:tcPr>
                <w:p w:rsidR="007A3C40" w:rsidRPr="002F2940" w:rsidRDefault="009449ED" w:rsidP="00EA0FB6">
                  <w:pPr>
                    <w:pStyle w:val="Listeafsnit"/>
                    <w:ind w:left="0"/>
                    <w:rPr>
                      <w:rFonts w:ascii="Trebuchet MS" w:hAnsi="Trebuchet MS" w:cs="Trebuchet MS"/>
                      <w:i/>
                      <w:iCs/>
                      <w:color w:val="0000FF"/>
                      <w:sz w:val="18"/>
                      <w:szCs w:val="18"/>
                    </w:rPr>
                  </w:pPr>
                  <w:r>
                    <w:rPr>
                      <w:rFonts w:ascii="Trebuchet MS" w:eastAsia="Times New Roman" w:hAnsi="Trebuchet MS" w:cs="Arial"/>
                      <w:i/>
                      <w:iCs/>
                      <w:color w:val="0000FF"/>
                      <w:sz w:val="18"/>
                      <w:szCs w:val="18"/>
                      <w:lang w:eastAsia="da-DK"/>
                    </w:rPr>
                    <w:t>Proceduren skal</w:t>
                  </w:r>
                  <w:r w:rsidR="007A3C40" w:rsidRPr="00871FBD">
                    <w:rPr>
                      <w:rFonts w:ascii="Trebuchet MS" w:eastAsia="Times New Roman" w:hAnsi="Trebuchet MS" w:cs="Arial"/>
                      <w:i/>
                      <w:iCs/>
                      <w:color w:val="0000FF"/>
                      <w:sz w:val="18"/>
                      <w:szCs w:val="18"/>
                      <w:lang w:eastAsia="da-DK"/>
                    </w:rPr>
                    <w:t xml:space="preserve"> </w:t>
                  </w:r>
                  <w:r>
                    <w:rPr>
                      <w:rFonts w:ascii="Trebuchet MS" w:eastAsia="Times New Roman" w:hAnsi="Trebuchet MS" w:cs="Arial"/>
                      <w:i/>
                      <w:iCs/>
                      <w:color w:val="0000FF"/>
                      <w:sz w:val="18"/>
                      <w:szCs w:val="18"/>
                      <w:lang w:eastAsia="da-DK"/>
                    </w:rPr>
                    <w:t xml:space="preserve">beskrive, </w:t>
                  </w:r>
                  <w:r w:rsidRPr="009449ED">
                    <w:rPr>
                      <w:rFonts w:ascii="Arial" w:eastAsia="Times New Roman" w:hAnsi="Arial" w:cs="Arial"/>
                      <w:i/>
                      <w:iCs/>
                      <w:color w:val="0000FF"/>
                      <w:sz w:val="18"/>
                      <w:szCs w:val="18"/>
                      <w:lang w:eastAsia="da-DK"/>
                    </w:rPr>
                    <w:t>hvordan datastrømsaktiviteter og kontrolaktiviteter for overdragede processer kontrolleres, og hvilke kvalitetskontroller, der gennemføres for de resulterende data</w:t>
                  </w:r>
                  <w:r>
                    <w:rPr>
                      <w:rFonts w:ascii="Arial" w:eastAsia="Times New Roman" w:hAnsi="Arial" w:cs="Arial"/>
                      <w:i/>
                      <w:iCs/>
                      <w:color w:val="0000FF"/>
                      <w:sz w:val="18"/>
                      <w:szCs w:val="18"/>
                      <w:lang w:eastAsia="da-DK"/>
                    </w:rPr>
                    <w:t>.</w:t>
                  </w:r>
                  <w:r w:rsidR="007A3C40" w:rsidRPr="00871FBD">
                    <w:rPr>
                      <w:rFonts w:ascii="Trebuchet MS" w:eastAsia="Times New Roman" w:hAnsi="Trebuchet MS" w:cs="Arial"/>
                      <w:i/>
                      <w:iCs/>
                      <w:color w:val="0000FF"/>
                      <w:sz w:val="18"/>
                      <w:szCs w:val="18"/>
                      <w:lang w:eastAsia="da-DK"/>
                    </w:rPr>
                    <w:t xml:space="preserve"> </w:t>
                  </w:r>
                  <w:r w:rsidR="007A3C40" w:rsidRPr="00871FBD">
                    <w:rPr>
                      <w:rFonts w:ascii="Trebuchet MS" w:hAnsi="Trebuchet MS"/>
                      <w:b/>
                      <w:color w:val="0000FF"/>
                      <w:sz w:val="24"/>
                      <w:szCs w:val="24"/>
                    </w:rPr>
                    <w:t xml:space="preserve"> </w:t>
                  </w:r>
                </w:p>
              </w:tc>
            </w:tr>
          </w:tbl>
          <w:p w:rsidR="007A3C40" w:rsidRDefault="007A3C40" w:rsidP="007A3C40">
            <w:pPr>
              <w:pStyle w:val="Listeafsnit"/>
              <w:spacing w:after="0" w:line="240" w:lineRule="auto"/>
              <w:ind w:left="360"/>
              <w:rPr>
                <w:rFonts w:ascii="Trebuchet MS" w:eastAsia="Times New Roman" w:hAnsi="Trebuchet MS" w:cs="Arial"/>
                <w:i/>
                <w:iCs/>
                <w:color w:val="0000FF"/>
                <w:sz w:val="18"/>
                <w:szCs w:val="18"/>
                <w:lang w:eastAsia="da-DK"/>
              </w:rPr>
            </w:pPr>
          </w:p>
          <w:p w:rsidR="007A3C40" w:rsidRDefault="007A3C40" w:rsidP="00CF05E3">
            <w:pPr>
              <w:pStyle w:val="Listeafsnit"/>
              <w:ind w:left="360"/>
              <w:rPr>
                <w:rFonts w:ascii="Arial" w:eastAsia="Times New Roman" w:hAnsi="Arial" w:cs="Arial"/>
                <w:i/>
                <w:iCs/>
                <w:color w:val="333399"/>
                <w:sz w:val="18"/>
                <w:szCs w:val="18"/>
                <w:lang w:eastAsia="da-DK"/>
              </w:rPr>
            </w:pPr>
          </w:p>
          <w:p w:rsidR="002D1934" w:rsidRDefault="002D1934" w:rsidP="002D1934">
            <w:pPr>
              <w:pStyle w:val="Listeafsnit"/>
              <w:ind w:left="1080"/>
              <w:rPr>
                <w:b/>
                <w:sz w:val="24"/>
                <w:szCs w:val="24"/>
              </w:rPr>
            </w:pPr>
          </w:p>
          <w:p w:rsidR="00220B09" w:rsidRDefault="00220B09" w:rsidP="00894F1A">
            <w:pPr>
              <w:pStyle w:val="Listeafsnit"/>
              <w:ind w:left="-70"/>
              <w:rPr>
                <w:b/>
                <w:sz w:val="24"/>
                <w:szCs w:val="24"/>
              </w:rPr>
            </w:pPr>
          </w:p>
          <w:p w:rsidR="00894F1A" w:rsidRDefault="00894F1A" w:rsidP="00894F1A">
            <w:pPr>
              <w:pStyle w:val="Listeafsnit"/>
              <w:ind w:left="-70"/>
              <w:rPr>
                <w:b/>
                <w:sz w:val="24"/>
                <w:szCs w:val="24"/>
              </w:rPr>
            </w:pPr>
          </w:p>
          <w:tbl>
            <w:tblPr>
              <w:tblStyle w:val="Tabel-Gitter"/>
              <w:tblW w:w="0" w:type="auto"/>
              <w:tblLook w:val="04A0" w:firstRow="1" w:lastRow="0" w:firstColumn="1" w:lastColumn="0" w:noHBand="0" w:noVBand="1"/>
            </w:tblPr>
            <w:tblGrid>
              <w:gridCol w:w="9626"/>
            </w:tblGrid>
            <w:tr w:rsidR="00402ED9" w:rsidTr="00402ED9">
              <w:tc>
                <w:tcPr>
                  <w:tcW w:w="9626" w:type="dxa"/>
                  <w:shd w:val="clear" w:color="auto" w:fill="B8CCE4" w:themeFill="accent1" w:themeFillTint="66"/>
                </w:tcPr>
                <w:p w:rsidR="00402ED9" w:rsidRPr="009F03B4" w:rsidRDefault="00402ED9" w:rsidP="009F03B4">
                  <w:pPr>
                    <w:pStyle w:val="Overskrift1"/>
                    <w:outlineLvl w:val="0"/>
                  </w:pPr>
                  <w:bookmarkStart w:id="12" w:name="_Toc459104413"/>
                  <w:r w:rsidRPr="009F03B4">
                    <w:lastRenderedPageBreak/>
                    <w:t>Styring af registreringer og dokumentation</w:t>
                  </w:r>
                  <w:bookmarkEnd w:id="12"/>
                </w:p>
              </w:tc>
            </w:tr>
          </w:tbl>
          <w:p w:rsidR="00894F1A" w:rsidRDefault="00894F1A" w:rsidP="00894F1A">
            <w:pPr>
              <w:pStyle w:val="Listeafsnit"/>
              <w:ind w:left="-70"/>
              <w:rPr>
                <w:b/>
                <w:sz w:val="24"/>
                <w:szCs w:val="24"/>
              </w:rPr>
            </w:pPr>
          </w:p>
          <w:tbl>
            <w:tblPr>
              <w:tblStyle w:val="Tabel-Gitter"/>
              <w:tblW w:w="0" w:type="auto"/>
              <w:tblInd w:w="350" w:type="dxa"/>
              <w:tblLook w:val="04A0" w:firstRow="1" w:lastRow="0" w:firstColumn="1" w:lastColumn="0" w:noHBand="0" w:noVBand="1"/>
            </w:tblPr>
            <w:tblGrid>
              <w:gridCol w:w="1711"/>
              <w:gridCol w:w="7367"/>
            </w:tblGrid>
            <w:tr w:rsidR="007A3C40" w:rsidTr="009449ED">
              <w:tc>
                <w:tcPr>
                  <w:tcW w:w="1711" w:type="dxa"/>
                </w:tcPr>
                <w:p w:rsidR="007A3C40" w:rsidRPr="002F2940" w:rsidRDefault="007A3C40" w:rsidP="007A3C40">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Regler</w:t>
                  </w:r>
                </w:p>
              </w:tc>
              <w:tc>
                <w:tcPr>
                  <w:tcW w:w="7367" w:type="dxa"/>
                </w:tcPr>
                <w:p w:rsidR="007A3C40" w:rsidRPr="002F2940" w:rsidRDefault="007A3C40" w:rsidP="009449ED">
                  <w:pPr>
                    <w:pStyle w:val="Listeafsnit"/>
                    <w:autoSpaceDE w:val="0"/>
                    <w:autoSpaceDN w:val="0"/>
                    <w:adjustRightInd w:val="0"/>
                    <w:ind w:left="0"/>
                    <w:rPr>
                      <w:rFonts w:ascii="Trebuchet MS" w:hAnsi="Trebuchet MS" w:cs="Trebuchet MS"/>
                      <w:i/>
                      <w:iCs/>
                      <w:color w:val="0000FF"/>
                      <w:sz w:val="18"/>
                      <w:szCs w:val="18"/>
                    </w:rPr>
                  </w:pPr>
                  <w:r>
                    <w:rPr>
                      <w:rFonts w:ascii="Trebuchet MS" w:hAnsi="Trebuchet MS" w:cs="Trebuchet MS"/>
                      <w:i/>
                      <w:iCs/>
                      <w:color w:val="0000FF"/>
                      <w:sz w:val="18"/>
                      <w:szCs w:val="18"/>
                    </w:rPr>
                    <w:t xml:space="preserve">Artikel </w:t>
                  </w:r>
                  <w:r w:rsidRPr="0000741B">
                    <w:rPr>
                      <w:rFonts w:ascii="Trebuchet MS" w:hAnsi="Trebuchet MS" w:cs="Trebuchet MS"/>
                      <w:i/>
                      <w:iCs/>
                      <w:color w:val="0000FF"/>
                      <w:sz w:val="18"/>
                      <w:szCs w:val="18"/>
                    </w:rPr>
                    <w:t xml:space="preserve">58 og </w:t>
                  </w:r>
                  <w:r>
                    <w:rPr>
                      <w:rFonts w:ascii="Trebuchet MS" w:hAnsi="Trebuchet MS" w:cs="Trebuchet MS"/>
                      <w:i/>
                      <w:iCs/>
                      <w:color w:val="0000FF"/>
                      <w:sz w:val="18"/>
                      <w:szCs w:val="18"/>
                    </w:rPr>
                    <w:t>6</w:t>
                  </w:r>
                  <w:r w:rsidR="009449ED">
                    <w:rPr>
                      <w:rFonts w:ascii="Trebuchet MS" w:hAnsi="Trebuchet MS" w:cs="Trebuchet MS"/>
                      <w:i/>
                      <w:iCs/>
                      <w:color w:val="0000FF"/>
                      <w:sz w:val="18"/>
                      <w:szCs w:val="18"/>
                    </w:rPr>
                    <w:t>6</w:t>
                  </w:r>
                  <w:r w:rsidR="00C676F8">
                    <w:rPr>
                      <w:rFonts w:ascii="Trebuchet MS" w:hAnsi="Trebuchet MS" w:cs="Trebuchet MS"/>
                      <w:i/>
                      <w:iCs/>
                      <w:color w:val="0000FF"/>
                      <w:sz w:val="18"/>
                      <w:szCs w:val="18"/>
                    </w:rPr>
                    <w:t xml:space="preserve"> og bilag IX</w:t>
                  </w:r>
                  <w:r>
                    <w:rPr>
                      <w:rFonts w:ascii="Trebuchet MS" w:hAnsi="Trebuchet MS" w:cs="Trebuchet MS"/>
                      <w:i/>
                      <w:iCs/>
                      <w:color w:val="0000FF"/>
                      <w:sz w:val="18"/>
                      <w:szCs w:val="18"/>
                    </w:rPr>
                    <w:t xml:space="preserve"> i </w:t>
                  </w:r>
                  <w:r w:rsidRPr="0000741B">
                    <w:rPr>
                      <w:rFonts w:ascii="Trebuchet MS" w:hAnsi="Trebuchet MS" w:cs="Trebuchet MS"/>
                      <w:i/>
                      <w:iCs/>
                      <w:color w:val="0000FF"/>
                      <w:sz w:val="18"/>
                      <w:szCs w:val="18"/>
                    </w:rPr>
                    <w:t>Kommissionens forordning 601/2012</w:t>
                  </w:r>
                  <w:r>
                    <w:rPr>
                      <w:rFonts w:ascii="Trebuchet MS" w:hAnsi="Trebuchet MS" w:cs="Trebuchet MS"/>
                      <w:i/>
                      <w:iCs/>
                      <w:color w:val="0000FF"/>
                      <w:sz w:val="18"/>
                      <w:szCs w:val="18"/>
                    </w:rPr>
                    <w:t>.</w:t>
                  </w:r>
                </w:p>
              </w:tc>
            </w:tr>
            <w:tr w:rsidR="007A3C40" w:rsidTr="009449ED">
              <w:tc>
                <w:tcPr>
                  <w:tcW w:w="1711" w:type="dxa"/>
                </w:tcPr>
                <w:p w:rsidR="007A3C40" w:rsidRPr="002F2940" w:rsidRDefault="007A3C40" w:rsidP="007A3C40">
                  <w:pPr>
                    <w:pStyle w:val="Listeafsnit"/>
                    <w:autoSpaceDE w:val="0"/>
                    <w:autoSpaceDN w:val="0"/>
                    <w:adjustRightInd w:val="0"/>
                    <w:ind w:left="0"/>
                    <w:rPr>
                      <w:rFonts w:ascii="Trebuchet MS" w:hAnsi="Trebuchet MS" w:cs="Trebuchet MS"/>
                      <w:i/>
                      <w:iCs/>
                      <w:color w:val="0000FF"/>
                      <w:sz w:val="18"/>
                      <w:szCs w:val="18"/>
                    </w:rPr>
                  </w:pPr>
                  <w:r w:rsidRPr="002F2940">
                    <w:rPr>
                      <w:rFonts w:ascii="Trebuchet MS" w:hAnsi="Trebuchet MS" w:cs="Trebuchet MS"/>
                      <w:i/>
                      <w:iCs/>
                      <w:color w:val="0000FF"/>
                      <w:sz w:val="18"/>
                      <w:szCs w:val="18"/>
                    </w:rPr>
                    <w:t>Indhold i procedure</w:t>
                  </w:r>
                </w:p>
              </w:tc>
              <w:tc>
                <w:tcPr>
                  <w:tcW w:w="7367" w:type="dxa"/>
                </w:tcPr>
                <w:p w:rsidR="007A3C40" w:rsidRPr="00C676F8" w:rsidRDefault="009449ED" w:rsidP="007A3C40">
                  <w:pPr>
                    <w:rPr>
                      <w:rFonts w:ascii="Trebuchet MS" w:hAnsi="Trebuchet MS" w:cs="Trebuchet MS"/>
                      <w:i/>
                      <w:iCs/>
                      <w:color w:val="0000FF"/>
                      <w:sz w:val="18"/>
                      <w:szCs w:val="18"/>
                    </w:rPr>
                  </w:pPr>
                  <w:r>
                    <w:rPr>
                      <w:rFonts w:ascii="Trebuchet MS" w:hAnsi="Trebuchet MS"/>
                      <w:i/>
                      <w:color w:val="0000FF"/>
                      <w:sz w:val="18"/>
                      <w:szCs w:val="18"/>
                    </w:rPr>
                    <w:t>Proceduren skal indeholde oplysninger om</w:t>
                  </w:r>
                  <w:r w:rsidR="00C676F8">
                    <w:rPr>
                      <w:rFonts w:ascii="Trebuchet MS" w:hAnsi="Trebuchet MS"/>
                      <w:color w:val="0000FF"/>
                      <w:sz w:val="18"/>
                      <w:szCs w:val="18"/>
                    </w:rPr>
                    <w:t xml:space="preserve"> processen for opbevaring af dokumentation, særligt i forhold til de data og oplysninger, som er fastlagt i forordningens bilag IX, samt om hvordan dataene gemmes</w:t>
                  </w:r>
                  <w:r w:rsidR="007F2B05">
                    <w:rPr>
                      <w:rFonts w:ascii="Trebuchet MS" w:hAnsi="Trebuchet MS"/>
                      <w:color w:val="0000FF"/>
                      <w:sz w:val="18"/>
                      <w:szCs w:val="18"/>
                    </w:rPr>
                    <w:t>, så oplysningerne er nemme af få adgang til.</w:t>
                  </w:r>
                </w:p>
              </w:tc>
            </w:tr>
          </w:tbl>
          <w:p w:rsidR="007A3C40" w:rsidRDefault="007A3C40" w:rsidP="007A3C40">
            <w:pPr>
              <w:pStyle w:val="Listeafsnit"/>
              <w:spacing w:after="0" w:line="240" w:lineRule="auto"/>
              <w:ind w:left="360"/>
              <w:rPr>
                <w:rFonts w:ascii="Trebuchet MS" w:eastAsia="Times New Roman" w:hAnsi="Trebuchet MS" w:cs="Arial"/>
                <w:i/>
                <w:iCs/>
                <w:color w:val="0000FF"/>
                <w:sz w:val="18"/>
                <w:szCs w:val="18"/>
                <w:lang w:eastAsia="da-DK"/>
              </w:rPr>
            </w:pPr>
          </w:p>
          <w:tbl>
            <w:tblPr>
              <w:tblStyle w:val="Tabel-Gitter"/>
              <w:tblW w:w="0" w:type="auto"/>
              <w:tblInd w:w="350" w:type="dxa"/>
              <w:tblLook w:val="04A0" w:firstRow="1" w:lastRow="0" w:firstColumn="1" w:lastColumn="0" w:noHBand="0" w:noVBand="1"/>
            </w:tblPr>
            <w:tblGrid>
              <w:gridCol w:w="9072"/>
            </w:tblGrid>
            <w:tr w:rsidR="007507A3" w:rsidTr="007F2B05">
              <w:tc>
                <w:tcPr>
                  <w:tcW w:w="9072" w:type="dxa"/>
                </w:tcPr>
                <w:p w:rsidR="00CF05E3" w:rsidRPr="00AD4795" w:rsidRDefault="00CF05E3" w:rsidP="00220B09">
                  <w:pPr>
                    <w:keepNext/>
                    <w:keepLines/>
                  </w:pPr>
                  <w:r w:rsidRPr="00AD4795">
                    <w:t>[Stillingsbetegnelse</w:t>
                  </w:r>
                  <w:r w:rsidR="00351948" w:rsidRPr="00AD4795">
                    <w:t>]</w:t>
                  </w:r>
                  <w:r w:rsidRPr="00AD4795">
                    <w:t xml:space="preserve"> er ansvarlig for at sikre, at </w:t>
                  </w:r>
                  <w:r w:rsidR="00DC0C8A" w:rsidRPr="00AD4795">
                    <w:t>følgende data</w:t>
                  </w:r>
                  <w:r w:rsidRPr="00AD4795">
                    <w:t xml:space="preserve"> </w:t>
                  </w:r>
                  <w:r w:rsidR="00752EE4">
                    <w:t>gemmes</w:t>
                  </w:r>
                  <w:r w:rsidRPr="00AD4795">
                    <w:t xml:space="preserve"> i min</w:t>
                  </w:r>
                  <w:r w:rsidR="00DC0C8A" w:rsidRPr="00AD4795">
                    <w:t>dst 10 år</w:t>
                  </w:r>
                  <w:r w:rsidR="00351948" w:rsidRPr="00AD4795">
                    <w:t>, jf. bilag IX i Kommissionens forordning 601/2012.</w:t>
                  </w:r>
                </w:p>
                <w:p w:rsidR="00DC0C8A" w:rsidRPr="00AD4795" w:rsidRDefault="00DC0C8A" w:rsidP="00220B09">
                  <w:pPr>
                    <w:keepNext/>
                    <w:keepLines/>
                  </w:pPr>
                </w:p>
                <w:p w:rsidR="00752EE4" w:rsidRDefault="00DC0C8A" w:rsidP="009F03B4">
                  <w:pPr>
                    <w:pStyle w:val="Listeafsnit"/>
                    <w:keepNext/>
                    <w:keepLines/>
                    <w:numPr>
                      <w:ilvl w:val="0"/>
                      <w:numId w:val="11"/>
                    </w:numPr>
                  </w:pPr>
                  <w:r w:rsidRPr="00AD4795">
                    <w:t>Alle godkendt</w:t>
                  </w:r>
                  <w:r w:rsidR="00C676F8">
                    <w:t>e</w:t>
                  </w:r>
                  <w:r w:rsidRPr="00AD4795">
                    <w:t xml:space="preserve"> overvågningsplaner, inkl. Energistyrelsens godkendelse</w:t>
                  </w:r>
                  <w:r w:rsidR="00351948" w:rsidRPr="00AD4795">
                    <w:t xml:space="preserve"> og udledningstilladelse</w:t>
                  </w:r>
                  <w:r w:rsidR="00752EE4">
                    <w:t>, arkiveres i mappen O:\CO2-overvågning</w:t>
                  </w:r>
                  <w:r w:rsidR="00752EE4" w:rsidRPr="00AD4795">
                    <w:t xml:space="preserve"> </w:t>
                  </w:r>
                </w:p>
                <w:p w:rsidR="00752EE4" w:rsidRPr="00AD4795" w:rsidRDefault="00752EE4" w:rsidP="009F03B4">
                  <w:pPr>
                    <w:pStyle w:val="Listeafsnit"/>
                    <w:keepNext/>
                    <w:keepLines/>
                    <w:numPr>
                      <w:ilvl w:val="0"/>
                      <w:numId w:val="11"/>
                    </w:numPr>
                  </w:pPr>
                  <w:r w:rsidRPr="00AD4795">
                    <w:t>Alle nuværende og tidligere skriftlige procedurer</w:t>
                  </w:r>
                  <w:r>
                    <w:t>, arkiveres i mappen O:\CO2-overvågning</w:t>
                  </w:r>
                </w:p>
                <w:p w:rsidR="00752EE4" w:rsidRDefault="00752EE4" w:rsidP="009F03B4">
                  <w:pPr>
                    <w:pStyle w:val="Listeafsnit"/>
                    <w:keepNext/>
                    <w:keepLines/>
                    <w:numPr>
                      <w:ilvl w:val="0"/>
                      <w:numId w:val="11"/>
                    </w:numPr>
                  </w:pPr>
                  <w:r w:rsidRPr="00AD4795">
                    <w:t>En liste over alle overvågningsplaner og procedurer,</w:t>
                  </w:r>
                  <w:r w:rsidR="00B610B7">
                    <w:t xml:space="preserve"> arkiveres i mappen O:\CO2-overvågning.</w:t>
                  </w:r>
                </w:p>
                <w:p w:rsidR="00DC0C8A" w:rsidRDefault="00B610B7" w:rsidP="009F03B4">
                  <w:pPr>
                    <w:pStyle w:val="Listeafsnit"/>
                    <w:keepNext/>
                    <w:keepLines/>
                    <w:numPr>
                      <w:ilvl w:val="0"/>
                      <w:numId w:val="11"/>
                    </w:numPr>
                  </w:pPr>
                  <w:r>
                    <w:t>D</w:t>
                  </w:r>
                  <w:r w:rsidRPr="00AD4795">
                    <w:t>okumentation for ansvarsfordelinge</w:t>
                  </w:r>
                  <w:r>
                    <w:t xml:space="preserve">n </w:t>
                  </w:r>
                  <w:r w:rsidRPr="00AD4795">
                    <w:t xml:space="preserve">(bilag </w:t>
                  </w:r>
                  <w:r w:rsidR="00E278C5">
                    <w:t>A</w:t>
                  </w:r>
                  <w:r>
                    <w:t>), arkiveres i mappen O:\Ansvarsfordeling</w:t>
                  </w:r>
                  <w:r w:rsidRPr="00AD4795">
                    <w:t xml:space="preserve"> </w:t>
                  </w:r>
                </w:p>
                <w:p w:rsidR="00B610B7" w:rsidRDefault="00B610B7" w:rsidP="009F03B4">
                  <w:pPr>
                    <w:pStyle w:val="Listeafsnit"/>
                    <w:keepNext/>
                    <w:keepLines/>
                    <w:numPr>
                      <w:ilvl w:val="0"/>
                      <w:numId w:val="11"/>
                    </w:numPr>
                  </w:pPr>
                  <w:r>
                    <w:t>Risikovurdering, hvis relevant, arkiveres i mappen O:\CO2-overvågning.</w:t>
                  </w:r>
                </w:p>
                <w:p w:rsidR="00B610B7" w:rsidRDefault="00B610B7" w:rsidP="009F03B4">
                  <w:pPr>
                    <w:pStyle w:val="Listeafsnit"/>
                    <w:keepNext/>
                    <w:keepLines/>
                    <w:numPr>
                      <w:ilvl w:val="0"/>
                      <w:numId w:val="11"/>
                    </w:numPr>
                  </w:pPr>
                  <w:r>
                    <w:t>Forbedringsrapporter, hvis relevant, arkiveres i mappen O:\CO2-overvågning</w:t>
                  </w:r>
                </w:p>
                <w:p w:rsidR="00B610B7" w:rsidRDefault="00B610B7" w:rsidP="009F03B4">
                  <w:pPr>
                    <w:pStyle w:val="Listeafsnit"/>
                    <w:keepNext/>
                    <w:keepLines/>
                    <w:numPr>
                      <w:ilvl w:val="0"/>
                      <w:numId w:val="11"/>
                    </w:numPr>
                  </w:pPr>
                  <w:r>
                    <w:t>Usikkerhedsvurderinger, hvis relevant, arkiveres i mappen O:\CO2-overvågning</w:t>
                  </w:r>
                </w:p>
                <w:p w:rsidR="00752EE4" w:rsidRDefault="00752EE4" w:rsidP="009F03B4">
                  <w:pPr>
                    <w:pStyle w:val="Listeafsnit"/>
                    <w:keepNext/>
                    <w:keepLines/>
                    <w:numPr>
                      <w:ilvl w:val="0"/>
                      <w:numId w:val="11"/>
                    </w:numPr>
                  </w:pPr>
                  <w:r>
                    <w:t>De årlige udledningsrapporter og verifikationsrapporter, arkiveres i mappen O: CO2-rapportering.</w:t>
                  </w:r>
                </w:p>
                <w:p w:rsidR="00DC0C8A" w:rsidRDefault="00B610B7" w:rsidP="009F03B4">
                  <w:pPr>
                    <w:pStyle w:val="Listeafsnit"/>
                    <w:keepNext/>
                    <w:keepLines/>
                    <w:numPr>
                      <w:ilvl w:val="0"/>
                      <w:numId w:val="11"/>
                    </w:numPr>
                  </w:pPr>
                  <w:r>
                    <w:t xml:space="preserve">Beskrivelse af evt. fejl og afvigelser (bilag </w:t>
                  </w:r>
                  <w:r w:rsidR="00E278C5">
                    <w:t>H</w:t>
                  </w:r>
                  <w:r>
                    <w:t>), arkiveres i mappen O:\CO2-overvågning</w:t>
                  </w:r>
                </w:p>
                <w:p w:rsidR="00705FAD" w:rsidRDefault="00B610B7" w:rsidP="009F03B4">
                  <w:pPr>
                    <w:pStyle w:val="Listeafsnit"/>
                    <w:keepNext/>
                    <w:keepLines/>
                    <w:numPr>
                      <w:ilvl w:val="0"/>
                      <w:numId w:val="11"/>
                    </w:numPr>
                  </w:pPr>
                  <w:r>
                    <w:t xml:space="preserve">Resultater af kontrol af måleinstrumenter (bilag </w:t>
                  </w:r>
                  <w:r w:rsidR="00E278C5">
                    <w:t>E</w:t>
                  </w:r>
                  <w:r>
                    <w:t>), arkiveres i mappen O:\CO2-overvågning</w:t>
                  </w:r>
                </w:p>
                <w:p w:rsidR="002320B2" w:rsidRDefault="002320B2" w:rsidP="009F03B4">
                  <w:pPr>
                    <w:pStyle w:val="Listeafsnit"/>
                    <w:keepNext/>
                    <w:keepLines/>
                    <w:numPr>
                      <w:ilvl w:val="0"/>
                      <w:numId w:val="11"/>
                    </w:numPr>
                  </w:pPr>
                  <w:r>
                    <w:t>Brændelsfakuraer, registreringer af målinger mv. arkiveres i mappen xxxx</w:t>
                  </w:r>
                </w:p>
                <w:p w:rsidR="00C676F8" w:rsidRDefault="00C676F8" w:rsidP="00C676F8">
                  <w:pPr>
                    <w:pStyle w:val="Listeafsnit"/>
                    <w:keepNext/>
                    <w:keepLines/>
                  </w:pPr>
                </w:p>
                <w:p w:rsidR="00C676F8" w:rsidRPr="00AD4795" w:rsidRDefault="00C676F8" w:rsidP="007F2B05">
                  <w:pPr>
                    <w:keepNext/>
                    <w:keepLines/>
                    <w:tabs>
                      <w:tab w:val="left" w:pos="318"/>
                    </w:tabs>
                  </w:pPr>
                  <w:r>
                    <w:t xml:space="preserve">Dokumenter </w:t>
                  </w:r>
                  <w:r w:rsidR="00943592">
                    <w:t xml:space="preserve">under </w:t>
                  </w:r>
                  <w:r>
                    <w:t xml:space="preserve">ad 1) opbevares </w:t>
                  </w:r>
                  <w:r w:rsidR="007F2B05">
                    <w:t xml:space="preserve">fra 3. kvoteperiode </w:t>
                  </w:r>
                  <w:r>
                    <w:t>også i Energistyrelsens Online system</w:t>
                  </w:r>
                  <w:r w:rsidR="007F2B05">
                    <w:t>, hvor verifikator og [stillingsbetegnelse] har adgang til.</w:t>
                  </w:r>
                </w:p>
                <w:p w:rsidR="00EC2E01" w:rsidRDefault="00EC2E01" w:rsidP="00220B09">
                  <w:pPr>
                    <w:keepNext/>
                    <w:keepLines/>
                    <w:rPr>
                      <w:b/>
                      <w:sz w:val="24"/>
                      <w:szCs w:val="24"/>
                    </w:rPr>
                  </w:pPr>
                </w:p>
                <w:p w:rsidR="007507A3" w:rsidRDefault="007507A3" w:rsidP="00C676F8">
                  <w:pPr>
                    <w:keepNext/>
                    <w:keepLines/>
                    <w:rPr>
                      <w:b/>
                      <w:sz w:val="24"/>
                      <w:szCs w:val="24"/>
                    </w:rPr>
                  </w:pPr>
                </w:p>
              </w:tc>
            </w:tr>
          </w:tbl>
          <w:p w:rsidR="007507A3" w:rsidRDefault="00C81C32" w:rsidP="00C81C32">
            <w:pPr>
              <w:pStyle w:val="Listeafsnit"/>
              <w:tabs>
                <w:tab w:val="left" w:pos="5909"/>
              </w:tabs>
              <w:ind w:left="1080"/>
              <w:rPr>
                <w:b/>
                <w:sz w:val="24"/>
                <w:szCs w:val="24"/>
              </w:rPr>
            </w:pPr>
            <w:r>
              <w:rPr>
                <w:b/>
                <w:sz w:val="24"/>
                <w:szCs w:val="24"/>
              </w:rPr>
              <w:tab/>
            </w:r>
          </w:p>
          <w:p w:rsidR="00F6659B" w:rsidRPr="00F73269" w:rsidRDefault="00F6659B" w:rsidP="007507A3">
            <w:pPr>
              <w:spacing w:after="0" w:line="240" w:lineRule="auto"/>
              <w:rPr>
                <w:rFonts w:ascii="Arial" w:eastAsia="Times New Roman" w:hAnsi="Arial" w:cs="Arial"/>
                <w:b/>
                <w:bCs/>
                <w:sz w:val="20"/>
                <w:szCs w:val="20"/>
                <w:lang w:eastAsia="da-DK"/>
              </w:rPr>
            </w:pPr>
          </w:p>
        </w:tc>
      </w:tr>
    </w:tbl>
    <w:p w:rsidR="00AC24DF" w:rsidRDefault="00AC24DF" w:rsidP="00BB456C">
      <w:pPr>
        <w:pStyle w:val="Overskrift2"/>
      </w:pPr>
    </w:p>
    <w:p w:rsidR="00AC24DF" w:rsidRDefault="00AC24DF" w:rsidP="00AC24DF">
      <w:pPr>
        <w:rPr>
          <w:rFonts w:ascii="Calibri" w:eastAsia="Times New Roman" w:hAnsi="Calibri" w:cs="Times New Roman"/>
          <w:sz w:val="24"/>
          <w:szCs w:val="24"/>
          <w:lang w:eastAsia="da-DK"/>
        </w:rPr>
      </w:pPr>
      <w:r>
        <w:br w:type="page"/>
      </w:r>
    </w:p>
    <w:p w:rsidR="000E5216" w:rsidRPr="002942E9" w:rsidRDefault="000E5216" w:rsidP="00BB456C">
      <w:pPr>
        <w:pStyle w:val="Overskrift2"/>
      </w:pPr>
      <w:bookmarkStart w:id="13" w:name="_Toc459104414"/>
      <w:r w:rsidRPr="002942E9">
        <w:lastRenderedPageBreak/>
        <w:t>BILAG A</w:t>
      </w:r>
      <w:r w:rsidR="00AC2E25">
        <w:t>.</w:t>
      </w:r>
      <w:r w:rsidRPr="002942E9">
        <w:t xml:space="preserve"> </w:t>
      </w:r>
      <w:r w:rsidR="000539CD">
        <w:t xml:space="preserve"> </w:t>
      </w:r>
      <w:r w:rsidRPr="002942E9">
        <w:t xml:space="preserve">Eksempel på oversigt over </w:t>
      </w:r>
      <w:r w:rsidR="00F52C5C" w:rsidRPr="002942E9">
        <w:t xml:space="preserve">placering </w:t>
      </w:r>
      <w:r w:rsidR="0052614C" w:rsidRPr="002942E9">
        <w:t xml:space="preserve">af ansvarsområder for </w:t>
      </w:r>
      <w:r w:rsidRPr="002942E9">
        <w:t>personale</w:t>
      </w:r>
      <w:bookmarkEnd w:id="13"/>
      <w:r w:rsidRPr="002942E9">
        <w:t xml:space="preserve"> </w:t>
      </w:r>
    </w:p>
    <w:tbl>
      <w:tblPr>
        <w:tblStyle w:val="Tabel-Gitter"/>
        <w:tblW w:w="0" w:type="auto"/>
        <w:tblInd w:w="108" w:type="dxa"/>
        <w:tblLook w:val="04A0" w:firstRow="1" w:lastRow="0" w:firstColumn="1" w:lastColumn="0" w:noHBand="0" w:noVBand="1"/>
      </w:tblPr>
      <w:tblGrid>
        <w:gridCol w:w="2366"/>
        <w:gridCol w:w="2737"/>
        <w:gridCol w:w="4217"/>
      </w:tblGrid>
      <w:tr w:rsidR="0030460A" w:rsidRPr="001723D5" w:rsidTr="002C0719">
        <w:tc>
          <w:tcPr>
            <w:tcW w:w="2366" w:type="dxa"/>
            <w:shd w:val="clear" w:color="auto" w:fill="B8CCE4" w:themeFill="accent1" w:themeFillTint="66"/>
          </w:tcPr>
          <w:p w:rsidR="0030460A" w:rsidRPr="001723D5" w:rsidRDefault="0030460A" w:rsidP="00C71764">
            <w:r w:rsidRPr="001723D5">
              <w:t>Jobbetegnelse/stilling</w:t>
            </w:r>
          </w:p>
        </w:tc>
        <w:tc>
          <w:tcPr>
            <w:tcW w:w="2737" w:type="dxa"/>
            <w:shd w:val="clear" w:color="auto" w:fill="B8CCE4" w:themeFill="accent1" w:themeFillTint="66"/>
          </w:tcPr>
          <w:p w:rsidR="0030460A" w:rsidRPr="001723D5" w:rsidRDefault="0030460A" w:rsidP="00C71764">
            <w:r w:rsidRPr="001723D5">
              <w:t>Navn</w:t>
            </w:r>
          </w:p>
        </w:tc>
        <w:tc>
          <w:tcPr>
            <w:tcW w:w="4217" w:type="dxa"/>
            <w:shd w:val="clear" w:color="auto" w:fill="B8CCE4" w:themeFill="accent1" w:themeFillTint="66"/>
          </w:tcPr>
          <w:p w:rsidR="0030460A" w:rsidRPr="001723D5" w:rsidRDefault="0030460A" w:rsidP="00C71764">
            <w:r w:rsidRPr="001723D5">
              <w:t>Ansvar</w:t>
            </w:r>
            <w:r w:rsidR="0052614C" w:rsidRPr="001723D5">
              <w:t xml:space="preserve"> for opgave:</w:t>
            </w:r>
          </w:p>
        </w:tc>
      </w:tr>
      <w:tr w:rsidR="0030460A" w:rsidTr="002C0719">
        <w:tc>
          <w:tcPr>
            <w:tcW w:w="2366" w:type="dxa"/>
          </w:tcPr>
          <w:p w:rsidR="0030460A" w:rsidRDefault="0030460A" w:rsidP="00C71764">
            <w:pPr>
              <w:rPr>
                <w:b/>
                <w:sz w:val="24"/>
                <w:szCs w:val="24"/>
              </w:rPr>
            </w:pPr>
          </w:p>
        </w:tc>
        <w:tc>
          <w:tcPr>
            <w:tcW w:w="2737" w:type="dxa"/>
          </w:tcPr>
          <w:p w:rsidR="0030460A" w:rsidRDefault="0030460A" w:rsidP="00C71764">
            <w:pPr>
              <w:rPr>
                <w:b/>
                <w:sz w:val="24"/>
                <w:szCs w:val="24"/>
              </w:rPr>
            </w:pPr>
          </w:p>
        </w:tc>
        <w:tc>
          <w:tcPr>
            <w:tcW w:w="4217" w:type="dxa"/>
          </w:tcPr>
          <w:p w:rsidR="0030460A" w:rsidRPr="00FB4CAC" w:rsidRDefault="000A6923" w:rsidP="000539CD">
            <w:r w:rsidRPr="00FB4CAC">
              <w:t>Regelmæssig evaluering af overvågningsplanens relevans (procedure</w:t>
            </w:r>
            <w:r w:rsidR="0052614C" w:rsidRPr="00FB4CAC">
              <w:t xml:space="preserve"> </w:t>
            </w:r>
            <w:r w:rsidRPr="00FB4CAC">
              <w:t xml:space="preserve">b) </w:t>
            </w:r>
          </w:p>
        </w:tc>
      </w:tr>
      <w:tr w:rsidR="0030460A" w:rsidTr="002C0719">
        <w:tc>
          <w:tcPr>
            <w:tcW w:w="2366" w:type="dxa"/>
          </w:tcPr>
          <w:p w:rsidR="0030460A" w:rsidRDefault="0030460A" w:rsidP="00C71764">
            <w:pPr>
              <w:rPr>
                <w:b/>
                <w:sz w:val="24"/>
                <w:szCs w:val="24"/>
              </w:rPr>
            </w:pPr>
          </w:p>
        </w:tc>
        <w:tc>
          <w:tcPr>
            <w:tcW w:w="2737" w:type="dxa"/>
          </w:tcPr>
          <w:p w:rsidR="0030460A" w:rsidRDefault="0030460A" w:rsidP="00C71764">
            <w:pPr>
              <w:rPr>
                <w:b/>
                <w:sz w:val="24"/>
                <w:szCs w:val="24"/>
              </w:rPr>
            </w:pPr>
          </w:p>
        </w:tc>
        <w:tc>
          <w:tcPr>
            <w:tcW w:w="4217" w:type="dxa"/>
          </w:tcPr>
          <w:p w:rsidR="0030460A" w:rsidRPr="00FB4CAC" w:rsidRDefault="00FB4CAC" w:rsidP="000539CD">
            <w:r w:rsidRPr="00FB4CAC">
              <w:t>Procedure for</w:t>
            </w:r>
            <w:r w:rsidR="0052614C" w:rsidRPr="00FB4CAC">
              <w:t xml:space="preserve"> datastrømsaktiviteter </w:t>
            </w:r>
            <w:r w:rsidR="000539CD">
              <w:t>(c)</w:t>
            </w:r>
          </w:p>
        </w:tc>
      </w:tr>
      <w:tr w:rsidR="0030460A" w:rsidTr="002C0719">
        <w:tc>
          <w:tcPr>
            <w:tcW w:w="2366" w:type="dxa"/>
          </w:tcPr>
          <w:p w:rsidR="0030460A" w:rsidRDefault="0030460A" w:rsidP="00C71764">
            <w:pPr>
              <w:rPr>
                <w:b/>
                <w:sz w:val="24"/>
                <w:szCs w:val="24"/>
              </w:rPr>
            </w:pPr>
          </w:p>
        </w:tc>
        <w:tc>
          <w:tcPr>
            <w:tcW w:w="2737" w:type="dxa"/>
          </w:tcPr>
          <w:p w:rsidR="0030460A" w:rsidRDefault="0030460A" w:rsidP="00C71764">
            <w:pPr>
              <w:rPr>
                <w:b/>
                <w:sz w:val="24"/>
                <w:szCs w:val="24"/>
              </w:rPr>
            </w:pPr>
          </w:p>
        </w:tc>
        <w:tc>
          <w:tcPr>
            <w:tcW w:w="4217" w:type="dxa"/>
          </w:tcPr>
          <w:p w:rsidR="0052614C" w:rsidRPr="00FB4CAC" w:rsidRDefault="00121A22" w:rsidP="000539CD">
            <w:pPr>
              <w:rPr>
                <w:b/>
              </w:rPr>
            </w:pPr>
            <w:r w:rsidRPr="00FB4CAC">
              <w:t>V</w:t>
            </w:r>
            <w:r w:rsidR="0052614C" w:rsidRPr="00FB4CAC">
              <w:t xml:space="preserve">urdering af risici forbundet med processen og risici forbundet med kontrolaktiviteter (procedure </w:t>
            </w:r>
            <w:r w:rsidR="000539CD">
              <w:t>d</w:t>
            </w:r>
            <w:r w:rsidR="0052614C" w:rsidRPr="00FB4CAC">
              <w:t>)</w:t>
            </w:r>
          </w:p>
        </w:tc>
      </w:tr>
      <w:tr w:rsidR="0052614C" w:rsidTr="002C0719">
        <w:tc>
          <w:tcPr>
            <w:tcW w:w="2366" w:type="dxa"/>
          </w:tcPr>
          <w:p w:rsidR="0052614C" w:rsidRDefault="0052614C" w:rsidP="00C71764">
            <w:pPr>
              <w:rPr>
                <w:b/>
                <w:sz w:val="24"/>
                <w:szCs w:val="24"/>
              </w:rPr>
            </w:pPr>
          </w:p>
        </w:tc>
        <w:tc>
          <w:tcPr>
            <w:tcW w:w="2737" w:type="dxa"/>
          </w:tcPr>
          <w:p w:rsidR="0052614C" w:rsidRDefault="0052614C" w:rsidP="00C71764">
            <w:pPr>
              <w:rPr>
                <w:b/>
                <w:sz w:val="24"/>
                <w:szCs w:val="24"/>
              </w:rPr>
            </w:pPr>
          </w:p>
        </w:tc>
        <w:tc>
          <w:tcPr>
            <w:tcW w:w="4217" w:type="dxa"/>
          </w:tcPr>
          <w:p w:rsidR="0052614C" w:rsidRPr="00FB4CAC" w:rsidRDefault="0052614C" w:rsidP="000539CD">
            <w:r w:rsidRPr="00FB4CAC">
              <w:t>Kvalitetssikring af måleudstyr (</w:t>
            </w:r>
            <w:r w:rsidR="000539CD">
              <w:t>procedure e)</w:t>
            </w:r>
          </w:p>
        </w:tc>
      </w:tr>
      <w:tr w:rsidR="0052614C" w:rsidTr="002C0719">
        <w:tc>
          <w:tcPr>
            <w:tcW w:w="2366" w:type="dxa"/>
          </w:tcPr>
          <w:p w:rsidR="0052614C" w:rsidRDefault="0052614C" w:rsidP="00C71764">
            <w:pPr>
              <w:rPr>
                <w:b/>
                <w:sz w:val="24"/>
                <w:szCs w:val="24"/>
              </w:rPr>
            </w:pPr>
          </w:p>
        </w:tc>
        <w:tc>
          <w:tcPr>
            <w:tcW w:w="2737" w:type="dxa"/>
          </w:tcPr>
          <w:p w:rsidR="0052614C" w:rsidRDefault="0052614C" w:rsidP="00C71764">
            <w:pPr>
              <w:rPr>
                <w:b/>
                <w:sz w:val="24"/>
                <w:szCs w:val="24"/>
              </w:rPr>
            </w:pPr>
          </w:p>
        </w:tc>
        <w:tc>
          <w:tcPr>
            <w:tcW w:w="4217" w:type="dxa"/>
          </w:tcPr>
          <w:p w:rsidR="0052614C" w:rsidRPr="00FB4CAC" w:rsidRDefault="0052614C" w:rsidP="000539CD">
            <w:r w:rsidRPr="00FB4CAC">
              <w:t xml:space="preserve">Kvalitetssikring af informationsteknologi, der anvendes til datastrømsaktiviteter (procedure </w:t>
            </w:r>
            <w:r w:rsidR="000539CD">
              <w:t>f</w:t>
            </w:r>
            <w:r w:rsidRPr="00FB4CAC">
              <w:t>)</w:t>
            </w:r>
          </w:p>
        </w:tc>
      </w:tr>
      <w:tr w:rsidR="0052614C" w:rsidTr="002C0719">
        <w:tc>
          <w:tcPr>
            <w:tcW w:w="2366" w:type="dxa"/>
          </w:tcPr>
          <w:p w:rsidR="0052614C" w:rsidRDefault="0052614C" w:rsidP="00C71764">
            <w:pPr>
              <w:rPr>
                <w:b/>
                <w:sz w:val="24"/>
                <w:szCs w:val="24"/>
              </w:rPr>
            </w:pPr>
          </w:p>
        </w:tc>
        <w:tc>
          <w:tcPr>
            <w:tcW w:w="2737" w:type="dxa"/>
          </w:tcPr>
          <w:p w:rsidR="0052614C" w:rsidRDefault="0052614C" w:rsidP="00C71764">
            <w:pPr>
              <w:rPr>
                <w:b/>
                <w:sz w:val="24"/>
                <w:szCs w:val="24"/>
              </w:rPr>
            </w:pPr>
          </w:p>
        </w:tc>
        <w:tc>
          <w:tcPr>
            <w:tcW w:w="4217" w:type="dxa"/>
          </w:tcPr>
          <w:p w:rsidR="0052614C" w:rsidRPr="00FB4CAC" w:rsidRDefault="000539CD" w:rsidP="000539CD">
            <w:r>
              <w:t>R</w:t>
            </w:r>
            <w:r w:rsidR="00F52C5C" w:rsidRPr="00FB4CAC">
              <w:t>egelmæssig intern gennemgang og validering af data (procedure</w:t>
            </w:r>
            <w:r>
              <w:t xml:space="preserve"> g</w:t>
            </w:r>
            <w:r w:rsidR="00F52C5C" w:rsidRPr="00FB4CAC">
              <w:t>)</w:t>
            </w:r>
          </w:p>
        </w:tc>
      </w:tr>
      <w:tr w:rsidR="0052614C" w:rsidTr="002C0719">
        <w:tc>
          <w:tcPr>
            <w:tcW w:w="2366" w:type="dxa"/>
          </w:tcPr>
          <w:p w:rsidR="0052614C" w:rsidRDefault="0052614C" w:rsidP="00C71764">
            <w:pPr>
              <w:rPr>
                <w:b/>
                <w:sz w:val="24"/>
                <w:szCs w:val="24"/>
              </w:rPr>
            </w:pPr>
          </w:p>
        </w:tc>
        <w:tc>
          <w:tcPr>
            <w:tcW w:w="2737" w:type="dxa"/>
          </w:tcPr>
          <w:p w:rsidR="0052614C" w:rsidRDefault="0052614C" w:rsidP="00C71764">
            <w:pPr>
              <w:rPr>
                <w:b/>
                <w:sz w:val="24"/>
                <w:szCs w:val="24"/>
              </w:rPr>
            </w:pPr>
          </w:p>
        </w:tc>
        <w:tc>
          <w:tcPr>
            <w:tcW w:w="4217" w:type="dxa"/>
          </w:tcPr>
          <w:p w:rsidR="0052614C" w:rsidRPr="00FB4CAC" w:rsidRDefault="00FB4CAC" w:rsidP="0052614C">
            <w:r w:rsidRPr="00FB4CAC">
              <w:t>Håndtering af fejl/afvigelser og korrigerende handlinger</w:t>
            </w:r>
            <w:r w:rsidR="000539CD">
              <w:t xml:space="preserve"> (procedure h)</w:t>
            </w:r>
          </w:p>
        </w:tc>
      </w:tr>
      <w:tr w:rsidR="0052614C" w:rsidTr="002C0719">
        <w:tc>
          <w:tcPr>
            <w:tcW w:w="2366" w:type="dxa"/>
          </w:tcPr>
          <w:p w:rsidR="0052614C" w:rsidRDefault="0052614C" w:rsidP="00C71764">
            <w:pPr>
              <w:rPr>
                <w:b/>
                <w:sz w:val="24"/>
                <w:szCs w:val="24"/>
              </w:rPr>
            </w:pPr>
          </w:p>
        </w:tc>
        <w:tc>
          <w:tcPr>
            <w:tcW w:w="2737" w:type="dxa"/>
          </w:tcPr>
          <w:p w:rsidR="0052614C" w:rsidRDefault="0052614C" w:rsidP="00C71764">
            <w:pPr>
              <w:rPr>
                <w:b/>
                <w:sz w:val="24"/>
                <w:szCs w:val="24"/>
              </w:rPr>
            </w:pPr>
          </w:p>
        </w:tc>
        <w:tc>
          <w:tcPr>
            <w:tcW w:w="4217" w:type="dxa"/>
          </w:tcPr>
          <w:p w:rsidR="0052614C" w:rsidRPr="00FB4CAC" w:rsidRDefault="00FB4CAC" w:rsidP="0052614C">
            <w:r w:rsidRPr="00FB4CAC">
              <w:t>Styring af registreringer og dokumentation</w:t>
            </w:r>
            <w:r w:rsidR="000539CD">
              <w:t xml:space="preserve"> (procedure j)</w:t>
            </w:r>
          </w:p>
        </w:tc>
      </w:tr>
    </w:tbl>
    <w:p w:rsidR="000E5216" w:rsidRDefault="000E5216" w:rsidP="00C71764">
      <w:pPr>
        <w:rPr>
          <w:b/>
          <w:sz w:val="24"/>
          <w:szCs w:val="24"/>
        </w:rPr>
      </w:pPr>
    </w:p>
    <w:p w:rsidR="000E5216" w:rsidRDefault="00992ACB" w:rsidP="00BB456C">
      <w:pPr>
        <w:pStyle w:val="Overskrift2"/>
      </w:pPr>
      <w:bookmarkStart w:id="14" w:name="_Toc459104415"/>
      <w:r>
        <w:t xml:space="preserve">BILAG </w:t>
      </w:r>
      <w:r w:rsidR="007A3C40">
        <w:t>B</w:t>
      </w:r>
      <w:r w:rsidR="00236AE0">
        <w:t>1</w:t>
      </w:r>
      <w:r w:rsidR="000539CD">
        <w:t xml:space="preserve">.  </w:t>
      </w:r>
      <w:r>
        <w:t xml:space="preserve">Dokumentation af ændringer </w:t>
      </w:r>
      <w:r w:rsidR="008777FB">
        <w:t xml:space="preserve">i emissionskilder og kildestrømme </w:t>
      </w:r>
      <w:r>
        <w:t>på produktionsenheden</w:t>
      </w:r>
      <w:bookmarkEnd w:id="14"/>
    </w:p>
    <w:tbl>
      <w:tblPr>
        <w:tblStyle w:val="Tabel-Gitter"/>
        <w:tblW w:w="0" w:type="auto"/>
        <w:tblLook w:val="04A0" w:firstRow="1" w:lastRow="0" w:firstColumn="1" w:lastColumn="0" w:noHBand="0" w:noVBand="1"/>
      </w:tblPr>
      <w:tblGrid>
        <w:gridCol w:w="534"/>
        <w:gridCol w:w="1501"/>
        <w:gridCol w:w="2066"/>
        <w:gridCol w:w="5327"/>
      </w:tblGrid>
      <w:tr w:rsidR="008777FB" w:rsidTr="001723D5">
        <w:tc>
          <w:tcPr>
            <w:tcW w:w="9428" w:type="dxa"/>
            <w:gridSpan w:val="4"/>
            <w:tcBorders>
              <w:bottom w:val="single" w:sz="4" w:space="0" w:color="auto"/>
            </w:tcBorders>
          </w:tcPr>
          <w:p w:rsidR="008777FB" w:rsidRPr="00371377" w:rsidRDefault="008777FB" w:rsidP="007F1EBE">
            <w:pPr>
              <w:keepNext/>
              <w:keepLines/>
            </w:pPr>
            <w:r w:rsidRPr="00371377">
              <w:rPr>
                <w:b/>
              </w:rPr>
              <w:t>Beskrivelse af produktionsenheden:</w:t>
            </w:r>
          </w:p>
          <w:p w:rsidR="008777FB" w:rsidRPr="00B77D10" w:rsidRDefault="007F1EBE" w:rsidP="007F1EBE">
            <w:pPr>
              <w:keepNext/>
              <w:keepLines/>
            </w:pPr>
            <w:r w:rsidRPr="00B77D10">
              <w:t>Anlægget består af 3 emissionskilder: 1 naturgasfyret kedel (11 MW indfyret</w:t>
            </w:r>
            <w:r w:rsidR="00B77D10">
              <w:t xml:space="preserve"> effekt</w:t>
            </w:r>
            <w:r w:rsidRPr="00B77D10">
              <w:t>)</w:t>
            </w:r>
            <w:r w:rsidR="00B77D10">
              <w:t>, 1</w:t>
            </w:r>
            <w:r w:rsidRPr="00B77D10">
              <w:t xml:space="preserve"> naturgasfyret motor (12,5 MW</w:t>
            </w:r>
            <w:r w:rsidR="00B77D10">
              <w:t xml:space="preserve"> indfyret effekt</w:t>
            </w:r>
            <w:r w:rsidRPr="00B77D10">
              <w:t>).</w:t>
            </w:r>
            <w:r w:rsidR="00B77D10" w:rsidRPr="00B77D10">
              <w:t xml:space="preserve"> 1 diselfyret nødgeneratør (0,3 MW indfyret effekt)</w:t>
            </w:r>
          </w:p>
          <w:p w:rsidR="00166E2D" w:rsidRPr="00B77D10" w:rsidRDefault="00166E2D" w:rsidP="007F1EBE">
            <w:pPr>
              <w:keepNext/>
              <w:keepLines/>
            </w:pPr>
          </w:p>
          <w:p w:rsidR="00A50D10" w:rsidRPr="00B77D10" w:rsidRDefault="00A50D10" w:rsidP="007F1EBE">
            <w:pPr>
              <w:keepNext/>
              <w:keepLines/>
            </w:pPr>
            <w:r w:rsidRPr="00B77D10">
              <w:t>Naturgasselskabet</w:t>
            </w:r>
            <w:r w:rsidR="00B77D10" w:rsidRPr="00B77D10">
              <w:t>s</w:t>
            </w:r>
            <w:r w:rsidRPr="00B77D10">
              <w:t xml:space="preserve"> mål</w:t>
            </w:r>
            <w:r w:rsidR="007822F1" w:rsidRPr="00B77D10">
              <w:t xml:space="preserve">inger </w:t>
            </w:r>
            <w:r w:rsidRPr="00B77D10">
              <w:t>anvendes til opgørelse af brændsel</w:t>
            </w:r>
            <w:r w:rsidR="00B77D10" w:rsidRPr="00B77D10">
              <w:t>s</w:t>
            </w:r>
            <w:r w:rsidRPr="00B77D10">
              <w:t>forbrug:</w:t>
            </w:r>
          </w:p>
          <w:p w:rsidR="007822F1" w:rsidRPr="00B77D10" w:rsidRDefault="002C0719" w:rsidP="009F03B4">
            <w:pPr>
              <w:pStyle w:val="Listeafsnit"/>
              <w:keepNext/>
              <w:keepLines/>
              <w:numPr>
                <w:ilvl w:val="0"/>
                <w:numId w:val="1"/>
              </w:numPr>
            </w:pPr>
            <w:r w:rsidRPr="00B77D10">
              <w:t>EAN nr. xxxx (kedel)  Måler er placeret i kedelhallen.</w:t>
            </w:r>
          </w:p>
          <w:p w:rsidR="007822F1" w:rsidRPr="00B77D10" w:rsidRDefault="002C0719" w:rsidP="009F03B4">
            <w:pPr>
              <w:pStyle w:val="Listeafsnit"/>
              <w:keepNext/>
              <w:keepLines/>
              <w:numPr>
                <w:ilvl w:val="0"/>
                <w:numId w:val="1"/>
              </w:numPr>
            </w:pPr>
            <w:r w:rsidRPr="00B77D10">
              <w:t>EAN nr. xxxx (motor) Måler er placeret i kedelhallen.</w:t>
            </w:r>
          </w:p>
          <w:p w:rsidR="002C0719" w:rsidRPr="00B77D10" w:rsidRDefault="002C0719" w:rsidP="007F1EBE">
            <w:pPr>
              <w:keepNext/>
              <w:keepLines/>
            </w:pPr>
          </w:p>
          <w:p w:rsidR="00A50D10" w:rsidRPr="00B77D10" w:rsidRDefault="00A50D10" w:rsidP="007F1EBE">
            <w:pPr>
              <w:keepNext/>
              <w:keepLines/>
            </w:pPr>
            <w:r w:rsidRPr="00B77D10">
              <w:t>Tank til diselfyret nødgenerator anvender pejlestok til måling af lagerændringer.</w:t>
            </w:r>
            <w:r w:rsidR="00B77D10">
              <w:t xml:space="preserve"> Pejlestokken er placeret ved diseltanken.</w:t>
            </w:r>
          </w:p>
          <w:p w:rsidR="007F1EBE" w:rsidRPr="00371377" w:rsidRDefault="007F1EBE" w:rsidP="007F1EBE">
            <w:pPr>
              <w:keepNext/>
              <w:keepLines/>
              <w:rPr>
                <w:b/>
              </w:rPr>
            </w:pPr>
          </w:p>
        </w:tc>
      </w:tr>
      <w:tr w:rsidR="008777FB" w:rsidTr="001723D5">
        <w:tc>
          <w:tcPr>
            <w:tcW w:w="534" w:type="dxa"/>
            <w:shd w:val="clear" w:color="auto" w:fill="B8CCE4" w:themeFill="accent1" w:themeFillTint="66"/>
          </w:tcPr>
          <w:p w:rsidR="008777FB" w:rsidRPr="001723D5" w:rsidRDefault="008777FB" w:rsidP="00C71764">
            <w:pPr>
              <w:rPr>
                <w:sz w:val="24"/>
                <w:szCs w:val="24"/>
              </w:rPr>
            </w:pPr>
            <w:r w:rsidRPr="001723D5">
              <w:rPr>
                <w:sz w:val="24"/>
                <w:szCs w:val="24"/>
              </w:rPr>
              <w:t>Nr.</w:t>
            </w:r>
          </w:p>
        </w:tc>
        <w:tc>
          <w:tcPr>
            <w:tcW w:w="1501" w:type="dxa"/>
            <w:shd w:val="clear" w:color="auto" w:fill="B8CCE4" w:themeFill="accent1" w:themeFillTint="66"/>
          </w:tcPr>
          <w:p w:rsidR="008777FB" w:rsidRPr="00371377" w:rsidRDefault="008777FB" w:rsidP="00C71764">
            <w:r w:rsidRPr="00371377">
              <w:t>Dato</w:t>
            </w:r>
          </w:p>
        </w:tc>
        <w:tc>
          <w:tcPr>
            <w:tcW w:w="2066" w:type="dxa"/>
            <w:shd w:val="clear" w:color="auto" w:fill="B8CCE4" w:themeFill="accent1" w:themeFillTint="66"/>
          </w:tcPr>
          <w:p w:rsidR="008777FB" w:rsidRPr="00371377" w:rsidRDefault="008777FB" w:rsidP="008777FB">
            <w:r w:rsidRPr="00371377">
              <w:t>Ændring</w:t>
            </w:r>
          </w:p>
        </w:tc>
        <w:tc>
          <w:tcPr>
            <w:tcW w:w="5327" w:type="dxa"/>
            <w:shd w:val="clear" w:color="auto" w:fill="B8CCE4" w:themeFill="accent1" w:themeFillTint="66"/>
          </w:tcPr>
          <w:p w:rsidR="008777FB" w:rsidRPr="00371377" w:rsidRDefault="007F1EBE" w:rsidP="00C71764">
            <w:r w:rsidRPr="00371377">
              <w:t>Konsekvens</w:t>
            </w:r>
            <w:r w:rsidR="008777FB" w:rsidRPr="00371377">
              <w:t xml:space="preserve"> af ændring</w:t>
            </w:r>
          </w:p>
        </w:tc>
      </w:tr>
      <w:tr w:rsidR="008777FB" w:rsidTr="001723D5">
        <w:tc>
          <w:tcPr>
            <w:tcW w:w="534" w:type="dxa"/>
          </w:tcPr>
          <w:p w:rsidR="008777FB" w:rsidRPr="008C4DBE" w:rsidRDefault="008777FB" w:rsidP="00C71764">
            <w:r w:rsidRPr="008C4DBE">
              <w:t>1</w:t>
            </w:r>
          </w:p>
        </w:tc>
        <w:tc>
          <w:tcPr>
            <w:tcW w:w="1501" w:type="dxa"/>
          </w:tcPr>
          <w:p w:rsidR="008777FB" w:rsidRPr="00371377" w:rsidRDefault="008777FB" w:rsidP="008C4DBE">
            <w:r w:rsidRPr="00371377">
              <w:t>01-04-201</w:t>
            </w:r>
            <w:r w:rsidR="008C4DBE" w:rsidRPr="00371377">
              <w:t>3</w:t>
            </w:r>
          </w:p>
        </w:tc>
        <w:tc>
          <w:tcPr>
            <w:tcW w:w="2066" w:type="dxa"/>
          </w:tcPr>
          <w:p w:rsidR="008777FB" w:rsidRPr="00371377" w:rsidRDefault="007F1EBE" w:rsidP="00C71764">
            <w:r w:rsidRPr="00371377">
              <w:t>Udskiftning af gasmåle</w:t>
            </w:r>
            <w:r w:rsidR="00CA1DD0" w:rsidRPr="00371377">
              <w:t>r</w:t>
            </w:r>
          </w:p>
        </w:tc>
        <w:tc>
          <w:tcPr>
            <w:tcW w:w="5327" w:type="dxa"/>
          </w:tcPr>
          <w:p w:rsidR="002C0719" w:rsidRDefault="00B4716C" w:rsidP="00C71764">
            <w:r w:rsidRPr="00371377">
              <w:t xml:space="preserve">Udskiftning </w:t>
            </w:r>
            <w:r w:rsidR="00D80EBF" w:rsidRPr="00371377">
              <w:t xml:space="preserve">af måler har ikke betydning for </w:t>
            </w:r>
            <w:r w:rsidR="00ED6C9D" w:rsidRPr="00371377">
              <w:t xml:space="preserve">målerens usikkerhed. </w:t>
            </w:r>
            <w:r w:rsidR="002C0719">
              <w:t xml:space="preserve">Der er ikke ændring i EAN-nr. </w:t>
            </w:r>
          </w:p>
          <w:p w:rsidR="00D80EBF" w:rsidRPr="00371377" w:rsidRDefault="00ED6C9D" w:rsidP="00C71764">
            <w:r w:rsidRPr="00371377">
              <w:t>Der skal</w:t>
            </w:r>
            <w:r w:rsidR="002C0719">
              <w:t xml:space="preserve"> derfor</w:t>
            </w:r>
            <w:r w:rsidRPr="00371377">
              <w:t xml:space="preserve"> ikke ske opdatering af overvågningsplan.</w:t>
            </w:r>
          </w:p>
          <w:p w:rsidR="008777FB" w:rsidRPr="00371377" w:rsidRDefault="008777FB" w:rsidP="007822F1"/>
        </w:tc>
      </w:tr>
      <w:tr w:rsidR="008777FB" w:rsidTr="001723D5">
        <w:tc>
          <w:tcPr>
            <w:tcW w:w="534" w:type="dxa"/>
          </w:tcPr>
          <w:p w:rsidR="008777FB" w:rsidRPr="008C4DBE" w:rsidRDefault="00CA1DD0" w:rsidP="00C71764">
            <w:r w:rsidRPr="008C4DBE">
              <w:t>2</w:t>
            </w:r>
          </w:p>
        </w:tc>
        <w:tc>
          <w:tcPr>
            <w:tcW w:w="1501" w:type="dxa"/>
          </w:tcPr>
          <w:p w:rsidR="008777FB" w:rsidRPr="00371377" w:rsidRDefault="00CA1DD0" w:rsidP="008C4DBE">
            <w:r w:rsidRPr="00371377">
              <w:t>03-05-201</w:t>
            </w:r>
            <w:r w:rsidR="008C4DBE" w:rsidRPr="00371377">
              <w:t>3</w:t>
            </w:r>
          </w:p>
        </w:tc>
        <w:tc>
          <w:tcPr>
            <w:tcW w:w="2066" w:type="dxa"/>
          </w:tcPr>
          <w:p w:rsidR="008777FB" w:rsidRPr="00371377" w:rsidRDefault="00CA1DD0" w:rsidP="00C71764">
            <w:r w:rsidRPr="00371377">
              <w:t>Udskiftning af kedel</w:t>
            </w:r>
          </w:p>
        </w:tc>
        <w:tc>
          <w:tcPr>
            <w:tcW w:w="5327" w:type="dxa"/>
          </w:tcPr>
          <w:p w:rsidR="008777FB" w:rsidRPr="00371377" w:rsidRDefault="008C4DBE" w:rsidP="008C4DBE">
            <w:r w:rsidRPr="00371377">
              <w:t>Ked</w:t>
            </w:r>
            <w:r w:rsidR="007822F1" w:rsidRPr="00371377">
              <w:t>l</w:t>
            </w:r>
            <w:r w:rsidRPr="00371377">
              <w:t>er er indberettet til Energistyrelsen den 03-05-2013. ved at ny kedel er indført i overvågningsplanen.</w:t>
            </w:r>
          </w:p>
          <w:p w:rsidR="000539CD" w:rsidRPr="00371377" w:rsidRDefault="00131CBB" w:rsidP="008C4DBE">
            <w:r w:rsidRPr="00371377">
              <w:t>Kedlen er større, men kapacitetsændringen er så lille, at den ikke udløser kvoter. Energistyrelsen er kontaktet, og har bekræftet dette.</w:t>
            </w:r>
          </w:p>
        </w:tc>
      </w:tr>
      <w:tr w:rsidR="008777FB" w:rsidTr="001723D5">
        <w:tc>
          <w:tcPr>
            <w:tcW w:w="534" w:type="dxa"/>
          </w:tcPr>
          <w:p w:rsidR="008777FB" w:rsidRPr="00CA1DD0" w:rsidRDefault="008777FB" w:rsidP="00C71764">
            <w:pPr>
              <w:rPr>
                <w:sz w:val="24"/>
                <w:szCs w:val="24"/>
              </w:rPr>
            </w:pPr>
          </w:p>
        </w:tc>
        <w:tc>
          <w:tcPr>
            <w:tcW w:w="1501" w:type="dxa"/>
          </w:tcPr>
          <w:p w:rsidR="008777FB" w:rsidRPr="00CA1DD0" w:rsidRDefault="008777FB" w:rsidP="00C71764">
            <w:pPr>
              <w:rPr>
                <w:sz w:val="24"/>
                <w:szCs w:val="24"/>
              </w:rPr>
            </w:pPr>
          </w:p>
        </w:tc>
        <w:tc>
          <w:tcPr>
            <w:tcW w:w="2066" w:type="dxa"/>
          </w:tcPr>
          <w:p w:rsidR="008777FB" w:rsidRPr="00CA1DD0" w:rsidRDefault="008777FB" w:rsidP="00C71764">
            <w:pPr>
              <w:rPr>
                <w:sz w:val="24"/>
                <w:szCs w:val="24"/>
              </w:rPr>
            </w:pPr>
          </w:p>
        </w:tc>
        <w:tc>
          <w:tcPr>
            <w:tcW w:w="5327" w:type="dxa"/>
          </w:tcPr>
          <w:p w:rsidR="008777FB" w:rsidRPr="00CA1DD0" w:rsidRDefault="008777FB" w:rsidP="00C71764">
            <w:pPr>
              <w:rPr>
                <w:sz w:val="24"/>
                <w:szCs w:val="24"/>
              </w:rPr>
            </w:pPr>
          </w:p>
        </w:tc>
      </w:tr>
      <w:tr w:rsidR="008777FB" w:rsidTr="001723D5">
        <w:tc>
          <w:tcPr>
            <w:tcW w:w="534" w:type="dxa"/>
          </w:tcPr>
          <w:p w:rsidR="008777FB" w:rsidRPr="00CA1DD0" w:rsidRDefault="008777FB" w:rsidP="00C71764">
            <w:pPr>
              <w:rPr>
                <w:sz w:val="24"/>
                <w:szCs w:val="24"/>
              </w:rPr>
            </w:pPr>
          </w:p>
        </w:tc>
        <w:tc>
          <w:tcPr>
            <w:tcW w:w="1501" w:type="dxa"/>
          </w:tcPr>
          <w:p w:rsidR="008777FB" w:rsidRPr="00CA1DD0" w:rsidRDefault="008777FB" w:rsidP="00C71764">
            <w:pPr>
              <w:rPr>
                <w:sz w:val="24"/>
                <w:szCs w:val="24"/>
              </w:rPr>
            </w:pPr>
          </w:p>
        </w:tc>
        <w:tc>
          <w:tcPr>
            <w:tcW w:w="2066" w:type="dxa"/>
          </w:tcPr>
          <w:p w:rsidR="008777FB" w:rsidRPr="00CA1DD0" w:rsidRDefault="008777FB" w:rsidP="00C71764">
            <w:pPr>
              <w:rPr>
                <w:sz w:val="24"/>
                <w:szCs w:val="24"/>
              </w:rPr>
            </w:pPr>
          </w:p>
        </w:tc>
        <w:tc>
          <w:tcPr>
            <w:tcW w:w="5327" w:type="dxa"/>
          </w:tcPr>
          <w:p w:rsidR="008777FB" w:rsidRPr="00CA1DD0" w:rsidRDefault="008777FB" w:rsidP="00C71764">
            <w:pPr>
              <w:rPr>
                <w:sz w:val="24"/>
                <w:szCs w:val="24"/>
              </w:rPr>
            </w:pPr>
          </w:p>
        </w:tc>
      </w:tr>
      <w:tr w:rsidR="008777FB" w:rsidTr="001723D5">
        <w:tc>
          <w:tcPr>
            <w:tcW w:w="534" w:type="dxa"/>
          </w:tcPr>
          <w:p w:rsidR="008777FB" w:rsidRPr="00CA1DD0" w:rsidRDefault="008777FB" w:rsidP="00C71764">
            <w:pPr>
              <w:rPr>
                <w:sz w:val="24"/>
                <w:szCs w:val="24"/>
              </w:rPr>
            </w:pPr>
          </w:p>
        </w:tc>
        <w:tc>
          <w:tcPr>
            <w:tcW w:w="1501" w:type="dxa"/>
          </w:tcPr>
          <w:p w:rsidR="008777FB" w:rsidRPr="00CA1DD0" w:rsidRDefault="008777FB" w:rsidP="00C71764">
            <w:pPr>
              <w:rPr>
                <w:sz w:val="24"/>
                <w:szCs w:val="24"/>
              </w:rPr>
            </w:pPr>
          </w:p>
        </w:tc>
        <w:tc>
          <w:tcPr>
            <w:tcW w:w="2066" w:type="dxa"/>
          </w:tcPr>
          <w:p w:rsidR="008777FB" w:rsidRPr="00CA1DD0" w:rsidRDefault="008777FB" w:rsidP="00C71764">
            <w:pPr>
              <w:rPr>
                <w:sz w:val="24"/>
                <w:szCs w:val="24"/>
              </w:rPr>
            </w:pPr>
          </w:p>
        </w:tc>
        <w:tc>
          <w:tcPr>
            <w:tcW w:w="5327" w:type="dxa"/>
          </w:tcPr>
          <w:p w:rsidR="008777FB" w:rsidRPr="00CA1DD0" w:rsidRDefault="008777FB" w:rsidP="00C71764">
            <w:pPr>
              <w:rPr>
                <w:sz w:val="24"/>
                <w:szCs w:val="24"/>
              </w:rPr>
            </w:pPr>
          </w:p>
        </w:tc>
      </w:tr>
      <w:tr w:rsidR="008777FB" w:rsidTr="001723D5">
        <w:tc>
          <w:tcPr>
            <w:tcW w:w="534" w:type="dxa"/>
          </w:tcPr>
          <w:p w:rsidR="008777FB" w:rsidRPr="00CA1DD0" w:rsidRDefault="008777FB" w:rsidP="00C71764">
            <w:pPr>
              <w:rPr>
                <w:sz w:val="24"/>
                <w:szCs w:val="24"/>
              </w:rPr>
            </w:pPr>
          </w:p>
        </w:tc>
        <w:tc>
          <w:tcPr>
            <w:tcW w:w="1501" w:type="dxa"/>
          </w:tcPr>
          <w:p w:rsidR="008777FB" w:rsidRPr="00CA1DD0" w:rsidRDefault="008777FB" w:rsidP="00C71764">
            <w:pPr>
              <w:rPr>
                <w:sz w:val="24"/>
                <w:szCs w:val="24"/>
              </w:rPr>
            </w:pPr>
          </w:p>
        </w:tc>
        <w:tc>
          <w:tcPr>
            <w:tcW w:w="2066" w:type="dxa"/>
          </w:tcPr>
          <w:p w:rsidR="008777FB" w:rsidRPr="00CA1DD0" w:rsidRDefault="008777FB" w:rsidP="00C71764">
            <w:pPr>
              <w:rPr>
                <w:sz w:val="24"/>
                <w:szCs w:val="24"/>
              </w:rPr>
            </w:pPr>
          </w:p>
        </w:tc>
        <w:tc>
          <w:tcPr>
            <w:tcW w:w="5327" w:type="dxa"/>
          </w:tcPr>
          <w:p w:rsidR="008777FB" w:rsidRPr="00CA1DD0" w:rsidRDefault="008777FB" w:rsidP="00C71764">
            <w:pPr>
              <w:rPr>
                <w:sz w:val="24"/>
                <w:szCs w:val="24"/>
              </w:rPr>
            </w:pPr>
          </w:p>
        </w:tc>
      </w:tr>
    </w:tbl>
    <w:p w:rsidR="00992ACB" w:rsidRDefault="00992ACB" w:rsidP="00CA1DD0">
      <w:pPr>
        <w:rPr>
          <w:b/>
          <w:sz w:val="24"/>
          <w:szCs w:val="24"/>
        </w:rPr>
      </w:pPr>
    </w:p>
    <w:p w:rsidR="00236AE0" w:rsidRDefault="00236AE0" w:rsidP="00BB456C">
      <w:pPr>
        <w:pStyle w:val="Overskrift2"/>
      </w:pPr>
      <w:bookmarkStart w:id="15" w:name="_Toc459104416"/>
      <w:r>
        <w:lastRenderedPageBreak/>
        <w:t>BILAG B2</w:t>
      </w:r>
      <w:r w:rsidR="00131CBB">
        <w:t xml:space="preserve">.  </w:t>
      </w:r>
      <w:r>
        <w:t>Dokumentation af kontrol af metodetrin</w:t>
      </w:r>
      <w:bookmarkEnd w:id="15"/>
    </w:p>
    <w:p w:rsidR="00016A3C" w:rsidRDefault="00016A3C" w:rsidP="00CA1DD0">
      <w:pPr>
        <w:rPr>
          <w:b/>
          <w:sz w:val="24"/>
          <w:szCs w:val="24"/>
        </w:rPr>
      </w:pPr>
      <w:r>
        <w:rPr>
          <w:b/>
          <w:sz w:val="24"/>
          <w:szCs w:val="24"/>
        </w:rPr>
        <w:t>[Eksempel på bilag</w:t>
      </w:r>
      <w:r w:rsidR="00D160B6">
        <w:rPr>
          <w:b/>
          <w:sz w:val="24"/>
          <w:szCs w:val="24"/>
        </w:rPr>
        <w:t xml:space="preserve"> - mangler</w:t>
      </w:r>
      <w:r>
        <w:rPr>
          <w:b/>
          <w:sz w:val="24"/>
          <w:szCs w:val="24"/>
        </w:rPr>
        <w:t>]</w:t>
      </w:r>
    </w:p>
    <w:p w:rsidR="001D6878" w:rsidRPr="001D6878" w:rsidRDefault="00131CBB" w:rsidP="00BB456C">
      <w:pPr>
        <w:pStyle w:val="Overskrift2"/>
      </w:pPr>
      <w:bookmarkStart w:id="16" w:name="_Toc459104417"/>
      <w:r>
        <w:t xml:space="preserve">BILAG E. </w:t>
      </w:r>
      <w:r w:rsidR="001D6878" w:rsidRPr="001D6878">
        <w:t>Kontrol af måleinstrumenter</w:t>
      </w:r>
      <w:bookmarkEnd w:id="16"/>
    </w:p>
    <w:tbl>
      <w:tblPr>
        <w:tblStyle w:val="Tabel-Gitter"/>
        <w:tblW w:w="0" w:type="auto"/>
        <w:tblInd w:w="-34" w:type="dxa"/>
        <w:tblLook w:val="04A0" w:firstRow="1" w:lastRow="0" w:firstColumn="1" w:lastColumn="0" w:noHBand="0" w:noVBand="1"/>
      </w:tblPr>
      <w:tblGrid>
        <w:gridCol w:w="1509"/>
        <w:gridCol w:w="3813"/>
        <w:gridCol w:w="2995"/>
        <w:gridCol w:w="1145"/>
      </w:tblGrid>
      <w:tr w:rsidR="001D6878" w:rsidTr="00F6659B">
        <w:tc>
          <w:tcPr>
            <w:tcW w:w="1560" w:type="dxa"/>
            <w:shd w:val="clear" w:color="auto" w:fill="B8CCE4" w:themeFill="accent1" w:themeFillTint="66"/>
          </w:tcPr>
          <w:p w:rsidR="001D6878" w:rsidRPr="00371377" w:rsidRDefault="001D6878" w:rsidP="00CA1DD0">
            <w:r w:rsidRPr="00371377">
              <w:t>Dato</w:t>
            </w:r>
          </w:p>
        </w:tc>
        <w:tc>
          <w:tcPr>
            <w:tcW w:w="3969" w:type="dxa"/>
            <w:shd w:val="clear" w:color="auto" w:fill="B8CCE4" w:themeFill="accent1" w:themeFillTint="66"/>
          </w:tcPr>
          <w:p w:rsidR="001D6878" w:rsidRPr="00371377" w:rsidRDefault="001D6878" w:rsidP="00CA1DD0">
            <w:r w:rsidRPr="00371377">
              <w:t>Beskrivelse af kontrol</w:t>
            </w:r>
          </w:p>
        </w:tc>
        <w:tc>
          <w:tcPr>
            <w:tcW w:w="3118" w:type="dxa"/>
            <w:shd w:val="clear" w:color="auto" w:fill="B8CCE4" w:themeFill="accent1" w:themeFillTint="66"/>
          </w:tcPr>
          <w:p w:rsidR="001D6878" w:rsidRPr="00371377" w:rsidRDefault="001D6878" w:rsidP="00CA1DD0">
            <w:r w:rsidRPr="00371377">
              <w:t>Resultat</w:t>
            </w:r>
          </w:p>
        </w:tc>
        <w:tc>
          <w:tcPr>
            <w:tcW w:w="1165" w:type="dxa"/>
            <w:shd w:val="clear" w:color="auto" w:fill="B8CCE4" w:themeFill="accent1" w:themeFillTint="66"/>
          </w:tcPr>
          <w:p w:rsidR="001D6878" w:rsidRPr="00371377" w:rsidRDefault="001D6878" w:rsidP="00CA1DD0">
            <w:r w:rsidRPr="00371377">
              <w:t>Udført af</w:t>
            </w:r>
          </w:p>
        </w:tc>
      </w:tr>
      <w:tr w:rsidR="001D6878" w:rsidTr="00F6659B">
        <w:tc>
          <w:tcPr>
            <w:tcW w:w="1560" w:type="dxa"/>
          </w:tcPr>
          <w:p w:rsidR="001D6878" w:rsidRPr="00371377" w:rsidRDefault="001D6878" w:rsidP="00CA1DD0">
            <w:r w:rsidRPr="00371377">
              <w:t>xx-xx-20xx</w:t>
            </w:r>
          </w:p>
        </w:tc>
        <w:tc>
          <w:tcPr>
            <w:tcW w:w="3969" w:type="dxa"/>
          </w:tcPr>
          <w:p w:rsidR="001D6878" w:rsidRPr="00371377" w:rsidRDefault="001D6878" w:rsidP="00CA1DD0"/>
        </w:tc>
        <w:tc>
          <w:tcPr>
            <w:tcW w:w="3118" w:type="dxa"/>
          </w:tcPr>
          <w:p w:rsidR="001D6878" w:rsidRDefault="001D6878" w:rsidP="00CA1DD0">
            <w:pPr>
              <w:rPr>
                <w:sz w:val="24"/>
                <w:szCs w:val="24"/>
              </w:rPr>
            </w:pPr>
          </w:p>
        </w:tc>
        <w:tc>
          <w:tcPr>
            <w:tcW w:w="1165" w:type="dxa"/>
          </w:tcPr>
          <w:p w:rsidR="001D6878" w:rsidRDefault="001D6878" w:rsidP="00CA1DD0">
            <w:pPr>
              <w:rPr>
                <w:sz w:val="24"/>
                <w:szCs w:val="24"/>
              </w:rPr>
            </w:pPr>
          </w:p>
        </w:tc>
      </w:tr>
      <w:tr w:rsidR="001D6878" w:rsidTr="00F6659B">
        <w:tc>
          <w:tcPr>
            <w:tcW w:w="1560" w:type="dxa"/>
          </w:tcPr>
          <w:p w:rsidR="001D6878" w:rsidRDefault="001D6878" w:rsidP="00CA1DD0">
            <w:pPr>
              <w:rPr>
                <w:sz w:val="24"/>
                <w:szCs w:val="24"/>
              </w:rPr>
            </w:pPr>
          </w:p>
        </w:tc>
        <w:tc>
          <w:tcPr>
            <w:tcW w:w="3969" w:type="dxa"/>
          </w:tcPr>
          <w:p w:rsidR="001D6878" w:rsidRDefault="001D6878" w:rsidP="00CA1DD0">
            <w:pPr>
              <w:rPr>
                <w:sz w:val="24"/>
                <w:szCs w:val="24"/>
              </w:rPr>
            </w:pPr>
          </w:p>
        </w:tc>
        <w:tc>
          <w:tcPr>
            <w:tcW w:w="3118" w:type="dxa"/>
          </w:tcPr>
          <w:p w:rsidR="001D6878" w:rsidRDefault="001D6878" w:rsidP="00CA1DD0">
            <w:pPr>
              <w:rPr>
                <w:sz w:val="24"/>
                <w:szCs w:val="24"/>
              </w:rPr>
            </w:pPr>
          </w:p>
        </w:tc>
        <w:tc>
          <w:tcPr>
            <w:tcW w:w="1165" w:type="dxa"/>
          </w:tcPr>
          <w:p w:rsidR="001D6878" w:rsidRDefault="001D6878" w:rsidP="00CA1DD0">
            <w:pPr>
              <w:rPr>
                <w:sz w:val="24"/>
                <w:szCs w:val="24"/>
              </w:rPr>
            </w:pPr>
          </w:p>
        </w:tc>
      </w:tr>
      <w:tr w:rsidR="001D6878" w:rsidTr="00F6659B">
        <w:tc>
          <w:tcPr>
            <w:tcW w:w="1560" w:type="dxa"/>
          </w:tcPr>
          <w:p w:rsidR="001D6878" w:rsidRDefault="001D6878" w:rsidP="00CA1DD0">
            <w:pPr>
              <w:rPr>
                <w:sz w:val="24"/>
                <w:szCs w:val="24"/>
              </w:rPr>
            </w:pPr>
          </w:p>
        </w:tc>
        <w:tc>
          <w:tcPr>
            <w:tcW w:w="3969" w:type="dxa"/>
          </w:tcPr>
          <w:p w:rsidR="001D6878" w:rsidRDefault="001D6878" w:rsidP="00CA1DD0">
            <w:pPr>
              <w:rPr>
                <w:sz w:val="24"/>
                <w:szCs w:val="24"/>
              </w:rPr>
            </w:pPr>
          </w:p>
        </w:tc>
        <w:tc>
          <w:tcPr>
            <w:tcW w:w="3118" w:type="dxa"/>
          </w:tcPr>
          <w:p w:rsidR="001D6878" w:rsidRDefault="001D6878" w:rsidP="00CA1DD0">
            <w:pPr>
              <w:rPr>
                <w:sz w:val="24"/>
                <w:szCs w:val="24"/>
              </w:rPr>
            </w:pPr>
          </w:p>
        </w:tc>
        <w:tc>
          <w:tcPr>
            <w:tcW w:w="1165" w:type="dxa"/>
          </w:tcPr>
          <w:p w:rsidR="001D6878" w:rsidRDefault="001D6878" w:rsidP="00CA1DD0">
            <w:pPr>
              <w:rPr>
                <w:sz w:val="24"/>
                <w:szCs w:val="24"/>
              </w:rPr>
            </w:pPr>
          </w:p>
        </w:tc>
      </w:tr>
      <w:tr w:rsidR="001D6878" w:rsidTr="00F6659B">
        <w:tc>
          <w:tcPr>
            <w:tcW w:w="1560" w:type="dxa"/>
          </w:tcPr>
          <w:p w:rsidR="001D6878" w:rsidRDefault="001D6878" w:rsidP="00CA1DD0">
            <w:pPr>
              <w:rPr>
                <w:sz w:val="24"/>
                <w:szCs w:val="24"/>
              </w:rPr>
            </w:pPr>
          </w:p>
        </w:tc>
        <w:tc>
          <w:tcPr>
            <w:tcW w:w="3969" w:type="dxa"/>
          </w:tcPr>
          <w:p w:rsidR="001D6878" w:rsidRDefault="001D6878" w:rsidP="00CA1DD0">
            <w:pPr>
              <w:rPr>
                <w:sz w:val="24"/>
                <w:szCs w:val="24"/>
              </w:rPr>
            </w:pPr>
          </w:p>
        </w:tc>
        <w:tc>
          <w:tcPr>
            <w:tcW w:w="3118" w:type="dxa"/>
          </w:tcPr>
          <w:p w:rsidR="001D6878" w:rsidRDefault="001D6878" w:rsidP="00CA1DD0">
            <w:pPr>
              <w:rPr>
                <w:sz w:val="24"/>
                <w:szCs w:val="24"/>
              </w:rPr>
            </w:pPr>
          </w:p>
        </w:tc>
        <w:tc>
          <w:tcPr>
            <w:tcW w:w="1165" w:type="dxa"/>
          </w:tcPr>
          <w:p w:rsidR="001D6878" w:rsidRDefault="001D6878" w:rsidP="00CA1DD0">
            <w:pPr>
              <w:rPr>
                <w:sz w:val="24"/>
                <w:szCs w:val="24"/>
              </w:rPr>
            </w:pPr>
          </w:p>
        </w:tc>
      </w:tr>
    </w:tbl>
    <w:p w:rsidR="001D6878" w:rsidRDefault="001D6878" w:rsidP="00CA1DD0">
      <w:pPr>
        <w:rPr>
          <w:sz w:val="24"/>
          <w:szCs w:val="24"/>
        </w:rPr>
      </w:pPr>
    </w:p>
    <w:p w:rsidR="001C5E8C" w:rsidRPr="002320B2" w:rsidRDefault="001C5E8C" w:rsidP="00BB456C">
      <w:pPr>
        <w:pStyle w:val="Overskrift2"/>
      </w:pPr>
      <w:bookmarkStart w:id="17" w:name="_Toc459104418"/>
      <w:r w:rsidRPr="002320B2">
        <w:t xml:space="preserve">BILAG </w:t>
      </w:r>
      <w:r w:rsidR="00131CBB">
        <w:t>G</w:t>
      </w:r>
      <w:r w:rsidRPr="002320B2">
        <w:t xml:space="preserve">. </w:t>
      </w:r>
      <w:r w:rsidR="00131CBB">
        <w:t xml:space="preserve"> </w:t>
      </w:r>
      <w:r w:rsidRPr="002320B2">
        <w:t>Dokumentation af intern kontrol af CO</w:t>
      </w:r>
      <w:r w:rsidRPr="006E6E28">
        <w:rPr>
          <w:vertAlign w:val="subscript"/>
        </w:rPr>
        <w:t>2</w:t>
      </w:r>
      <w:r w:rsidRPr="002320B2">
        <w:t>-overvågningen</w:t>
      </w:r>
      <w:bookmarkEnd w:id="17"/>
    </w:p>
    <w:tbl>
      <w:tblPr>
        <w:tblStyle w:val="Tabel-Gitter"/>
        <w:tblW w:w="0" w:type="auto"/>
        <w:tblLook w:val="04A0" w:firstRow="1" w:lastRow="0" w:firstColumn="1" w:lastColumn="0" w:noHBand="0" w:noVBand="1"/>
      </w:tblPr>
      <w:tblGrid>
        <w:gridCol w:w="4201"/>
        <w:gridCol w:w="2613"/>
        <w:gridCol w:w="1496"/>
        <w:gridCol w:w="1118"/>
      </w:tblGrid>
      <w:tr w:rsidR="001C5E8C" w:rsidTr="00770155">
        <w:trPr>
          <w:tblHeader/>
        </w:trPr>
        <w:tc>
          <w:tcPr>
            <w:tcW w:w="4201" w:type="dxa"/>
            <w:tcBorders>
              <w:bottom w:val="single" w:sz="4" w:space="0" w:color="auto"/>
            </w:tcBorders>
            <w:shd w:val="clear" w:color="auto" w:fill="B8CCE4" w:themeFill="accent1" w:themeFillTint="66"/>
          </w:tcPr>
          <w:p w:rsidR="001C5E8C" w:rsidRPr="001723D5" w:rsidRDefault="001C5E8C" w:rsidP="00CA1DD0">
            <w:r w:rsidRPr="001723D5">
              <w:t>Handling</w:t>
            </w:r>
          </w:p>
        </w:tc>
        <w:tc>
          <w:tcPr>
            <w:tcW w:w="2613" w:type="dxa"/>
            <w:tcBorders>
              <w:bottom w:val="single" w:sz="4" w:space="0" w:color="auto"/>
            </w:tcBorders>
            <w:shd w:val="clear" w:color="auto" w:fill="B8CCE4" w:themeFill="accent1" w:themeFillTint="66"/>
          </w:tcPr>
          <w:p w:rsidR="001C5E8C" w:rsidRPr="001723D5" w:rsidRDefault="001C5E8C" w:rsidP="00CA1DD0">
            <w:r w:rsidRPr="001723D5">
              <w:t xml:space="preserve">Bemærkninger </w:t>
            </w:r>
          </w:p>
        </w:tc>
        <w:tc>
          <w:tcPr>
            <w:tcW w:w="1496" w:type="dxa"/>
            <w:tcBorders>
              <w:bottom w:val="single" w:sz="4" w:space="0" w:color="auto"/>
            </w:tcBorders>
            <w:shd w:val="clear" w:color="auto" w:fill="B8CCE4" w:themeFill="accent1" w:themeFillTint="66"/>
          </w:tcPr>
          <w:p w:rsidR="001C5E8C" w:rsidRPr="001723D5" w:rsidRDefault="001C5E8C" w:rsidP="00CA1DD0">
            <w:r w:rsidRPr="001723D5">
              <w:t>Dato</w:t>
            </w:r>
          </w:p>
        </w:tc>
        <w:tc>
          <w:tcPr>
            <w:tcW w:w="1118" w:type="dxa"/>
            <w:tcBorders>
              <w:bottom w:val="single" w:sz="4" w:space="0" w:color="auto"/>
            </w:tcBorders>
            <w:shd w:val="clear" w:color="auto" w:fill="B8CCE4" w:themeFill="accent1" w:themeFillTint="66"/>
          </w:tcPr>
          <w:p w:rsidR="001C5E8C" w:rsidRPr="001723D5" w:rsidRDefault="001C5E8C" w:rsidP="00CA1DD0">
            <w:r w:rsidRPr="001723D5">
              <w:t>Initialer</w:t>
            </w:r>
          </w:p>
        </w:tc>
      </w:tr>
      <w:tr w:rsidR="00717149" w:rsidTr="00770155">
        <w:tc>
          <w:tcPr>
            <w:tcW w:w="9428" w:type="dxa"/>
            <w:gridSpan w:val="4"/>
            <w:shd w:val="clear" w:color="auto" w:fill="DBE5F1" w:themeFill="accent1" w:themeFillTint="33"/>
          </w:tcPr>
          <w:p w:rsidR="00717149" w:rsidRPr="00D12C7F" w:rsidRDefault="00840061" w:rsidP="00840061">
            <w:r>
              <w:t xml:space="preserve">Kontrol af data’s </w:t>
            </w:r>
            <w:r w:rsidR="00717149" w:rsidRPr="00D12C7F">
              <w:t>ful</w:t>
            </w:r>
            <w:r w:rsidR="00717149" w:rsidRPr="00D12C7F">
              <w:rPr>
                <w:shd w:val="clear" w:color="auto" w:fill="DBE5F1" w:themeFill="accent1" w:themeFillTint="33"/>
              </w:rPr>
              <w:t>dstændighed</w:t>
            </w:r>
          </w:p>
        </w:tc>
      </w:tr>
      <w:tr w:rsidR="007249FF" w:rsidTr="00770155">
        <w:tc>
          <w:tcPr>
            <w:tcW w:w="4201" w:type="dxa"/>
            <w:tcBorders>
              <w:bottom w:val="single" w:sz="4" w:space="0" w:color="auto"/>
            </w:tcBorders>
          </w:tcPr>
          <w:p w:rsidR="002263CF" w:rsidRPr="002263CF" w:rsidRDefault="00A41870" w:rsidP="007249FF">
            <w:pPr>
              <w:rPr>
                <w:i/>
              </w:rPr>
            </w:pPr>
            <w:r>
              <w:rPr>
                <w:i/>
              </w:rPr>
              <w:t>Tjek af p</w:t>
            </w:r>
            <w:r w:rsidR="006C6884">
              <w:rPr>
                <w:i/>
              </w:rPr>
              <w:t>roceduren for regelmæssig evaluering af overvågningens relevans</w:t>
            </w:r>
          </w:p>
          <w:p w:rsidR="00C4760C" w:rsidRPr="00C4760C" w:rsidRDefault="00C4760C" w:rsidP="007249FF">
            <w:pPr>
              <w:rPr>
                <w:i/>
              </w:rPr>
            </w:pPr>
            <w:r w:rsidRPr="00C4760C">
              <w:rPr>
                <w:i/>
              </w:rPr>
              <w:t>Ændringer:</w:t>
            </w:r>
          </w:p>
          <w:p w:rsidR="00D27842" w:rsidRDefault="00D27842" w:rsidP="007249FF">
            <w:r>
              <w:t>Er der ændringer i anlæg?</w:t>
            </w:r>
          </w:p>
          <w:p w:rsidR="00D27842" w:rsidRDefault="00D27842" w:rsidP="00D27842">
            <w:r>
              <w:t>Hvis ja:</w:t>
            </w:r>
          </w:p>
          <w:p w:rsidR="00D27842" w:rsidRDefault="00D27842" w:rsidP="009F03B4">
            <w:pPr>
              <w:pStyle w:val="Listeafsnit"/>
              <w:numPr>
                <w:ilvl w:val="0"/>
                <w:numId w:val="5"/>
              </w:numPr>
            </w:pPr>
            <w:r>
              <w:t>Er overvågningsplanen ændret?</w:t>
            </w:r>
          </w:p>
          <w:p w:rsidR="00D27842" w:rsidRDefault="00D27842" w:rsidP="009F03B4">
            <w:pPr>
              <w:pStyle w:val="Listeafsnit"/>
              <w:numPr>
                <w:ilvl w:val="0"/>
                <w:numId w:val="5"/>
              </w:numPr>
            </w:pPr>
            <w:r>
              <w:t>Har det betydning for kvotetildeling?</w:t>
            </w:r>
          </w:p>
          <w:p w:rsidR="004841DD" w:rsidRDefault="004841DD" w:rsidP="009F03B4">
            <w:pPr>
              <w:pStyle w:val="Listeafsnit"/>
              <w:numPr>
                <w:ilvl w:val="0"/>
                <w:numId w:val="8"/>
              </w:numPr>
            </w:pPr>
            <w:r>
              <w:t>Har det betydning for diagram over anlægget?</w:t>
            </w:r>
          </w:p>
          <w:p w:rsidR="007249FF" w:rsidRDefault="00D27842" w:rsidP="007249FF">
            <w:r>
              <w:t>Er der</w:t>
            </w:r>
            <w:r w:rsidR="007249FF">
              <w:t xml:space="preserve"> nye eller ændrede brændsler?</w:t>
            </w:r>
          </w:p>
          <w:p w:rsidR="00D27842" w:rsidRDefault="00D27842" w:rsidP="007249FF">
            <w:r>
              <w:t>Hvis ja:</w:t>
            </w:r>
          </w:p>
          <w:p w:rsidR="00D27842" w:rsidRDefault="00D27842" w:rsidP="009F03B4">
            <w:pPr>
              <w:pStyle w:val="Listeafsnit"/>
              <w:numPr>
                <w:ilvl w:val="0"/>
                <w:numId w:val="13"/>
              </w:numPr>
            </w:pPr>
            <w:r>
              <w:t>Er overvågningsplan opdateret?</w:t>
            </w:r>
          </w:p>
          <w:p w:rsidR="007249FF" w:rsidRDefault="007249FF" w:rsidP="009F03B4">
            <w:pPr>
              <w:pStyle w:val="Listeafsnit"/>
              <w:numPr>
                <w:ilvl w:val="0"/>
                <w:numId w:val="13"/>
              </w:numPr>
            </w:pPr>
            <w:r>
              <w:t>Er brændværdi herfra korrekt i beregninger?</w:t>
            </w:r>
          </w:p>
          <w:p w:rsidR="007249FF" w:rsidRDefault="007249FF" w:rsidP="009F03B4">
            <w:pPr>
              <w:pStyle w:val="Listeafsnit"/>
              <w:numPr>
                <w:ilvl w:val="0"/>
                <w:numId w:val="13"/>
              </w:numPr>
            </w:pPr>
            <w:r>
              <w:t>Er der etableret måling/beregning af forbrug?</w:t>
            </w:r>
          </w:p>
          <w:p w:rsidR="007249FF" w:rsidRDefault="007249FF" w:rsidP="009F03B4">
            <w:pPr>
              <w:numPr>
                <w:ilvl w:val="0"/>
                <w:numId w:val="13"/>
              </w:numPr>
            </w:pPr>
            <w:r>
              <w:t>Er beregninger af energi og emissioner korrekte?</w:t>
            </w:r>
            <w:r w:rsidR="00D27842">
              <w:t xml:space="preserve"> </w:t>
            </w:r>
          </w:p>
          <w:p w:rsidR="006E6E28" w:rsidRDefault="006E6E28" w:rsidP="006E6E28">
            <w:r>
              <w:t xml:space="preserve">Registreres alle målere? </w:t>
            </w:r>
          </w:p>
          <w:p w:rsidR="006E6E28" w:rsidRDefault="006E6E28" w:rsidP="006E6E28">
            <w:r>
              <w:t>Har der været målerudskiftning?</w:t>
            </w:r>
          </w:p>
          <w:p w:rsidR="006E6E28" w:rsidRDefault="006E6E28" w:rsidP="006E6E28">
            <w:pPr>
              <w:pStyle w:val="Listeafsnit"/>
              <w:numPr>
                <w:ilvl w:val="0"/>
                <w:numId w:val="4"/>
              </w:numPr>
            </w:pPr>
            <w:r>
              <w:t>Registreres som angivet i overvågningsplan mht. usikkerhed osv.?</w:t>
            </w:r>
          </w:p>
          <w:p w:rsidR="00C4760C" w:rsidRPr="00C4760C" w:rsidRDefault="00C4760C" w:rsidP="004841DD">
            <w:pPr>
              <w:rPr>
                <w:i/>
              </w:rPr>
            </w:pPr>
            <w:r w:rsidRPr="00C4760C">
              <w:rPr>
                <w:i/>
              </w:rPr>
              <w:t xml:space="preserve">Forbedringer </w:t>
            </w:r>
          </w:p>
          <w:p w:rsidR="004841DD" w:rsidRDefault="00C4760C" w:rsidP="009F03B4">
            <w:pPr>
              <w:pStyle w:val="Listeafsnit"/>
              <w:numPr>
                <w:ilvl w:val="0"/>
                <w:numId w:val="13"/>
              </w:numPr>
            </w:pPr>
            <w:r>
              <w:t>Er der forslag til forbedringer fra sidste verifikatorbesøg, som der ikke er fulgt op på?</w:t>
            </w:r>
          </w:p>
          <w:p w:rsidR="00777716" w:rsidRDefault="00777716" w:rsidP="009F03B4">
            <w:pPr>
              <w:pStyle w:val="Listeafsnit"/>
              <w:numPr>
                <w:ilvl w:val="0"/>
                <w:numId w:val="13"/>
              </w:numPr>
            </w:pPr>
            <w:r>
              <w:t>Er der andre forslag til forbedringer?</w:t>
            </w:r>
          </w:p>
          <w:p w:rsidR="00777716" w:rsidRPr="00D12C7F" w:rsidRDefault="00777716" w:rsidP="004841DD"/>
        </w:tc>
        <w:tc>
          <w:tcPr>
            <w:tcW w:w="2613" w:type="dxa"/>
            <w:tcBorders>
              <w:bottom w:val="single" w:sz="4" w:space="0" w:color="auto"/>
            </w:tcBorders>
          </w:tcPr>
          <w:p w:rsidR="007249FF" w:rsidRPr="00D12C7F" w:rsidRDefault="007249FF" w:rsidP="00CA1DD0"/>
        </w:tc>
        <w:tc>
          <w:tcPr>
            <w:tcW w:w="1496" w:type="dxa"/>
            <w:tcBorders>
              <w:bottom w:val="single" w:sz="4" w:space="0" w:color="auto"/>
            </w:tcBorders>
          </w:tcPr>
          <w:p w:rsidR="007249FF" w:rsidRPr="00D12C7F" w:rsidRDefault="007249FF" w:rsidP="00CA1DD0"/>
        </w:tc>
        <w:tc>
          <w:tcPr>
            <w:tcW w:w="1118" w:type="dxa"/>
            <w:tcBorders>
              <w:bottom w:val="single" w:sz="4" w:space="0" w:color="auto"/>
            </w:tcBorders>
          </w:tcPr>
          <w:p w:rsidR="007249FF" w:rsidRDefault="007249FF" w:rsidP="00CA1DD0">
            <w:pPr>
              <w:rPr>
                <w:sz w:val="24"/>
                <w:szCs w:val="24"/>
              </w:rPr>
            </w:pPr>
          </w:p>
        </w:tc>
      </w:tr>
      <w:tr w:rsidR="006C263A" w:rsidTr="00770155">
        <w:tc>
          <w:tcPr>
            <w:tcW w:w="4201" w:type="dxa"/>
            <w:tcBorders>
              <w:bottom w:val="single" w:sz="4" w:space="0" w:color="auto"/>
            </w:tcBorders>
          </w:tcPr>
          <w:p w:rsidR="006C263A" w:rsidRPr="00770155" w:rsidRDefault="002123FE" w:rsidP="006C263A">
            <w:pPr>
              <w:rPr>
                <w:i/>
              </w:rPr>
            </w:pPr>
            <w:r>
              <w:rPr>
                <w:i/>
              </w:rPr>
              <w:t>Følges proceduren for datastrømsaktiviteter</w:t>
            </w:r>
            <w:r w:rsidR="00C4760C">
              <w:rPr>
                <w:i/>
              </w:rPr>
              <w:t>?</w:t>
            </w:r>
            <w:r>
              <w:rPr>
                <w:i/>
              </w:rPr>
              <w:t xml:space="preserve"> herunder </w:t>
            </w:r>
            <w:r w:rsidR="006C263A" w:rsidRPr="00770155">
              <w:rPr>
                <w:i/>
              </w:rPr>
              <w:t>:</w:t>
            </w:r>
          </w:p>
          <w:p w:rsidR="00770155" w:rsidRPr="00D12C7F" w:rsidRDefault="00770155" w:rsidP="009F03B4">
            <w:pPr>
              <w:pStyle w:val="Listeafsnit"/>
              <w:numPr>
                <w:ilvl w:val="0"/>
                <w:numId w:val="4"/>
              </w:numPr>
              <w:ind w:left="426" w:hanging="426"/>
            </w:pPr>
            <w:r w:rsidRPr="00D12C7F">
              <w:t xml:space="preserve">Forefindes alle fakturaer fra året </w:t>
            </w:r>
            <w:r>
              <w:t xml:space="preserve">og for alle brændsler </w:t>
            </w:r>
            <w:r w:rsidRPr="00D12C7F">
              <w:t>i mappe på IT-systemet/evt. journalsystem?</w:t>
            </w:r>
          </w:p>
          <w:p w:rsidR="00770155" w:rsidRDefault="00770155" w:rsidP="009F03B4">
            <w:pPr>
              <w:numPr>
                <w:ilvl w:val="0"/>
                <w:numId w:val="4"/>
              </w:numPr>
              <w:ind w:left="426" w:hanging="426"/>
            </w:pPr>
            <w:r>
              <w:t>Er pejlinger noteret?</w:t>
            </w:r>
          </w:p>
          <w:p w:rsidR="006C263A" w:rsidRDefault="00D44A31" w:rsidP="009F03B4">
            <w:pPr>
              <w:pStyle w:val="Listeafsnit"/>
              <w:numPr>
                <w:ilvl w:val="0"/>
                <w:numId w:val="6"/>
              </w:numPr>
              <w:spacing w:after="120"/>
              <w:ind w:left="357" w:hanging="357"/>
            </w:pPr>
            <w:r>
              <w:lastRenderedPageBreak/>
              <w:t xml:space="preserve">Er beregningsmetode </w:t>
            </w:r>
            <w:r w:rsidR="006E6E28">
              <w:t xml:space="preserve">for CO2-udledning </w:t>
            </w:r>
            <w:r>
              <w:t>i overensstemmelse med overvågningsplan?</w:t>
            </w:r>
          </w:p>
        </w:tc>
        <w:tc>
          <w:tcPr>
            <w:tcW w:w="2613" w:type="dxa"/>
            <w:tcBorders>
              <w:bottom w:val="single" w:sz="4" w:space="0" w:color="auto"/>
            </w:tcBorders>
          </w:tcPr>
          <w:p w:rsidR="006C263A" w:rsidRPr="00D12C7F" w:rsidRDefault="006C263A" w:rsidP="00CA1DD0"/>
        </w:tc>
        <w:tc>
          <w:tcPr>
            <w:tcW w:w="1496" w:type="dxa"/>
            <w:tcBorders>
              <w:bottom w:val="single" w:sz="4" w:space="0" w:color="auto"/>
            </w:tcBorders>
          </w:tcPr>
          <w:p w:rsidR="006C263A" w:rsidRPr="00D12C7F" w:rsidRDefault="006C263A" w:rsidP="00CA1DD0"/>
        </w:tc>
        <w:tc>
          <w:tcPr>
            <w:tcW w:w="1118" w:type="dxa"/>
            <w:tcBorders>
              <w:bottom w:val="single" w:sz="4" w:space="0" w:color="auto"/>
            </w:tcBorders>
          </w:tcPr>
          <w:p w:rsidR="006C263A" w:rsidRDefault="006C263A" w:rsidP="00CA1DD0">
            <w:pPr>
              <w:rPr>
                <w:sz w:val="24"/>
                <w:szCs w:val="24"/>
              </w:rPr>
            </w:pPr>
          </w:p>
        </w:tc>
      </w:tr>
      <w:tr w:rsidR="00777716" w:rsidTr="00770155">
        <w:tc>
          <w:tcPr>
            <w:tcW w:w="4201" w:type="dxa"/>
            <w:tcBorders>
              <w:bottom w:val="single" w:sz="4" w:space="0" w:color="auto"/>
            </w:tcBorders>
          </w:tcPr>
          <w:p w:rsidR="00777716" w:rsidRDefault="00777716" w:rsidP="006C263A">
            <w:pPr>
              <w:rPr>
                <w:i/>
              </w:rPr>
            </w:pPr>
            <w:r>
              <w:rPr>
                <w:i/>
              </w:rPr>
              <w:lastRenderedPageBreak/>
              <w:t>Kvalitetssikring af målerudstyr</w:t>
            </w:r>
          </w:p>
          <w:p w:rsidR="00777716" w:rsidRDefault="00777716" w:rsidP="009F03B4">
            <w:pPr>
              <w:pStyle w:val="Listeafsnit"/>
              <w:numPr>
                <w:ilvl w:val="0"/>
                <w:numId w:val="6"/>
              </w:numPr>
            </w:pPr>
            <w:r>
              <w:t>Er måler kontrolleret i overensstemmelse med leverandørens specifikationer?</w:t>
            </w:r>
          </w:p>
          <w:p w:rsidR="00777716" w:rsidRPr="00371377" w:rsidRDefault="00777716" w:rsidP="009F03B4">
            <w:pPr>
              <w:pStyle w:val="Listeafsnit"/>
              <w:ind w:left="360"/>
              <w:rPr>
                <w:i/>
              </w:rPr>
            </w:pPr>
          </w:p>
        </w:tc>
        <w:tc>
          <w:tcPr>
            <w:tcW w:w="2613" w:type="dxa"/>
            <w:tcBorders>
              <w:bottom w:val="single" w:sz="4" w:space="0" w:color="auto"/>
            </w:tcBorders>
          </w:tcPr>
          <w:p w:rsidR="00777716" w:rsidRPr="00D12C7F" w:rsidRDefault="00777716" w:rsidP="00CA1DD0"/>
        </w:tc>
        <w:tc>
          <w:tcPr>
            <w:tcW w:w="1496" w:type="dxa"/>
            <w:tcBorders>
              <w:bottom w:val="single" w:sz="4" w:space="0" w:color="auto"/>
            </w:tcBorders>
          </w:tcPr>
          <w:p w:rsidR="00777716" w:rsidRPr="00D12C7F" w:rsidRDefault="00777716" w:rsidP="00CA1DD0"/>
        </w:tc>
        <w:tc>
          <w:tcPr>
            <w:tcW w:w="1118" w:type="dxa"/>
            <w:tcBorders>
              <w:bottom w:val="single" w:sz="4" w:space="0" w:color="auto"/>
            </w:tcBorders>
          </w:tcPr>
          <w:p w:rsidR="00777716" w:rsidRDefault="00777716" w:rsidP="00CA1DD0">
            <w:pPr>
              <w:rPr>
                <w:sz w:val="24"/>
                <w:szCs w:val="24"/>
              </w:rPr>
            </w:pPr>
          </w:p>
        </w:tc>
      </w:tr>
      <w:tr w:rsidR="00D44A31" w:rsidTr="00770155">
        <w:tc>
          <w:tcPr>
            <w:tcW w:w="4201" w:type="dxa"/>
            <w:tcBorders>
              <w:bottom w:val="single" w:sz="4" w:space="0" w:color="auto"/>
            </w:tcBorders>
          </w:tcPr>
          <w:p w:rsidR="00D44A31" w:rsidRDefault="00D44A31" w:rsidP="006C263A">
            <w:r>
              <w:rPr>
                <w:i/>
              </w:rPr>
              <w:t>Kvalitetsikring af informationsteknologi, herunder</w:t>
            </w:r>
          </w:p>
          <w:p w:rsidR="00D44A31" w:rsidRDefault="00D44A31" w:rsidP="009F03B4">
            <w:pPr>
              <w:pStyle w:val="Listeafsnit"/>
              <w:numPr>
                <w:ilvl w:val="0"/>
                <w:numId w:val="4"/>
              </w:numPr>
              <w:tabs>
                <w:tab w:val="num" w:pos="426"/>
              </w:tabs>
              <w:ind w:left="426" w:hanging="426"/>
            </w:pPr>
            <w:r>
              <w:t xml:space="preserve">Er der back-up af data jf. </w:t>
            </w:r>
            <w:r w:rsidR="00EA0FB6">
              <w:t>Edb-system</w:t>
            </w:r>
            <w:r>
              <w:t xml:space="preserve"> og gemmes data/materiale i 10 år?</w:t>
            </w:r>
          </w:p>
          <w:p w:rsidR="00D44A31" w:rsidRPr="00D44A31" w:rsidRDefault="00D44A31" w:rsidP="006C263A"/>
        </w:tc>
        <w:tc>
          <w:tcPr>
            <w:tcW w:w="2613" w:type="dxa"/>
            <w:tcBorders>
              <w:bottom w:val="single" w:sz="4" w:space="0" w:color="auto"/>
            </w:tcBorders>
          </w:tcPr>
          <w:p w:rsidR="00D44A31" w:rsidRPr="00D12C7F" w:rsidRDefault="00D44A31" w:rsidP="00CA1DD0"/>
        </w:tc>
        <w:tc>
          <w:tcPr>
            <w:tcW w:w="1496" w:type="dxa"/>
            <w:tcBorders>
              <w:bottom w:val="single" w:sz="4" w:space="0" w:color="auto"/>
            </w:tcBorders>
          </w:tcPr>
          <w:p w:rsidR="00D44A31" w:rsidRPr="00D12C7F" w:rsidRDefault="00D44A31" w:rsidP="00CA1DD0"/>
        </w:tc>
        <w:tc>
          <w:tcPr>
            <w:tcW w:w="1118" w:type="dxa"/>
            <w:tcBorders>
              <w:bottom w:val="single" w:sz="4" w:space="0" w:color="auto"/>
            </w:tcBorders>
          </w:tcPr>
          <w:p w:rsidR="00D44A31" w:rsidRDefault="00D44A31" w:rsidP="00CA1DD0">
            <w:pPr>
              <w:rPr>
                <w:sz w:val="24"/>
                <w:szCs w:val="24"/>
              </w:rPr>
            </w:pPr>
          </w:p>
        </w:tc>
      </w:tr>
      <w:tr w:rsidR="006C263A" w:rsidTr="00770155">
        <w:tc>
          <w:tcPr>
            <w:tcW w:w="4201" w:type="dxa"/>
            <w:tcBorders>
              <w:bottom w:val="single" w:sz="4" w:space="0" w:color="auto"/>
            </w:tcBorders>
          </w:tcPr>
          <w:p w:rsidR="006C263A" w:rsidRPr="00D44A31" w:rsidRDefault="00D44A31" w:rsidP="00D44A31">
            <w:pPr>
              <w:rPr>
                <w:i/>
              </w:rPr>
            </w:pPr>
            <w:r w:rsidRPr="00D44A31">
              <w:rPr>
                <w:i/>
              </w:rPr>
              <w:t>Håndtering af rettelser og korrigerende handlinger</w:t>
            </w:r>
          </w:p>
          <w:p w:rsidR="00D44A31" w:rsidRDefault="00D44A31" w:rsidP="009F03B4">
            <w:pPr>
              <w:numPr>
                <w:ilvl w:val="0"/>
                <w:numId w:val="7"/>
              </w:numPr>
            </w:pPr>
            <w:r>
              <w:t>Foreligger der dokumentation for evt. fejl og afvigelser?</w:t>
            </w:r>
          </w:p>
          <w:p w:rsidR="00D44A31" w:rsidRDefault="00D44A31" w:rsidP="009F03B4">
            <w:pPr>
              <w:numPr>
                <w:ilvl w:val="0"/>
                <w:numId w:val="7"/>
              </w:numPr>
            </w:pPr>
            <w:r>
              <w:t>Er der afvigelser der gentager sig?</w:t>
            </w:r>
          </w:p>
          <w:p w:rsidR="00D44A31" w:rsidRDefault="00D44A31" w:rsidP="009F03B4">
            <w:pPr>
              <w:numPr>
                <w:ilvl w:val="0"/>
                <w:numId w:val="7"/>
              </w:numPr>
            </w:pPr>
            <w:r>
              <w:t>Er der gennemført afhjælpning ved afvigelser?</w:t>
            </w:r>
          </w:p>
          <w:p w:rsidR="00D44A31" w:rsidRDefault="00D44A31" w:rsidP="009F03B4">
            <w:pPr>
              <w:numPr>
                <w:ilvl w:val="0"/>
                <w:numId w:val="7"/>
              </w:numPr>
            </w:pPr>
            <w:r>
              <w:t>Er det evalueret om afhjælpning virker?</w:t>
            </w:r>
          </w:p>
          <w:p w:rsidR="00D44A31" w:rsidRDefault="00777716" w:rsidP="009F03B4">
            <w:pPr>
              <w:pStyle w:val="Listeafsnit"/>
              <w:numPr>
                <w:ilvl w:val="0"/>
                <w:numId w:val="7"/>
              </w:numPr>
            </w:pPr>
            <w:r>
              <w:t>Er der åbne afvigelser fra sidste verifikatorbesøg, som der ikke er fulgt op på?</w:t>
            </w:r>
          </w:p>
        </w:tc>
        <w:tc>
          <w:tcPr>
            <w:tcW w:w="2613" w:type="dxa"/>
            <w:tcBorders>
              <w:bottom w:val="single" w:sz="4" w:space="0" w:color="auto"/>
            </w:tcBorders>
          </w:tcPr>
          <w:p w:rsidR="006C263A" w:rsidRPr="00D12C7F" w:rsidRDefault="006C263A" w:rsidP="00CA1DD0"/>
        </w:tc>
        <w:tc>
          <w:tcPr>
            <w:tcW w:w="1496" w:type="dxa"/>
            <w:tcBorders>
              <w:bottom w:val="single" w:sz="4" w:space="0" w:color="auto"/>
            </w:tcBorders>
          </w:tcPr>
          <w:p w:rsidR="006C263A" w:rsidRPr="00D12C7F" w:rsidRDefault="006C263A" w:rsidP="00CA1DD0"/>
        </w:tc>
        <w:tc>
          <w:tcPr>
            <w:tcW w:w="1118" w:type="dxa"/>
            <w:tcBorders>
              <w:bottom w:val="single" w:sz="4" w:space="0" w:color="auto"/>
            </w:tcBorders>
          </w:tcPr>
          <w:p w:rsidR="006C263A" w:rsidRDefault="006C263A" w:rsidP="00CA1DD0">
            <w:pPr>
              <w:rPr>
                <w:sz w:val="24"/>
                <w:szCs w:val="24"/>
              </w:rPr>
            </w:pPr>
          </w:p>
        </w:tc>
      </w:tr>
      <w:tr w:rsidR="003E6534" w:rsidTr="00770155">
        <w:tc>
          <w:tcPr>
            <w:tcW w:w="4201" w:type="dxa"/>
            <w:tcBorders>
              <w:bottom w:val="single" w:sz="4" w:space="0" w:color="auto"/>
            </w:tcBorders>
          </w:tcPr>
          <w:p w:rsidR="003E6534" w:rsidRPr="00777716" w:rsidRDefault="003E6534" w:rsidP="003E6534">
            <w:pPr>
              <w:rPr>
                <w:i/>
              </w:rPr>
            </w:pPr>
            <w:r w:rsidRPr="00777716">
              <w:rPr>
                <w:i/>
              </w:rPr>
              <w:t>Andet:</w:t>
            </w:r>
          </w:p>
          <w:p w:rsidR="003E6534" w:rsidRDefault="003E6534" w:rsidP="009F03B4">
            <w:pPr>
              <w:pStyle w:val="Listeafsnit"/>
              <w:numPr>
                <w:ilvl w:val="0"/>
                <w:numId w:val="8"/>
              </w:numPr>
            </w:pPr>
            <w:r>
              <w:t>Er ansvar for systemets funktion/procedurer placeret entydigt?</w:t>
            </w:r>
          </w:p>
          <w:p w:rsidR="003E6534" w:rsidRDefault="00943592" w:rsidP="009F03B4">
            <w:pPr>
              <w:pStyle w:val="Listeafsnit"/>
              <w:numPr>
                <w:ilvl w:val="0"/>
                <w:numId w:val="8"/>
              </w:numPr>
            </w:pPr>
            <w:r>
              <w:t>Kan registreringer og dokumentation genfindes (jf. procedure for styring af registreringer og dokumentation)</w:t>
            </w:r>
            <w:r w:rsidR="003E6534">
              <w:t>?</w:t>
            </w:r>
          </w:p>
          <w:p w:rsidR="00131CBB" w:rsidRDefault="00131CBB" w:rsidP="004841DD">
            <w:pPr>
              <w:pStyle w:val="Listeafsnit"/>
              <w:ind w:left="360"/>
            </w:pPr>
          </w:p>
        </w:tc>
        <w:tc>
          <w:tcPr>
            <w:tcW w:w="2613" w:type="dxa"/>
            <w:tcBorders>
              <w:bottom w:val="single" w:sz="4" w:space="0" w:color="auto"/>
            </w:tcBorders>
          </w:tcPr>
          <w:p w:rsidR="003E6534" w:rsidRPr="00D12C7F" w:rsidRDefault="003E6534" w:rsidP="00CA1DD0"/>
        </w:tc>
        <w:tc>
          <w:tcPr>
            <w:tcW w:w="1496" w:type="dxa"/>
            <w:tcBorders>
              <w:bottom w:val="single" w:sz="4" w:space="0" w:color="auto"/>
            </w:tcBorders>
          </w:tcPr>
          <w:p w:rsidR="003E6534" w:rsidRPr="00D12C7F" w:rsidRDefault="003E6534" w:rsidP="00CA1DD0"/>
        </w:tc>
        <w:tc>
          <w:tcPr>
            <w:tcW w:w="1118" w:type="dxa"/>
            <w:tcBorders>
              <w:bottom w:val="single" w:sz="4" w:space="0" w:color="auto"/>
            </w:tcBorders>
          </w:tcPr>
          <w:p w:rsidR="003E6534" w:rsidRDefault="003E6534" w:rsidP="00CA1DD0">
            <w:pPr>
              <w:rPr>
                <w:sz w:val="24"/>
                <w:szCs w:val="24"/>
              </w:rPr>
            </w:pPr>
          </w:p>
        </w:tc>
      </w:tr>
      <w:tr w:rsidR="007249FF" w:rsidTr="00770155">
        <w:tc>
          <w:tcPr>
            <w:tcW w:w="9428" w:type="dxa"/>
            <w:gridSpan w:val="4"/>
            <w:shd w:val="clear" w:color="auto" w:fill="B8CCE4" w:themeFill="accent1" w:themeFillTint="66"/>
          </w:tcPr>
          <w:p w:rsidR="007249FF" w:rsidRDefault="007249FF" w:rsidP="007249FF">
            <w:pPr>
              <w:rPr>
                <w:sz w:val="24"/>
                <w:szCs w:val="24"/>
              </w:rPr>
            </w:pPr>
            <w:r>
              <w:t>Sammenligning af årets data med data fra tidligere år</w:t>
            </w:r>
          </w:p>
        </w:tc>
      </w:tr>
      <w:tr w:rsidR="001C5E8C" w:rsidTr="00770155">
        <w:tc>
          <w:tcPr>
            <w:tcW w:w="4201" w:type="dxa"/>
            <w:tcBorders>
              <w:bottom w:val="single" w:sz="4" w:space="0" w:color="auto"/>
            </w:tcBorders>
          </w:tcPr>
          <w:p w:rsidR="001C5E8C" w:rsidRDefault="00192A41" w:rsidP="009F03B4">
            <w:pPr>
              <w:pStyle w:val="Listeafsnit"/>
              <w:numPr>
                <w:ilvl w:val="0"/>
                <w:numId w:val="8"/>
              </w:numPr>
              <w:rPr>
                <w:sz w:val="24"/>
                <w:szCs w:val="24"/>
              </w:rPr>
            </w:pPr>
            <w:r w:rsidRPr="008C4DBE">
              <w:t>Sammenligning af kalenderårets rapporterede tal med tallene fra tidligere år og vurdering af årsag til evt. væsentlig forskel</w:t>
            </w:r>
            <w:r w:rsidR="000A323E">
              <w:t>.</w:t>
            </w:r>
          </w:p>
        </w:tc>
        <w:tc>
          <w:tcPr>
            <w:tcW w:w="2613" w:type="dxa"/>
            <w:tcBorders>
              <w:bottom w:val="single" w:sz="4" w:space="0" w:color="auto"/>
            </w:tcBorders>
          </w:tcPr>
          <w:p w:rsidR="001C5E8C" w:rsidRDefault="001C5E8C" w:rsidP="00CA1DD0">
            <w:pPr>
              <w:rPr>
                <w:sz w:val="24"/>
                <w:szCs w:val="24"/>
              </w:rPr>
            </w:pPr>
          </w:p>
        </w:tc>
        <w:tc>
          <w:tcPr>
            <w:tcW w:w="1496" w:type="dxa"/>
            <w:tcBorders>
              <w:bottom w:val="single" w:sz="4" w:space="0" w:color="auto"/>
            </w:tcBorders>
          </w:tcPr>
          <w:p w:rsidR="001C5E8C" w:rsidRDefault="001C5E8C" w:rsidP="00CA1DD0">
            <w:pPr>
              <w:rPr>
                <w:sz w:val="24"/>
                <w:szCs w:val="24"/>
              </w:rPr>
            </w:pPr>
          </w:p>
        </w:tc>
        <w:tc>
          <w:tcPr>
            <w:tcW w:w="1118" w:type="dxa"/>
            <w:tcBorders>
              <w:bottom w:val="single" w:sz="4" w:space="0" w:color="auto"/>
            </w:tcBorders>
          </w:tcPr>
          <w:p w:rsidR="001C5E8C" w:rsidRDefault="001C5E8C" w:rsidP="00CA1DD0">
            <w:pPr>
              <w:rPr>
                <w:sz w:val="24"/>
                <w:szCs w:val="24"/>
              </w:rPr>
            </w:pPr>
          </w:p>
        </w:tc>
      </w:tr>
      <w:tr w:rsidR="007249FF" w:rsidTr="00770155">
        <w:tc>
          <w:tcPr>
            <w:tcW w:w="9428" w:type="dxa"/>
            <w:gridSpan w:val="4"/>
            <w:shd w:val="clear" w:color="auto" w:fill="B8CCE4" w:themeFill="accent1" w:themeFillTint="66"/>
          </w:tcPr>
          <w:p w:rsidR="007249FF" w:rsidRDefault="007249FF" w:rsidP="00CA1DD0">
            <w:pPr>
              <w:rPr>
                <w:sz w:val="24"/>
                <w:szCs w:val="24"/>
              </w:rPr>
            </w:pPr>
            <w:r w:rsidRPr="008C4DBE">
              <w:t>Sammenligning af data/værdier fra evt. forskellige systemer, herunder:</w:t>
            </w:r>
          </w:p>
        </w:tc>
      </w:tr>
      <w:tr w:rsidR="001C5E8C" w:rsidTr="00770155">
        <w:tc>
          <w:tcPr>
            <w:tcW w:w="4201" w:type="dxa"/>
          </w:tcPr>
          <w:p w:rsidR="001C5E8C" w:rsidRPr="003E6534" w:rsidRDefault="004841DD" w:rsidP="009F03B4">
            <w:pPr>
              <w:pStyle w:val="Listeafsnit"/>
              <w:numPr>
                <w:ilvl w:val="0"/>
                <w:numId w:val="10"/>
              </w:numPr>
              <w:rPr>
                <w:sz w:val="24"/>
                <w:szCs w:val="24"/>
              </w:rPr>
            </w:pPr>
            <w:r>
              <w:t>V</w:t>
            </w:r>
            <w:r w:rsidR="00192A41" w:rsidRPr="000A323E">
              <w:t>urdering af energitjenesten (udtrykt ved f. eks. den producerede energimængde) i forhold til brændselsforbruget, udtrykt ved</w:t>
            </w:r>
            <w:r w:rsidR="00192A41" w:rsidRPr="008C4DBE">
              <w:t xml:space="preserve"> brændselsindkøb og ændringer af lagerbeholdninger</w:t>
            </w:r>
            <w:r w:rsidR="003E6534">
              <w:t>.</w:t>
            </w:r>
          </w:p>
        </w:tc>
        <w:tc>
          <w:tcPr>
            <w:tcW w:w="2613" w:type="dxa"/>
          </w:tcPr>
          <w:p w:rsidR="001C5E8C" w:rsidRDefault="001C5E8C" w:rsidP="00CA1DD0">
            <w:pPr>
              <w:rPr>
                <w:sz w:val="24"/>
                <w:szCs w:val="24"/>
              </w:rPr>
            </w:pPr>
          </w:p>
        </w:tc>
        <w:tc>
          <w:tcPr>
            <w:tcW w:w="1496" w:type="dxa"/>
          </w:tcPr>
          <w:p w:rsidR="001C5E8C" w:rsidRDefault="001C5E8C" w:rsidP="00CA1DD0">
            <w:pPr>
              <w:rPr>
                <w:sz w:val="24"/>
                <w:szCs w:val="24"/>
              </w:rPr>
            </w:pPr>
          </w:p>
        </w:tc>
        <w:tc>
          <w:tcPr>
            <w:tcW w:w="1118" w:type="dxa"/>
          </w:tcPr>
          <w:p w:rsidR="001C5E8C" w:rsidRDefault="001C5E8C" w:rsidP="00CA1DD0">
            <w:pPr>
              <w:rPr>
                <w:sz w:val="24"/>
                <w:szCs w:val="24"/>
              </w:rPr>
            </w:pPr>
          </w:p>
        </w:tc>
      </w:tr>
      <w:tr w:rsidR="001C5E8C" w:rsidTr="00770155">
        <w:tc>
          <w:tcPr>
            <w:tcW w:w="4201" w:type="dxa"/>
          </w:tcPr>
          <w:p w:rsidR="00192A41" w:rsidRPr="003E6534" w:rsidRDefault="00192A41" w:rsidP="009F03B4">
            <w:pPr>
              <w:pStyle w:val="Listeafsnit"/>
              <w:numPr>
                <w:ilvl w:val="0"/>
                <w:numId w:val="9"/>
              </w:numPr>
              <w:rPr>
                <w:b/>
              </w:rPr>
            </w:pPr>
            <w:r w:rsidRPr="008C4DBE">
              <w:t>Sammenligning af aggregerede data og rådata</w:t>
            </w:r>
            <w:r w:rsidR="001D6878">
              <w:t>.</w:t>
            </w:r>
          </w:p>
          <w:p w:rsidR="001C5E8C" w:rsidRDefault="001C5E8C" w:rsidP="00192A41">
            <w:pPr>
              <w:rPr>
                <w:sz w:val="24"/>
                <w:szCs w:val="24"/>
              </w:rPr>
            </w:pPr>
          </w:p>
        </w:tc>
        <w:tc>
          <w:tcPr>
            <w:tcW w:w="2613" w:type="dxa"/>
          </w:tcPr>
          <w:p w:rsidR="001C5E8C" w:rsidRDefault="001C5E8C" w:rsidP="00CA1DD0">
            <w:pPr>
              <w:rPr>
                <w:sz w:val="24"/>
                <w:szCs w:val="24"/>
              </w:rPr>
            </w:pPr>
          </w:p>
        </w:tc>
        <w:tc>
          <w:tcPr>
            <w:tcW w:w="1496" w:type="dxa"/>
          </w:tcPr>
          <w:p w:rsidR="001C5E8C" w:rsidRDefault="001C5E8C" w:rsidP="00CA1DD0">
            <w:pPr>
              <w:rPr>
                <w:sz w:val="24"/>
                <w:szCs w:val="24"/>
              </w:rPr>
            </w:pPr>
          </w:p>
        </w:tc>
        <w:tc>
          <w:tcPr>
            <w:tcW w:w="1118" w:type="dxa"/>
          </w:tcPr>
          <w:p w:rsidR="001C5E8C" w:rsidRDefault="001C5E8C" w:rsidP="00CA1DD0">
            <w:pPr>
              <w:rPr>
                <w:sz w:val="24"/>
                <w:szCs w:val="24"/>
              </w:rPr>
            </w:pPr>
          </w:p>
        </w:tc>
      </w:tr>
    </w:tbl>
    <w:p w:rsidR="00B0661D" w:rsidRDefault="00B0661D" w:rsidP="00CA1DD0">
      <w:pPr>
        <w:rPr>
          <w:sz w:val="24"/>
          <w:szCs w:val="24"/>
        </w:rPr>
        <w:sectPr w:rsidR="00B0661D" w:rsidSect="00CF34E2">
          <w:headerReference w:type="default" r:id="rId13"/>
          <w:footerReference w:type="default" r:id="rId14"/>
          <w:pgSz w:w="11906" w:h="16838"/>
          <w:pgMar w:top="1701" w:right="1134" w:bottom="1418" w:left="1560" w:header="708" w:footer="708" w:gutter="0"/>
          <w:cols w:space="708"/>
          <w:docGrid w:linePitch="360"/>
        </w:sectPr>
      </w:pPr>
    </w:p>
    <w:p w:rsidR="00EC2E01" w:rsidRDefault="00EC2E01" w:rsidP="00CA1DD0">
      <w:pPr>
        <w:rPr>
          <w:sz w:val="24"/>
          <w:szCs w:val="24"/>
        </w:rPr>
      </w:pPr>
    </w:p>
    <w:p w:rsidR="001C5E8C" w:rsidRPr="00EC2E01" w:rsidRDefault="00EC2E01" w:rsidP="00BB456C">
      <w:pPr>
        <w:pStyle w:val="Overskrift2"/>
      </w:pPr>
      <w:bookmarkStart w:id="18" w:name="_Toc459104419"/>
      <w:r w:rsidRPr="00EC2E01">
        <w:t xml:space="preserve">BILAG </w:t>
      </w:r>
      <w:r w:rsidR="00131CBB">
        <w:t>H</w:t>
      </w:r>
      <w:r w:rsidRPr="00EC2E01">
        <w:t>.  Dokumentation af fejl og afvigelser</w:t>
      </w:r>
      <w:bookmarkEnd w:id="18"/>
    </w:p>
    <w:tbl>
      <w:tblPr>
        <w:tblStyle w:val="Tabel-Gitter"/>
        <w:tblW w:w="14425" w:type="dxa"/>
        <w:tblLook w:val="04A0" w:firstRow="1" w:lastRow="0" w:firstColumn="1" w:lastColumn="0" w:noHBand="0" w:noVBand="1"/>
      </w:tblPr>
      <w:tblGrid>
        <w:gridCol w:w="1382"/>
        <w:gridCol w:w="4094"/>
        <w:gridCol w:w="4374"/>
        <w:gridCol w:w="3671"/>
        <w:gridCol w:w="904"/>
      </w:tblGrid>
      <w:tr w:rsidR="005849AA" w:rsidTr="00D12C7F">
        <w:tc>
          <w:tcPr>
            <w:tcW w:w="1384" w:type="dxa"/>
            <w:shd w:val="clear" w:color="auto" w:fill="B8CCE4" w:themeFill="accent1" w:themeFillTint="66"/>
          </w:tcPr>
          <w:p w:rsidR="005849AA" w:rsidRPr="001723D5" w:rsidRDefault="005849AA" w:rsidP="00EC2E01">
            <w:r w:rsidRPr="001723D5">
              <w:t>Dato</w:t>
            </w:r>
            <w:r w:rsidR="00D12C7F" w:rsidRPr="001723D5">
              <w:t xml:space="preserve"> og tidspunkt for fejl</w:t>
            </w:r>
          </w:p>
        </w:tc>
        <w:tc>
          <w:tcPr>
            <w:tcW w:w="4111" w:type="dxa"/>
            <w:shd w:val="clear" w:color="auto" w:fill="B8CCE4" w:themeFill="accent1" w:themeFillTint="66"/>
          </w:tcPr>
          <w:p w:rsidR="005849AA" w:rsidRPr="001723D5" w:rsidRDefault="005849AA" w:rsidP="00EC2E01">
            <w:r w:rsidRPr="001723D5">
              <w:t>Beskrivelse af fejl/afvigelse og årsagen til disse</w:t>
            </w:r>
          </w:p>
        </w:tc>
        <w:tc>
          <w:tcPr>
            <w:tcW w:w="4394" w:type="dxa"/>
            <w:shd w:val="clear" w:color="auto" w:fill="B8CCE4" w:themeFill="accent1" w:themeFillTint="66"/>
          </w:tcPr>
          <w:p w:rsidR="005849AA" w:rsidRPr="001723D5" w:rsidRDefault="005849AA" w:rsidP="005849AA">
            <w:r w:rsidRPr="001723D5">
              <w:t>Beskriv de handlinger, som er iværksat for at rette op på afvigelsen</w:t>
            </w:r>
          </w:p>
        </w:tc>
        <w:tc>
          <w:tcPr>
            <w:tcW w:w="3686" w:type="dxa"/>
            <w:shd w:val="clear" w:color="auto" w:fill="B8CCE4" w:themeFill="accent1" w:themeFillTint="66"/>
          </w:tcPr>
          <w:p w:rsidR="005849AA" w:rsidRPr="001723D5" w:rsidRDefault="005849AA" w:rsidP="00EC2E01">
            <w:r w:rsidRPr="001723D5">
              <w:t>Beskriv de handlinger, som er iværksat for at undgå gentagelser</w:t>
            </w:r>
          </w:p>
        </w:tc>
        <w:tc>
          <w:tcPr>
            <w:tcW w:w="850" w:type="dxa"/>
            <w:shd w:val="clear" w:color="auto" w:fill="B8CCE4" w:themeFill="accent1" w:themeFillTint="66"/>
          </w:tcPr>
          <w:p w:rsidR="005849AA" w:rsidRPr="001723D5" w:rsidRDefault="005849AA" w:rsidP="00EC2E01">
            <w:r w:rsidRPr="001723D5">
              <w:t>Initialer</w:t>
            </w:r>
          </w:p>
        </w:tc>
      </w:tr>
      <w:tr w:rsidR="005849AA" w:rsidTr="005849AA">
        <w:tc>
          <w:tcPr>
            <w:tcW w:w="1384" w:type="dxa"/>
          </w:tcPr>
          <w:p w:rsidR="005849AA" w:rsidRPr="00EC2E01" w:rsidRDefault="005849AA" w:rsidP="00EC2E01"/>
        </w:tc>
        <w:tc>
          <w:tcPr>
            <w:tcW w:w="4111" w:type="dxa"/>
          </w:tcPr>
          <w:p w:rsidR="005849AA" w:rsidRDefault="005849AA" w:rsidP="00EC2E01">
            <w:pPr>
              <w:rPr>
                <w:sz w:val="24"/>
                <w:szCs w:val="24"/>
              </w:rPr>
            </w:pPr>
          </w:p>
        </w:tc>
        <w:tc>
          <w:tcPr>
            <w:tcW w:w="4394" w:type="dxa"/>
          </w:tcPr>
          <w:p w:rsidR="005849AA" w:rsidRDefault="005849AA" w:rsidP="00EC2E01">
            <w:pPr>
              <w:rPr>
                <w:sz w:val="24"/>
                <w:szCs w:val="24"/>
              </w:rPr>
            </w:pPr>
          </w:p>
        </w:tc>
        <w:tc>
          <w:tcPr>
            <w:tcW w:w="3686" w:type="dxa"/>
          </w:tcPr>
          <w:p w:rsidR="005849AA" w:rsidRDefault="005849AA" w:rsidP="00EC2E01">
            <w:pPr>
              <w:rPr>
                <w:sz w:val="24"/>
                <w:szCs w:val="24"/>
              </w:rPr>
            </w:pPr>
          </w:p>
        </w:tc>
        <w:tc>
          <w:tcPr>
            <w:tcW w:w="850" w:type="dxa"/>
          </w:tcPr>
          <w:p w:rsidR="005849AA" w:rsidRDefault="005849AA" w:rsidP="00EC2E01">
            <w:pPr>
              <w:rPr>
                <w:sz w:val="24"/>
                <w:szCs w:val="24"/>
              </w:rPr>
            </w:pPr>
          </w:p>
        </w:tc>
      </w:tr>
      <w:tr w:rsidR="005849AA" w:rsidTr="005849AA">
        <w:tc>
          <w:tcPr>
            <w:tcW w:w="1384" w:type="dxa"/>
          </w:tcPr>
          <w:p w:rsidR="005849AA" w:rsidRDefault="005849AA" w:rsidP="00EC2E01">
            <w:pPr>
              <w:rPr>
                <w:sz w:val="24"/>
                <w:szCs w:val="24"/>
              </w:rPr>
            </w:pPr>
          </w:p>
        </w:tc>
        <w:tc>
          <w:tcPr>
            <w:tcW w:w="4111" w:type="dxa"/>
          </w:tcPr>
          <w:p w:rsidR="005849AA" w:rsidRDefault="005849AA" w:rsidP="00EC2E01">
            <w:pPr>
              <w:rPr>
                <w:sz w:val="24"/>
                <w:szCs w:val="24"/>
              </w:rPr>
            </w:pPr>
          </w:p>
        </w:tc>
        <w:tc>
          <w:tcPr>
            <w:tcW w:w="4394" w:type="dxa"/>
          </w:tcPr>
          <w:p w:rsidR="005849AA" w:rsidRDefault="005849AA" w:rsidP="00EC2E01">
            <w:pPr>
              <w:rPr>
                <w:sz w:val="24"/>
                <w:szCs w:val="24"/>
              </w:rPr>
            </w:pPr>
          </w:p>
        </w:tc>
        <w:tc>
          <w:tcPr>
            <w:tcW w:w="3686" w:type="dxa"/>
          </w:tcPr>
          <w:p w:rsidR="005849AA" w:rsidRDefault="005849AA" w:rsidP="00EC2E01">
            <w:pPr>
              <w:rPr>
                <w:sz w:val="24"/>
                <w:szCs w:val="24"/>
              </w:rPr>
            </w:pPr>
          </w:p>
        </w:tc>
        <w:tc>
          <w:tcPr>
            <w:tcW w:w="850" w:type="dxa"/>
          </w:tcPr>
          <w:p w:rsidR="005849AA" w:rsidRDefault="005849AA" w:rsidP="00EC2E01">
            <w:pPr>
              <w:rPr>
                <w:sz w:val="24"/>
                <w:szCs w:val="24"/>
              </w:rPr>
            </w:pPr>
          </w:p>
        </w:tc>
      </w:tr>
      <w:tr w:rsidR="005849AA" w:rsidTr="005849AA">
        <w:tc>
          <w:tcPr>
            <w:tcW w:w="1384" w:type="dxa"/>
          </w:tcPr>
          <w:p w:rsidR="005849AA" w:rsidRDefault="005849AA" w:rsidP="00EC2E01">
            <w:pPr>
              <w:rPr>
                <w:sz w:val="24"/>
                <w:szCs w:val="24"/>
              </w:rPr>
            </w:pPr>
          </w:p>
        </w:tc>
        <w:tc>
          <w:tcPr>
            <w:tcW w:w="4111" w:type="dxa"/>
          </w:tcPr>
          <w:p w:rsidR="005849AA" w:rsidRDefault="005849AA" w:rsidP="00EC2E01">
            <w:pPr>
              <w:rPr>
                <w:sz w:val="24"/>
                <w:szCs w:val="24"/>
              </w:rPr>
            </w:pPr>
          </w:p>
        </w:tc>
        <w:tc>
          <w:tcPr>
            <w:tcW w:w="4394" w:type="dxa"/>
          </w:tcPr>
          <w:p w:rsidR="005849AA" w:rsidRDefault="005849AA" w:rsidP="00EC2E01">
            <w:pPr>
              <w:rPr>
                <w:sz w:val="24"/>
                <w:szCs w:val="24"/>
              </w:rPr>
            </w:pPr>
          </w:p>
        </w:tc>
        <w:tc>
          <w:tcPr>
            <w:tcW w:w="3686" w:type="dxa"/>
          </w:tcPr>
          <w:p w:rsidR="005849AA" w:rsidRDefault="005849AA" w:rsidP="00EC2E01">
            <w:pPr>
              <w:rPr>
                <w:sz w:val="24"/>
                <w:szCs w:val="24"/>
              </w:rPr>
            </w:pPr>
          </w:p>
        </w:tc>
        <w:tc>
          <w:tcPr>
            <w:tcW w:w="850" w:type="dxa"/>
          </w:tcPr>
          <w:p w:rsidR="005849AA" w:rsidRDefault="005849AA" w:rsidP="00EC2E01">
            <w:pPr>
              <w:rPr>
                <w:sz w:val="24"/>
                <w:szCs w:val="24"/>
              </w:rPr>
            </w:pPr>
          </w:p>
        </w:tc>
      </w:tr>
      <w:tr w:rsidR="005849AA" w:rsidTr="005849AA">
        <w:tc>
          <w:tcPr>
            <w:tcW w:w="1384" w:type="dxa"/>
          </w:tcPr>
          <w:p w:rsidR="005849AA" w:rsidRDefault="005849AA" w:rsidP="00EC2E01">
            <w:pPr>
              <w:rPr>
                <w:sz w:val="24"/>
                <w:szCs w:val="24"/>
              </w:rPr>
            </w:pPr>
          </w:p>
        </w:tc>
        <w:tc>
          <w:tcPr>
            <w:tcW w:w="4111" w:type="dxa"/>
          </w:tcPr>
          <w:p w:rsidR="005849AA" w:rsidRDefault="005849AA" w:rsidP="00EC2E01">
            <w:pPr>
              <w:rPr>
                <w:sz w:val="24"/>
                <w:szCs w:val="24"/>
              </w:rPr>
            </w:pPr>
          </w:p>
        </w:tc>
        <w:tc>
          <w:tcPr>
            <w:tcW w:w="4394" w:type="dxa"/>
          </w:tcPr>
          <w:p w:rsidR="005849AA" w:rsidRDefault="005849AA" w:rsidP="00EC2E01">
            <w:pPr>
              <w:rPr>
                <w:sz w:val="24"/>
                <w:szCs w:val="24"/>
              </w:rPr>
            </w:pPr>
          </w:p>
        </w:tc>
        <w:tc>
          <w:tcPr>
            <w:tcW w:w="3686" w:type="dxa"/>
          </w:tcPr>
          <w:p w:rsidR="005849AA" w:rsidRDefault="005849AA" w:rsidP="00EC2E01">
            <w:pPr>
              <w:rPr>
                <w:sz w:val="24"/>
                <w:szCs w:val="24"/>
              </w:rPr>
            </w:pPr>
          </w:p>
        </w:tc>
        <w:tc>
          <w:tcPr>
            <w:tcW w:w="850" w:type="dxa"/>
          </w:tcPr>
          <w:p w:rsidR="005849AA" w:rsidRDefault="005849AA" w:rsidP="00EC2E01">
            <w:pPr>
              <w:rPr>
                <w:sz w:val="24"/>
                <w:szCs w:val="24"/>
              </w:rPr>
            </w:pPr>
          </w:p>
        </w:tc>
      </w:tr>
      <w:tr w:rsidR="005849AA" w:rsidTr="005849AA">
        <w:tc>
          <w:tcPr>
            <w:tcW w:w="1384" w:type="dxa"/>
          </w:tcPr>
          <w:p w:rsidR="005849AA" w:rsidRDefault="005849AA" w:rsidP="00EC2E01">
            <w:pPr>
              <w:rPr>
                <w:sz w:val="24"/>
                <w:szCs w:val="24"/>
              </w:rPr>
            </w:pPr>
          </w:p>
        </w:tc>
        <w:tc>
          <w:tcPr>
            <w:tcW w:w="4111" w:type="dxa"/>
          </w:tcPr>
          <w:p w:rsidR="005849AA" w:rsidRDefault="005849AA" w:rsidP="00EC2E01">
            <w:pPr>
              <w:rPr>
                <w:sz w:val="24"/>
                <w:szCs w:val="24"/>
              </w:rPr>
            </w:pPr>
          </w:p>
        </w:tc>
        <w:tc>
          <w:tcPr>
            <w:tcW w:w="4394" w:type="dxa"/>
          </w:tcPr>
          <w:p w:rsidR="005849AA" w:rsidRDefault="005849AA" w:rsidP="00EC2E01">
            <w:pPr>
              <w:rPr>
                <w:sz w:val="24"/>
                <w:szCs w:val="24"/>
              </w:rPr>
            </w:pPr>
          </w:p>
        </w:tc>
        <w:tc>
          <w:tcPr>
            <w:tcW w:w="3686" w:type="dxa"/>
          </w:tcPr>
          <w:p w:rsidR="005849AA" w:rsidRDefault="005849AA" w:rsidP="00EC2E01">
            <w:pPr>
              <w:rPr>
                <w:sz w:val="24"/>
                <w:szCs w:val="24"/>
              </w:rPr>
            </w:pPr>
          </w:p>
        </w:tc>
        <w:tc>
          <w:tcPr>
            <w:tcW w:w="850" w:type="dxa"/>
          </w:tcPr>
          <w:p w:rsidR="005849AA" w:rsidRDefault="005849AA" w:rsidP="00EC2E01">
            <w:pPr>
              <w:rPr>
                <w:sz w:val="24"/>
                <w:szCs w:val="24"/>
              </w:rPr>
            </w:pPr>
          </w:p>
        </w:tc>
      </w:tr>
      <w:tr w:rsidR="005849AA" w:rsidTr="005849AA">
        <w:tc>
          <w:tcPr>
            <w:tcW w:w="1384" w:type="dxa"/>
          </w:tcPr>
          <w:p w:rsidR="005849AA" w:rsidRDefault="005849AA" w:rsidP="00EC2E01">
            <w:pPr>
              <w:rPr>
                <w:sz w:val="24"/>
                <w:szCs w:val="24"/>
              </w:rPr>
            </w:pPr>
          </w:p>
        </w:tc>
        <w:tc>
          <w:tcPr>
            <w:tcW w:w="4111" w:type="dxa"/>
          </w:tcPr>
          <w:p w:rsidR="005849AA" w:rsidRDefault="005849AA" w:rsidP="00EC2E01">
            <w:pPr>
              <w:rPr>
                <w:sz w:val="24"/>
                <w:szCs w:val="24"/>
              </w:rPr>
            </w:pPr>
          </w:p>
        </w:tc>
        <w:tc>
          <w:tcPr>
            <w:tcW w:w="4394" w:type="dxa"/>
          </w:tcPr>
          <w:p w:rsidR="005849AA" w:rsidRDefault="005849AA" w:rsidP="00EC2E01">
            <w:pPr>
              <w:rPr>
                <w:sz w:val="24"/>
                <w:szCs w:val="24"/>
              </w:rPr>
            </w:pPr>
          </w:p>
        </w:tc>
        <w:tc>
          <w:tcPr>
            <w:tcW w:w="3686" w:type="dxa"/>
          </w:tcPr>
          <w:p w:rsidR="005849AA" w:rsidRDefault="005849AA" w:rsidP="00EC2E01">
            <w:pPr>
              <w:rPr>
                <w:sz w:val="24"/>
                <w:szCs w:val="24"/>
              </w:rPr>
            </w:pPr>
          </w:p>
        </w:tc>
        <w:tc>
          <w:tcPr>
            <w:tcW w:w="850" w:type="dxa"/>
          </w:tcPr>
          <w:p w:rsidR="005849AA" w:rsidRDefault="005849AA" w:rsidP="00EC2E01">
            <w:pPr>
              <w:rPr>
                <w:sz w:val="24"/>
                <w:szCs w:val="24"/>
              </w:rPr>
            </w:pPr>
          </w:p>
        </w:tc>
      </w:tr>
      <w:tr w:rsidR="005849AA" w:rsidTr="005849AA">
        <w:tc>
          <w:tcPr>
            <w:tcW w:w="1384" w:type="dxa"/>
          </w:tcPr>
          <w:p w:rsidR="005849AA" w:rsidRDefault="005849AA" w:rsidP="00EC2E01">
            <w:pPr>
              <w:rPr>
                <w:sz w:val="24"/>
                <w:szCs w:val="24"/>
              </w:rPr>
            </w:pPr>
          </w:p>
        </w:tc>
        <w:tc>
          <w:tcPr>
            <w:tcW w:w="4111" w:type="dxa"/>
          </w:tcPr>
          <w:p w:rsidR="005849AA" w:rsidRDefault="005849AA" w:rsidP="00EC2E01">
            <w:pPr>
              <w:rPr>
                <w:sz w:val="24"/>
                <w:szCs w:val="24"/>
              </w:rPr>
            </w:pPr>
          </w:p>
        </w:tc>
        <w:tc>
          <w:tcPr>
            <w:tcW w:w="4394" w:type="dxa"/>
          </w:tcPr>
          <w:p w:rsidR="005849AA" w:rsidRDefault="005849AA" w:rsidP="00EC2E01">
            <w:pPr>
              <w:rPr>
                <w:sz w:val="24"/>
                <w:szCs w:val="24"/>
              </w:rPr>
            </w:pPr>
          </w:p>
        </w:tc>
        <w:tc>
          <w:tcPr>
            <w:tcW w:w="3686" w:type="dxa"/>
          </w:tcPr>
          <w:p w:rsidR="005849AA" w:rsidRDefault="005849AA" w:rsidP="00EC2E01">
            <w:pPr>
              <w:rPr>
                <w:sz w:val="24"/>
                <w:szCs w:val="24"/>
              </w:rPr>
            </w:pPr>
          </w:p>
        </w:tc>
        <w:tc>
          <w:tcPr>
            <w:tcW w:w="850" w:type="dxa"/>
          </w:tcPr>
          <w:p w:rsidR="005849AA" w:rsidRDefault="005849AA" w:rsidP="00EC2E01">
            <w:pPr>
              <w:rPr>
                <w:sz w:val="24"/>
                <w:szCs w:val="24"/>
              </w:rPr>
            </w:pPr>
          </w:p>
        </w:tc>
      </w:tr>
    </w:tbl>
    <w:p w:rsidR="00EC2E01" w:rsidRDefault="00EC2E01" w:rsidP="00EC2E01">
      <w:pPr>
        <w:rPr>
          <w:sz w:val="24"/>
          <w:szCs w:val="24"/>
        </w:rPr>
      </w:pPr>
    </w:p>
    <w:p w:rsidR="00351948" w:rsidRDefault="00351948" w:rsidP="00EC2E01">
      <w:pPr>
        <w:rPr>
          <w:sz w:val="24"/>
          <w:szCs w:val="24"/>
        </w:rPr>
      </w:pPr>
    </w:p>
    <w:p w:rsidR="00351948" w:rsidRDefault="00351948" w:rsidP="00EC2E01">
      <w:pPr>
        <w:rPr>
          <w:sz w:val="24"/>
          <w:szCs w:val="24"/>
        </w:rPr>
      </w:pPr>
    </w:p>
    <w:p w:rsidR="00351948" w:rsidRDefault="00351948" w:rsidP="00EC2E01">
      <w:pPr>
        <w:rPr>
          <w:sz w:val="24"/>
          <w:szCs w:val="24"/>
        </w:rPr>
        <w:sectPr w:rsidR="00351948" w:rsidSect="00A0022C">
          <w:pgSz w:w="16838" w:h="11906" w:orient="landscape"/>
          <w:pgMar w:top="1134" w:right="1701" w:bottom="1134" w:left="1701" w:header="708" w:footer="708" w:gutter="0"/>
          <w:cols w:space="708"/>
          <w:docGrid w:linePitch="360"/>
        </w:sectPr>
      </w:pPr>
    </w:p>
    <w:p w:rsidR="00351948" w:rsidRDefault="00351948" w:rsidP="00BB456C">
      <w:pPr>
        <w:pStyle w:val="Overskrift2"/>
      </w:pPr>
      <w:bookmarkStart w:id="19" w:name="_Toc459104420"/>
      <w:r w:rsidRPr="00351948">
        <w:lastRenderedPageBreak/>
        <w:t xml:space="preserve">BILAG </w:t>
      </w:r>
      <w:r w:rsidR="00131CBB">
        <w:t>J</w:t>
      </w:r>
      <w:r w:rsidR="006256A0">
        <w:t>1</w:t>
      </w:r>
      <w:r w:rsidRPr="00351948">
        <w:t>. Oversigt over godkendte overvågningsplaner</w:t>
      </w:r>
      <w:bookmarkEnd w:id="19"/>
      <w:r w:rsidRPr="00351948">
        <w:t xml:space="preserve"> </w:t>
      </w:r>
    </w:p>
    <w:tbl>
      <w:tblPr>
        <w:tblStyle w:val="Tabel-Gitter"/>
        <w:tblW w:w="0" w:type="auto"/>
        <w:tblInd w:w="108" w:type="dxa"/>
        <w:tblLook w:val="04A0" w:firstRow="1" w:lastRow="0" w:firstColumn="1" w:lastColumn="0" w:noHBand="0" w:noVBand="1"/>
      </w:tblPr>
      <w:tblGrid>
        <w:gridCol w:w="2336"/>
        <w:gridCol w:w="2444"/>
        <w:gridCol w:w="2445"/>
        <w:gridCol w:w="2445"/>
      </w:tblGrid>
      <w:tr w:rsidR="00AD4795" w:rsidTr="00143821">
        <w:tc>
          <w:tcPr>
            <w:tcW w:w="2336" w:type="dxa"/>
            <w:shd w:val="clear" w:color="auto" w:fill="B8CCE4" w:themeFill="accent1" w:themeFillTint="66"/>
          </w:tcPr>
          <w:p w:rsidR="00AD4795" w:rsidRPr="00D160B6" w:rsidRDefault="00AD4795" w:rsidP="00EC2E01">
            <w:r w:rsidRPr="00D160B6">
              <w:t>Version nr.</w:t>
            </w:r>
          </w:p>
        </w:tc>
        <w:tc>
          <w:tcPr>
            <w:tcW w:w="2444" w:type="dxa"/>
            <w:shd w:val="clear" w:color="auto" w:fill="B8CCE4" w:themeFill="accent1" w:themeFillTint="66"/>
          </w:tcPr>
          <w:p w:rsidR="00AD4795" w:rsidRPr="00D160B6" w:rsidRDefault="00AD4795" w:rsidP="00EC2E01">
            <w:r w:rsidRPr="00D160B6">
              <w:t>Underskrevet</w:t>
            </w:r>
            <w:r w:rsidR="00220B09" w:rsidRPr="00D160B6">
              <w:t xml:space="preserve"> dato</w:t>
            </w:r>
          </w:p>
        </w:tc>
        <w:tc>
          <w:tcPr>
            <w:tcW w:w="2445" w:type="dxa"/>
            <w:shd w:val="clear" w:color="auto" w:fill="B8CCE4" w:themeFill="accent1" w:themeFillTint="66"/>
          </w:tcPr>
          <w:p w:rsidR="00AD4795" w:rsidRPr="00D160B6" w:rsidRDefault="00AD4795" w:rsidP="00EC2E01">
            <w:r w:rsidRPr="00D160B6">
              <w:t>Godkendt af ENS</w:t>
            </w:r>
          </w:p>
        </w:tc>
        <w:tc>
          <w:tcPr>
            <w:tcW w:w="2445" w:type="dxa"/>
            <w:shd w:val="clear" w:color="auto" w:fill="B8CCE4" w:themeFill="accent1" w:themeFillTint="66"/>
          </w:tcPr>
          <w:p w:rsidR="00AD4795" w:rsidRPr="00D160B6" w:rsidRDefault="00AD4795" w:rsidP="00EC2E01">
            <w:r w:rsidRPr="00D160B6">
              <w:t>Ændret som følge af:</w:t>
            </w:r>
          </w:p>
        </w:tc>
      </w:tr>
      <w:tr w:rsidR="00AD4795" w:rsidTr="00AD4795">
        <w:tc>
          <w:tcPr>
            <w:tcW w:w="2336" w:type="dxa"/>
          </w:tcPr>
          <w:p w:rsidR="00AD4795" w:rsidRDefault="00AD4795" w:rsidP="00EC2E01">
            <w:pPr>
              <w:rPr>
                <w:sz w:val="24"/>
                <w:szCs w:val="24"/>
              </w:rPr>
            </w:pPr>
          </w:p>
        </w:tc>
        <w:tc>
          <w:tcPr>
            <w:tcW w:w="2444" w:type="dxa"/>
          </w:tcPr>
          <w:p w:rsidR="00AD4795" w:rsidRDefault="00AD4795" w:rsidP="00EC2E01">
            <w:pPr>
              <w:rPr>
                <w:sz w:val="24"/>
                <w:szCs w:val="24"/>
              </w:rPr>
            </w:pPr>
          </w:p>
        </w:tc>
        <w:tc>
          <w:tcPr>
            <w:tcW w:w="2445" w:type="dxa"/>
          </w:tcPr>
          <w:p w:rsidR="00AD4795" w:rsidRDefault="00AD4795" w:rsidP="00EC2E01">
            <w:pPr>
              <w:rPr>
                <w:sz w:val="24"/>
                <w:szCs w:val="24"/>
              </w:rPr>
            </w:pPr>
          </w:p>
        </w:tc>
        <w:tc>
          <w:tcPr>
            <w:tcW w:w="2445" w:type="dxa"/>
          </w:tcPr>
          <w:p w:rsidR="00AD4795" w:rsidRDefault="00AD4795" w:rsidP="00EC2E01">
            <w:pPr>
              <w:rPr>
                <w:sz w:val="24"/>
                <w:szCs w:val="24"/>
              </w:rPr>
            </w:pPr>
          </w:p>
        </w:tc>
      </w:tr>
      <w:tr w:rsidR="00AD4795" w:rsidTr="00AD4795">
        <w:tc>
          <w:tcPr>
            <w:tcW w:w="2336" w:type="dxa"/>
          </w:tcPr>
          <w:p w:rsidR="00AD4795" w:rsidRDefault="00AD4795" w:rsidP="00EC2E01">
            <w:pPr>
              <w:rPr>
                <w:sz w:val="24"/>
                <w:szCs w:val="24"/>
              </w:rPr>
            </w:pPr>
          </w:p>
        </w:tc>
        <w:tc>
          <w:tcPr>
            <w:tcW w:w="2444" w:type="dxa"/>
          </w:tcPr>
          <w:p w:rsidR="00AD4795" w:rsidRDefault="00AD4795" w:rsidP="00EC2E01">
            <w:pPr>
              <w:rPr>
                <w:sz w:val="24"/>
                <w:szCs w:val="24"/>
              </w:rPr>
            </w:pPr>
          </w:p>
        </w:tc>
        <w:tc>
          <w:tcPr>
            <w:tcW w:w="2445" w:type="dxa"/>
          </w:tcPr>
          <w:p w:rsidR="00AD4795" w:rsidRDefault="00AD4795" w:rsidP="00EC2E01">
            <w:pPr>
              <w:rPr>
                <w:sz w:val="24"/>
                <w:szCs w:val="24"/>
              </w:rPr>
            </w:pPr>
          </w:p>
        </w:tc>
        <w:tc>
          <w:tcPr>
            <w:tcW w:w="2445" w:type="dxa"/>
          </w:tcPr>
          <w:p w:rsidR="00AD4795" w:rsidRDefault="00AD4795" w:rsidP="00EC2E01">
            <w:pPr>
              <w:rPr>
                <w:sz w:val="24"/>
                <w:szCs w:val="24"/>
              </w:rPr>
            </w:pPr>
          </w:p>
        </w:tc>
      </w:tr>
    </w:tbl>
    <w:p w:rsidR="00AD4795" w:rsidRDefault="00AD4795" w:rsidP="00EC2E01">
      <w:pPr>
        <w:rPr>
          <w:sz w:val="24"/>
          <w:szCs w:val="24"/>
        </w:rPr>
      </w:pPr>
    </w:p>
    <w:p w:rsidR="00AD4795" w:rsidRDefault="00D160B6" w:rsidP="00BB456C">
      <w:pPr>
        <w:pStyle w:val="Overskrift2"/>
      </w:pPr>
      <w:bookmarkStart w:id="20" w:name="_Toc459104421"/>
      <w:r>
        <w:t xml:space="preserve">BILAG </w:t>
      </w:r>
      <w:r w:rsidR="00131CBB">
        <w:t>J</w:t>
      </w:r>
      <w:r w:rsidR="006256A0">
        <w:t>2</w:t>
      </w:r>
      <w:r>
        <w:t xml:space="preserve">. </w:t>
      </w:r>
      <w:r w:rsidR="00AD4795" w:rsidRPr="00AD4795">
        <w:t xml:space="preserve">Oversigt over procedurer for </w:t>
      </w:r>
      <w:r w:rsidR="0097515A">
        <w:t>styring, kontrol og datahåndtering</w:t>
      </w:r>
      <w:bookmarkEnd w:id="20"/>
    </w:p>
    <w:tbl>
      <w:tblPr>
        <w:tblStyle w:val="Tabel-Gitter"/>
        <w:tblW w:w="0" w:type="auto"/>
        <w:tblInd w:w="108" w:type="dxa"/>
        <w:tblLook w:val="04A0" w:firstRow="1" w:lastRow="0" w:firstColumn="1" w:lastColumn="0" w:noHBand="0" w:noVBand="1"/>
      </w:tblPr>
      <w:tblGrid>
        <w:gridCol w:w="2268"/>
        <w:gridCol w:w="2552"/>
        <w:gridCol w:w="4850"/>
      </w:tblGrid>
      <w:tr w:rsidR="00220B09" w:rsidTr="00143821">
        <w:tc>
          <w:tcPr>
            <w:tcW w:w="2268" w:type="dxa"/>
            <w:shd w:val="clear" w:color="auto" w:fill="B8CCE4" w:themeFill="accent1" w:themeFillTint="66"/>
          </w:tcPr>
          <w:p w:rsidR="00220B09" w:rsidRPr="00D160B6" w:rsidRDefault="00220B09" w:rsidP="00EC2E01">
            <w:r w:rsidRPr="00D160B6">
              <w:t>Version nr.</w:t>
            </w:r>
          </w:p>
        </w:tc>
        <w:tc>
          <w:tcPr>
            <w:tcW w:w="2552" w:type="dxa"/>
            <w:shd w:val="clear" w:color="auto" w:fill="B8CCE4" w:themeFill="accent1" w:themeFillTint="66"/>
          </w:tcPr>
          <w:p w:rsidR="00220B09" w:rsidRPr="00D160B6" w:rsidRDefault="00220B09" w:rsidP="00EC2E01">
            <w:r w:rsidRPr="00D160B6">
              <w:t>Dato</w:t>
            </w:r>
          </w:p>
        </w:tc>
        <w:tc>
          <w:tcPr>
            <w:tcW w:w="4850" w:type="dxa"/>
            <w:shd w:val="clear" w:color="auto" w:fill="B8CCE4" w:themeFill="accent1" w:themeFillTint="66"/>
          </w:tcPr>
          <w:p w:rsidR="00220B09" w:rsidRPr="00D160B6" w:rsidRDefault="00220B09" w:rsidP="00EC2E01">
            <w:r w:rsidRPr="00D160B6">
              <w:t>Ændret som følge af:</w:t>
            </w:r>
          </w:p>
        </w:tc>
      </w:tr>
      <w:tr w:rsidR="00220B09" w:rsidTr="00220B09">
        <w:tc>
          <w:tcPr>
            <w:tcW w:w="2268" w:type="dxa"/>
          </w:tcPr>
          <w:p w:rsidR="00220B09" w:rsidRDefault="00220B09" w:rsidP="00EC2E01">
            <w:pPr>
              <w:rPr>
                <w:sz w:val="24"/>
                <w:szCs w:val="24"/>
              </w:rPr>
            </w:pPr>
          </w:p>
        </w:tc>
        <w:tc>
          <w:tcPr>
            <w:tcW w:w="2552" w:type="dxa"/>
          </w:tcPr>
          <w:p w:rsidR="00220B09" w:rsidRDefault="00220B09" w:rsidP="00EC2E01">
            <w:pPr>
              <w:rPr>
                <w:sz w:val="24"/>
                <w:szCs w:val="24"/>
              </w:rPr>
            </w:pPr>
          </w:p>
        </w:tc>
        <w:tc>
          <w:tcPr>
            <w:tcW w:w="4850" w:type="dxa"/>
          </w:tcPr>
          <w:p w:rsidR="00220B09" w:rsidRDefault="00220B09" w:rsidP="00EC2E01">
            <w:pPr>
              <w:rPr>
                <w:sz w:val="24"/>
                <w:szCs w:val="24"/>
              </w:rPr>
            </w:pPr>
          </w:p>
        </w:tc>
      </w:tr>
      <w:tr w:rsidR="00220B09" w:rsidTr="00220B09">
        <w:tc>
          <w:tcPr>
            <w:tcW w:w="2268" w:type="dxa"/>
          </w:tcPr>
          <w:p w:rsidR="00220B09" w:rsidRDefault="00220B09" w:rsidP="00EC2E01">
            <w:pPr>
              <w:rPr>
                <w:sz w:val="24"/>
                <w:szCs w:val="24"/>
              </w:rPr>
            </w:pPr>
          </w:p>
        </w:tc>
        <w:tc>
          <w:tcPr>
            <w:tcW w:w="2552" w:type="dxa"/>
          </w:tcPr>
          <w:p w:rsidR="00220B09" w:rsidRDefault="00220B09" w:rsidP="00EC2E01">
            <w:pPr>
              <w:rPr>
                <w:sz w:val="24"/>
                <w:szCs w:val="24"/>
              </w:rPr>
            </w:pPr>
          </w:p>
        </w:tc>
        <w:tc>
          <w:tcPr>
            <w:tcW w:w="4850" w:type="dxa"/>
          </w:tcPr>
          <w:p w:rsidR="00220B09" w:rsidRDefault="00220B09" w:rsidP="00EC2E01">
            <w:pPr>
              <w:rPr>
                <w:sz w:val="24"/>
                <w:szCs w:val="24"/>
              </w:rPr>
            </w:pPr>
          </w:p>
        </w:tc>
      </w:tr>
    </w:tbl>
    <w:p w:rsidR="00220B09" w:rsidRDefault="00220B09" w:rsidP="00EC2E01">
      <w:pPr>
        <w:rPr>
          <w:sz w:val="24"/>
          <w:szCs w:val="24"/>
        </w:rPr>
      </w:pPr>
    </w:p>
    <w:p w:rsidR="00AD4795" w:rsidRPr="00AD4795" w:rsidRDefault="00AD4795" w:rsidP="00EC2E01">
      <w:pPr>
        <w:rPr>
          <w:sz w:val="24"/>
          <w:szCs w:val="24"/>
        </w:rPr>
      </w:pPr>
    </w:p>
    <w:sectPr w:rsidR="00AD4795" w:rsidRPr="00AD4795" w:rsidSect="00A0022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DA" w:rsidRDefault="00543EDA" w:rsidP="00016F77">
      <w:pPr>
        <w:spacing w:after="0" w:line="240" w:lineRule="auto"/>
      </w:pPr>
      <w:r>
        <w:separator/>
      </w:r>
    </w:p>
    <w:p w:rsidR="00543EDA" w:rsidRDefault="00543EDA"/>
  </w:endnote>
  <w:endnote w:type="continuationSeparator" w:id="0">
    <w:p w:rsidR="00543EDA" w:rsidRDefault="00543EDA" w:rsidP="00016F77">
      <w:pPr>
        <w:spacing w:after="0" w:line="240" w:lineRule="auto"/>
      </w:pPr>
      <w:r>
        <w:continuationSeparator/>
      </w:r>
    </w:p>
    <w:p w:rsidR="00543EDA" w:rsidRDefault="00543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EB" w:rsidRDefault="00BC07EB" w:rsidP="00962FE8">
    <w:pPr>
      <w:pStyle w:val="Sidefod"/>
    </w:pPr>
    <w:r>
      <w:t xml:space="preserve">Version </w:t>
    </w:r>
    <w:r w:rsidRPr="00962FE8">
      <w:t>1</w:t>
    </w:r>
    <w:r w:rsidRPr="00962FE8">
      <w:ptab w:relativeTo="margin" w:alignment="center" w:leader="none"/>
    </w:r>
    <w:r>
      <w:t xml:space="preserve">Side </w:t>
    </w:r>
    <w:r>
      <w:fldChar w:fldCharType="begin"/>
    </w:r>
    <w:r>
      <w:instrText xml:space="preserve"> PAGE   \* MERGEFORMAT </w:instrText>
    </w:r>
    <w:r>
      <w:fldChar w:fldCharType="separate"/>
    </w:r>
    <w:r w:rsidR="003B5072">
      <w:rPr>
        <w:noProof/>
      </w:rPr>
      <w:t>7</w:t>
    </w:r>
    <w:r>
      <w:rPr>
        <w:noProof/>
      </w:rPr>
      <w:fldChar w:fldCharType="end"/>
    </w:r>
    <w:r w:rsidRPr="00962FE8">
      <w:ptab w:relativeTo="margin" w:alignment="right" w:leader="none"/>
    </w:r>
    <w:r>
      <w:t>September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DA" w:rsidRDefault="00543EDA" w:rsidP="00016F77">
      <w:pPr>
        <w:spacing w:after="0" w:line="240" w:lineRule="auto"/>
      </w:pPr>
      <w:r>
        <w:separator/>
      </w:r>
    </w:p>
    <w:p w:rsidR="00543EDA" w:rsidRDefault="00543EDA"/>
  </w:footnote>
  <w:footnote w:type="continuationSeparator" w:id="0">
    <w:p w:rsidR="00543EDA" w:rsidRDefault="00543EDA" w:rsidP="00016F77">
      <w:pPr>
        <w:spacing w:after="0" w:line="240" w:lineRule="auto"/>
      </w:pPr>
      <w:r>
        <w:continuationSeparator/>
      </w:r>
    </w:p>
    <w:p w:rsidR="00543EDA" w:rsidRDefault="00543EDA"/>
  </w:footnote>
  <w:footnote w:id="1">
    <w:p w:rsidR="00BC07EB" w:rsidRDefault="00BC07EB">
      <w:pPr>
        <w:pStyle w:val="Fodnotetekst"/>
      </w:pPr>
      <w:r>
        <w:rPr>
          <w:rStyle w:val="Fodnotehenvisning"/>
        </w:rPr>
        <w:footnoteRef/>
      </w:r>
      <w:r>
        <w:t xml:space="preserve"> Artikel 11 (1)</w:t>
      </w:r>
    </w:p>
  </w:footnote>
  <w:footnote w:id="2">
    <w:p w:rsidR="00BC07EB" w:rsidRDefault="00BC07EB">
      <w:pPr>
        <w:pStyle w:val="Fodnotetekst"/>
      </w:pPr>
      <w:r>
        <w:rPr>
          <w:rStyle w:val="Fodnotehenvisning"/>
        </w:rPr>
        <w:footnoteRef/>
      </w:r>
      <w:r>
        <w:t xml:space="preserve"> </w:t>
      </w:r>
      <w:r>
        <w:rPr>
          <w:rFonts w:asciiTheme="minorHAnsi" w:hAnsiTheme="minorHAnsi"/>
          <w:sz w:val="18"/>
          <w:szCs w:val="18"/>
        </w:rPr>
        <w:t>Fysisk person(er) som kan tegne virksomheden juridisk. T</w:t>
      </w:r>
      <w:r w:rsidRPr="009E787E">
        <w:rPr>
          <w:rFonts w:asciiTheme="minorHAnsi" w:hAnsiTheme="minorHAnsi"/>
          <w:sz w:val="18"/>
          <w:szCs w:val="18"/>
        </w:rPr>
        <w:t>egningsberettiget fremgår normalt af selskabets vedtægter.</w:t>
      </w:r>
      <w:r>
        <w:rPr>
          <w:rFonts w:asciiTheme="minorHAnsi" w:hAnsiTheme="min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EB" w:rsidRPr="00D01887" w:rsidRDefault="00BC07EB" w:rsidP="00016F77">
    <w:pPr>
      <w:pStyle w:val="Sidehoved"/>
      <w:jc w:val="center"/>
      <w:rPr>
        <w:b/>
        <w:sz w:val="24"/>
        <w:szCs w:val="24"/>
      </w:rPr>
    </w:pPr>
    <w:r w:rsidRPr="00D01887">
      <w:rPr>
        <w:b/>
        <w:sz w:val="24"/>
        <w:szCs w:val="24"/>
      </w:rPr>
      <w:t>Eksempel på intern</w:t>
    </w:r>
    <w:r>
      <w:rPr>
        <w:b/>
        <w:sz w:val="24"/>
        <w:szCs w:val="24"/>
      </w:rPr>
      <w:t>e</w:t>
    </w:r>
    <w:r w:rsidRPr="00D01887">
      <w:rPr>
        <w:b/>
        <w:sz w:val="24"/>
        <w:szCs w:val="24"/>
      </w:rPr>
      <w:t xml:space="preserve"> procedure</w:t>
    </w:r>
    <w:r>
      <w:rPr>
        <w:b/>
        <w:sz w:val="24"/>
        <w:szCs w:val="24"/>
      </w:rPr>
      <w:t>r</w:t>
    </w:r>
    <w:r w:rsidRPr="00D01887">
      <w:rPr>
        <w:b/>
        <w:sz w:val="24"/>
        <w:szCs w:val="24"/>
      </w:rPr>
      <w:t xml:space="preserve"> for styring, kontrol og datahåndtering </w:t>
    </w:r>
  </w:p>
  <w:p w:rsidR="00BC07EB" w:rsidRDefault="00BC07EB" w:rsidP="00F6659B">
    <w:pPr>
      <w:pStyle w:val="Sidehoved"/>
      <w:jc w:val="center"/>
    </w:pPr>
    <w:r w:rsidRPr="00D01887">
      <w:rPr>
        <w:b/>
        <w:sz w:val="24"/>
        <w:szCs w:val="24"/>
      </w:rPr>
      <w:t>ved måling og registrering af CO</w:t>
    </w:r>
    <w:r w:rsidRPr="0055582D">
      <w:rPr>
        <w:b/>
        <w:sz w:val="24"/>
        <w:szCs w:val="24"/>
        <w:vertAlign w:val="subscript"/>
      </w:rPr>
      <w:t>2</w:t>
    </w:r>
    <w:r w:rsidRPr="00D01887">
      <w:rPr>
        <w:b/>
        <w:sz w:val="24"/>
        <w:szCs w:val="24"/>
      </w:rPr>
      <w:t>-udledning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98A"/>
    <w:multiLevelType w:val="hybridMultilevel"/>
    <w:tmpl w:val="163072F8"/>
    <w:lvl w:ilvl="0" w:tplc="20629738">
      <w:start w:val="1"/>
      <w:numFmt w:val="bullet"/>
      <w:lvlText w:val="-"/>
      <w:lvlJc w:val="left"/>
      <w:pPr>
        <w:tabs>
          <w:tab w:val="num" w:pos="720"/>
        </w:tabs>
        <w:ind w:left="720" w:hanging="360"/>
      </w:pPr>
      <w:rPr>
        <w:rFonts w:ascii="Calibri" w:eastAsiaTheme="minorHAnsi" w:hAnsi="Calibri" w:cstheme="minorBidi" w:hint="default"/>
      </w:rPr>
    </w:lvl>
    <w:lvl w:ilvl="1" w:tplc="FA60CF76">
      <w:start w:val="2"/>
      <w:numFmt w:val="bullet"/>
      <w:lvlText w:val="-"/>
      <w:lvlJc w:val="left"/>
      <w:pPr>
        <w:tabs>
          <w:tab w:val="num" w:pos="1440"/>
        </w:tabs>
        <w:ind w:left="1440" w:hanging="360"/>
      </w:pPr>
      <w:rPr>
        <w:rFonts w:ascii="Times New Roman" w:eastAsia="Times New Roman" w:hAnsi="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
    <w:nsid w:val="0CA0119E"/>
    <w:multiLevelType w:val="hybridMultilevel"/>
    <w:tmpl w:val="90C0B796"/>
    <w:lvl w:ilvl="0" w:tplc="A6B63CBE">
      <w:numFmt w:val="bullet"/>
      <w:lvlText w:val="-"/>
      <w:lvlJc w:val="left"/>
      <w:pPr>
        <w:tabs>
          <w:tab w:val="num" w:pos="360"/>
        </w:tabs>
        <w:ind w:left="360" w:hanging="360"/>
      </w:pPr>
      <w:rPr>
        <w:rFonts w:ascii="Tahoma" w:eastAsia="Times New Roman" w:hAnsi="Tahoma" w:cs="Tahoma" w:hint="default"/>
        <w:b w:val="0"/>
      </w:rPr>
    </w:lvl>
    <w:lvl w:ilvl="1" w:tplc="04060003" w:tentative="1">
      <w:start w:val="1"/>
      <w:numFmt w:val="bullet"/>
      <w:lvlText w:val="o"/>
      <w:lvlJc w:val="left"/>
      <w:pPr>
        <w:ind w:left="1019" w:hanging="360"/>
      </w:pPr>
      <w:rPr>
        <w:rFonts w:ascii="Courier New" w:hAnsi="Courier New" w:cs="Courier New" w:hint="default"/>
      </w:rPr>
    </w:lvl>
    <w:lvl w:ilvl="2" w:tplc="04060005" w:tentative="1">
      <w:start w:val="1"/>
      <w:numFmt w:val="bullet"/>
      <w:lvlText w:val=""/>
      <w:lvlJc w:val="left"/>
      <w:pPr>
        <w:ind w:left="1739" w:hanging="360"/>
      </w:pPr>
      <w:rPr>
        <w:rFonts w:ascii="Wingdings" w:hAnsi="Wingdings" w:hint="default"/>
      </w:rPr>
    </w:lvl>
    <w:lvl w:ilvl="3" w:tplc="04060001" w:tentative="1">
      <w:start w:val="1"/>
      <w:numFmt w:val="bullet"/>
      <w:lvlText w:val=""/>
      <w:lvlJc w:val="left"/>
      <w:pPr>
        <w:ind w:left="2459" w:hanging="360"/>
      </w:pPr>
      <w:rPr>
        <w:rFonts w:ascii="Symbol" w:hAnsi="Symbol" w:hint="default"/>
      </w:rPr>
    </w:lvl>
    <w:lvl w:ilvl="4" w:tplc="04060003" w:tentative="1">
      <w:start w:val="1"/>
      <w:numFmt w:val="bullet"/>
      <w:lvlText w:val="o"/>
      <w:lvlJc w:val="left"/>
      <w:pPr>
        <w:ind w:left="3179" w:hanging="360"/>
      </w:pPr>
      <w:rPr>
        <w:rFonts w:ascii="Courier New" w:hAnsi="Courier New" w:cs="Courier New" w:hint="default"/>
      </w:rPr>
    </w:lvl>
    <w:lvl w:ilvl="5" w:tplc="04060005" w:tentative="1">
      <w:start w:val="1"/>
      <w:numFmt w:val="bullet"/>
      <w:lvlText w:val=""/>
      <w:lvlJc w:val="left"/>
      <w:pPr>
        <w:ind w:left="3899" w:hanging="360"/>
      </w:pPr>
      <w:rPr>
        <w:rFonts w:ascii="Wingdings" w:hAnsi="Wingdings" w:hint="default"/>
      </w:rPr>
    </w:lvl>
    <w:lvl w:ilvl="6" w:tplc="04060001" w:tentative="1">
      <w:start w:val="1"/>
      <w:numFmt w:val="bullet"/>
      <w:lvlText w:val=""/>
      <w:lvlJc w:val="left"/>
      <w:pPr>
        <w:ind w:left="4619" w:hanging="360"/>
      </w:pPr>
      <w:rPr>
        <w:rFonts w:ascii="Symbol" w:hAnsi="Symbol" w:hint="default"/>
      </w:rPr>
    </w:lvl>
    <w:lvl w:ilvl="7" w:tplc="04060003" w:tentative="1">
      <w:start w:val="1"/>
      <w:numFmt w:val="bullet"/>
      <w:lvlText w:val="o"/>
      <w:lvlJc w:val="left"/>
      <w:pPr>
        <w:ind w:left="5339" w:hanging="360"/>
      </w:pPr>
      <w:rPr>
        <w:rFonts w:ascii="Courier New" w:hAnsi="Courier New" w:cs="Courier New" w:hint="default"/>
      </w:rPr>
    </w:lvl>
    <w:lvl w:ilvl="8" w:tplc="04060005" w:tentative="1">
      <w:start w:val="1"/>
      <w:numFmt w:val="bullet"/>
      <w:lvlText w:val=""/>
      <w:lvlJc w:val="left"/>
      <w:pPr>
        <w:ind w:left="6059" w:hanging="360"/>
      </w:pPr>
      <w:rPr>
        <w:rFonts w:ascii="Wingdings" w:hAnsi="Wingdings" w:hint="default"/>
      </w:rPr>
    </w:lvl>
  </w:abstractNum>
  <w:abstractNum w:abstractNumId="2">
    <w:nsid w:val="228053B9"/>
    <w:multiLevelType w:val="hybridMultilevel"/>
    <w:tmpl w:val="927C209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25D06356"/>
    <w:multiLevelType w:val="hybridMultilevel"/>
    <w:tmpl w:val="6E2E3440"/>
    <w:lvl w:ilvl="0" w:tplc="3BA45E9A">
      <w:numFmt w:val="bullet"/>
      <w:lvlText w:val="-"/>
      <w:lvlJc w:val="left"/>
      <w:pPr>
        <w:tabs>
          <w:tab w:val="num" w:pos="360"/>
        </w:tabs>
        <w:ind w:left="360" w:hanging="360"/>
      </w:pPr>
      <w:rPr>
        <w:rFonts w:ascii="Tahoma" w:eastAsia="Times New Roman" w:hAnsi="Tahoma" w:cs="Tahoma" w:hint="default"/>
      </w:rPr>
    </w:lvl>
    <w:lvl w:ilvl="1" w:tplc="04060003" w:tentative="1">
      <w:start w:val="1"/>
      <w:numFmt w:val="bullet"/>
      <w:lvlText w:val="o"/>
      <w:lvlJc w:val="left"/>
      <w:pPr>
        <w:ind w:left="1019" w:hanging="360"/>
      </w:pPr>
      <w:rPr>
        <w:rFonts w:ascii="Courier New" w:hAnsi="Courier New" w:cs="Courier New" w:hint="default"/>
      </w:rPr>
    </w:lvl>
    <w:lvl w:ilvl="2" w:tplc="04060005" w:tentative="1">
      <w:start w:val="1"/>
      <w:numFmt w:val="bullet"/>
      <w:lvlText w:val=""/>
      <w:lvlJc w:val="left"/>
      <w:pPr>
        <w:ind w:left="1739" w:hanging="360"/>
      </w:pPr>
      <w:rPr>
        <w:rFonts w:ascii="Wingdings" w:hAnsi="Wingdings" w:hint="default"/>
      </w:rPr>
    </w:lvl>
    <w:lvl w:ilvl="3" w:tplc="04060001" w:tentative="1">
      <w:start w:val="1"/>
      <w:numFmt w:val="bullet"/>
      <w:lvlText w:val=""/>
      <w:lvlJc w:val="left"/>
      <w:pPr>
        <w:ind w:left="2459" w:hanging="360"/>
      </w:pPr>
      <w:rPr>
        <w:rFonts w:ascii="Symbol" w:hAnsi="Symbol" w:hint="default"/>
      </w:rPr>
    </w:lvl>
    <w:lvl w:ilvl="4" w:tplc="04060003" w:tentative="1">
      <w:start w:val="1"/>
      <w:numFmt w:val="bullet"/>
      <w:lvlText w:val="o"/>
      <w:lvlJc w:val="left"/>
      <w:pPr>
        <w:ind w:left="3179" w:hanging="360"/>
      </w:pPr>
      <w:rPr>
        <w:rFonts w:ascii="Courier New" w:hAnsi="Courier New" w:cs="Courier New" w:hint="default"/>
      </w:rPr>
    </w:lvl>
    <w:lvl w:ilvl="5" w:tplc="04060005" w:tentative="1">
      <w:start w:val="1"/>
      <w:numFmt w:val="bullet"/>
      <w:lvlText w:val=""/>
      <w:lvlJc w:val="left"/>
      <w:pPr>
        <w:ind w:left="3899" w:hanging="360"/>
      </w:pPr>
      <w:rPr>
        <w:rFonts w:ascii="Wingdings" w:hAnsi="Wingdings" w:hint="default"/>
      </w:rPr>
    </w:lvl>
    <w:lvl w:ilvl="6" w:tplc="04060001" w:tentative="1">
      <w:start w:val="1"/>
      <w:numFmt w:val="bullet"/>
      <w:lvlText w:val=""/>
      <w:lvlJc w:val="left"/>
      <w:pPr>
        <w:ind w:left="4619" w:hanging="360"/>
      </w:pPr>
      <w:rPr>
        <w:rFonts w:ascii="Symbol" w:hAnsi="Symbol" w:hint="default"/>
      </w:rPr>
    </w:lvl>
    <w:lvl w:ilvl="7" w:tplc="04060003" w:tentative="1">
      <w:start w:val="1"/>
      <w:numFmt w:val="bullet"/>
      <w:lvlText w:val="o"/>
      <w:lvlJc w:val="left"/>
      <w:pPr>
        <w:ind w:left="5339" w:hanging="360"/>
      </w:pPr>
      <w:rPr>
        <w:rFonts w:ascii="Courier New" w:hAnsi="Courier New" w:cs="Courier New" w:hint="default"/>
      </w:rPr>
    </w:lvl>
    <w:lvl w:ilvl="8" w:tplc="04060005" w:tentative="1">
      <w:start w:val="1"/>
      <w:numFmt w:val="bullet"/>
      <w:lvlText w:val=""/>
      <w:lvlJc w:val="left"/>
      <w:pPr>
        <w:ind w:left="6059" w:hanging="360"/>
      </w:pPr>
      <w:rPr>
        <w:rFonts w:ascii="Wingdings" w:hAnsi="Wingdings" w:hint="default"/>
      </w:rPr>
    </w:lvl>
  </w:abstractNum>
  <w:abstractNum w:abstractNumId="4">
    <w:nsid w:val="2AE838FD"/>
    <w:multiLevelType w:val="hybridMultilevel"/>
    <w:tmpl w:val="1F8EFFE2"/>
    <w:lvl w:ilvl="0" w:tplc="3BA45E9A">
      <w:numFmt w:val="bullet"/>
      <w:lvlText w:val="-"/>
      <w:lvlJc w:val="left"/>
      <w:pPr>
        <w:tabs>
          <w:tab w:val="num" w:pos="360"/>
        </w:tabs>
        <w:ind w:left="360" w:hanging="360"/>
      </w:pPr>
      <w:rPr>
        <w:rFonts w:ascii="Tahoma" w:eastAsia="Times New Roman" w:hAnsi="Tahoma" w:cs="Tahom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32866B63"/>
    <w:multiLevelType w:val="hybridMultilevel"/>
    <w:tmpl w:val="D4BCD2C6"/>
    <w:lvl w:ilvl="0" w:tplc="20629738">
      <w:start w:val="1"/>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6616308"/>
    <w:multiLevelType w:val="hybridMultilevel"/>
    <w:tmpl w:val="0C8802A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43D50209"/>
    <w:multiLevelType w:val="hybridMultilevel"/>
    <w:tmpl w:val="17BCD4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6C658F3"/>
    <w:multiLevelType w:val="hybridMultilevel"/>
    <w:tmpl w:val="FC587372"/>
    <w:lvl w:ilvl="0" w:tplc="3BA45E9A">
      <w:numFmt w:val="bullet"/>
      <w:lvlText w:val="-"/>
      <w:lvlJc w:val="left"/>
      <w:pPr>
        <w:tabs>
          <w:tab w:val="num" w:pos="360"/>
        </w:tabs>
        <w:ind w:left="360" w:hanging="360"/>
      </w:pPr>
      <w:rPr>
        <w:rFonts w:ascii="Tahoma" w:eastAsia="Times New Roman" w:hAnsi="Tahoma" w:cs="Tahoma"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nsid w:val="489425F3"/>
    <w:multiLevelType w:val="hybridMultilevel"/>
    <w:tmpl w:val="0406BE38"/>
    <w:lvl w:ilvl="0" w:tplc="3BA45E9A">
      <w:numFmt w:val="bullet"/>
      <w:lvlText w:val="-"/>
      <w:lvlJc w:val="left"/>
      <w:pPr>
        <w:tabs>
          <w:tab w:val="num" w:pos="360"/>
        </w:tabs>
        <w:ind w:left="360" w:hanging="360"/>
      </w:pPr>
      <w:rPr>
        <w:rFonts w:ascii="Tahoma" w:eastAsia="Times New Roman" w:hAnsi="Tahoma" w:cs="Tahoma" w:hint="default"/>
      </w:rPr>
    </w:lvl>
    <w:lvl w:ilvl="1" w:tplc="04060003" w:tentative="1">
      <w:start w:val="1"/>
      <w:numFmt w:val="bullet"/>
      <w:lvlText w:val="o"/>
      <w:lvlJc w:val="left"/>
      <w:pPr>
        <w:ind w:left="1019" w:hanging="360"/>
      </w:pPr>
      <w:rPr>
        <w:rFonts w:ascii="Courier New" w:hAnsi="Courier New" w:cs="Courier New" w:hint="default"/>
      </w:rPr>
    </w:lvl>
    <w:lvl w:ilvl="2" w:tplc="04060005" w:tentative="1">
      <w:start w:val="1"/>
      <w:numFmt w:val="bullet"/>
      <w:lvlText w:val=""/>
      <w:lvlJc w:val="left"/>
      <w:pPr>
        <w:ind w:left="1739" w:hanging="360"/>
      </w:pPr>
      <w:rPr>
        <w:rFonts w:ascii="Wingdings" w:hAnsi="Wingdings" w:hint="default"/>
      </w:rPr>
    </w:lvl>
    <w:lvl w:ilvl="3" w:tplc="04060001" w:tentative="1">
      <w:start w:val="1"/>
      <w:numFmt w:val="bullet"/>
      <w:lvlText w:val=""/>
      <w:lvlJc w:val="left"/>
      <w:pPr>
        <w:ind w:left="2459" w:hanging="360"/>
      </w:pPr>
      <w:rPr>
        <w:rFonts w:ascii="Symbol" w:hAnsi="Symbol" w:hint="default"/>
      </w:rPr>
    </w:lvl>
    <w:lvl w:ilvl="4" w:tplc="04060003" w:tentative="1">
      <w:start w:val="1"/>
      <w:numFmt w:val="bullet"/>
      <w:lvlText w:val="o"/>
      <w:lvlJc w:val="left"/>
      <w:pPr>
        <w:ind w:left="3179" w:hanging="360"/>
      </w:pPr>
      <w:rPr>
        <w:rFonts w:ascii="Courier New" w:hAnsi="Courier New" w:cs="Courier New" w:hint="default"/>
      </w:rPr>
    </w:lvl>
    <w:lvl w:ilvl="5" w:tplc="04060005" w:tentative="1">
      <w:start w:val="1"/>
      <w:numFmt w:val="bullet"/>
      <w:lvlText w:val=""/>
      <w:lvlJc w:val="left"/>
      <w:pPr>
        <w:ind w:left="3899" w:hanging="360"/>
      </w:pPr>
      <w:rPr>
        <w:rFonts w:ascii="Wingdings" w:hAnsi="Wingdings" w:hint="default"/>
      </w:rPr>
    </w:lvl>
    <w:lvl w:ilvl="6" w:tplc="04060001" w:tentative="1">
      <w:start w:val="1"/>
      <w:numFmt w:val="bullet"/>
      <w:lvlText w:val=""/>
      <w:lvlJc w:val="left"/>
      <w:pPr>
        <w:ind w:left="4619" w:hanging="360"/>
      </w:pPr>
      <w:rPr>
        <w:rFonts w:ascii="Symbol" w:hAnsi="Symbol" w:hint="default"/>
      </w:rPr>
    </w:lvl>
    <w:lvl w:ilvl="7" w:tplc="04060003" w:tentative="1">
      <w:start w:val="1"/>
      <w:numFmt w:val="bullet"/>
      <w:lvlText w:val="o"/>
      <w:lvlJc w:val="left"/>
      <w:pPr>
        <w:ind w:left="5339" w:hanging="360"/>
      </w:pPr>
      <w:rPr>
        <w:rFonts w:ascii="Courier New" w:hAnsi="Courier New" w:cs="Courier New" w:hint="default"/>
      </w:rPr>
    </w:lvl>
    <w:lvl w:ilvl="8" w:tplc="04060005" w:tentative="1">
      <w:start w:val="1"/>
      <w:numFmt w:val="bullet"/>
      <w:lvlText w:val=""/>
      <w:lvlJc w:val="left"/>
      <w:pPr>
        <w:ind w:left="6059" w:hanging="360"/>
      </w:pPr>
      <w:rPr>
        <w:rFonts w:ascii="Wingdings" w:hAnsi="Wingdings" w:hint="default"/>
      </w:rPr>
    </w:lvl>
  </w:abstractNum>
  <w:abstractNum w:abstractNumId="10">
    <w:nsid w:val="50BA29DD"/>
    <w:multiLevelType w:val="hybridMultilevel"/>
    <w:tmpl w:val="87B8107A"/>
    <w:lvl w:ilvl="0" w:tplc="3BA45E9A">
      <w:numFmt w:val="bullet"/>
      <w:lvlText w:val="-"/>
      <w:lvlJc w:val="left"/>
      <w:pPr>
        <w:tabs>
          <w:tab w:val="num" w:pos="360"/>
        </w:tabs>
        <w:ind w:left="360" w:hanging="360"/>
      </w:pPr>
      <w:rPr>
        <w:rFonts w:ascii="Tahoma" w:eastAsia="Times New Roman" w:hAnsi="Tahoma" w:cs="Tahoma" w:hint="default"/>
      </w:rPr>
    </w:lvl>
    <w:lvl w:ilvl="1" w:tplc="04060003" w:tentative="1">
      <w:start w:val="1"/>
      <w:numFmt w:val="bullet"/>
      <w:lvlText w:val="o"/>
      <w:lvlJc w:val="left"/>
      <w:pPr>
        <w:ind w:left="1019" w:hanging="360"/>
      </w:pPr>
      <w:rPr>
        <w:rFonts w:ascii="Courier New" w:hAnsi="Courier New" w:cs="Courier New" w:hint="default"/>
      </w:rPr>
    </w:lvl>
    <w:lvl w:ilvl="2" w:tplc="04060005" w:tentative="1">
      <w:start w:val="1"/>
      <w:numFmt w:val="bullet"/>
      <w:lvlText w:val=""/>
      <w:lvlJc w:val="left"/>
      <w:pPr>
        <w:ind w:left="1739" w:hanging="360"/>
      </w:pPr>
      <w:rPr>
        <w:rFonts w:ascii="Wingdings" w:hAnsi="Wingdings" w:hint="default"/>
      </w:rPr>
    </w:lvl>
    <w:lvl w:ilvl="3" w:tplc="04060001" w:tentative="1">
      <w:start w:val="1"/>
      <w:numFmt w:val="bullet"/>
      <w:lvlText w:val=""/>
      <w:lvlJc w:val="left"/>
      <w:pPr>
        <w:ind w:left="2459" w:hanging="360"/>
      </w:pPr>
      <w:rPr>
        <w:rFonts w:ascii="Symbol" w:hAnsi="Symbol" w:hint="default"/>
      </w:rPr>
    </w:lvl>
    <w:lvl w:ilvl="4" w:tplc="04060003" w:tentative="1">
      <w:start w:val="1"/>
      <w:numFmt w:val="bullet"/>
      <w:lvlText w:val="o"/>
      <w:lvlJc w:val="left"/>
      <w:pPr>
        <w:ind w:left="3179" w:hanging="360"/>
      </w:pPr>
      <w:rPr>
        <w:rFonts w:ascii="Courier New" w:hAnsi="Courier New" w:cs="Courier New" w:hint="default"/>
      </w:rPr>
    </w:lvl>
    <w:lvl w:ilvl="5" w:tplc="04060005" w:tentative="1">
      <w:start w:val="1"/>
      <w:numFmt w:val="bullet"/>
      <w:lvlText w:val=""/>
      <w:lvlJc w:val="left"/>
      <w:pPr>
        <w:ind w:left="3899" w:hanging="360"/>
      </w:pPr>
      <w:rPr>
        <w:rFonts w:ascii="Wingdings" w:hAnsi="Wingdings" w:hint="default"/>
      </w:rPr>
    </w:lvl>
    <w:lvl w:ilvl="6" w:tplc="04060001" w:tentative="1">
      <w:start w:val="1"/>
      <w:numFmt w:val="bullet"/>
      <w:lvlText w:val=""/>
      <w:lvlJc w:val="left"/>
      <w:pPr>
        <w:ind w:left="4619" w:hanging="360"/>
      </w:pPr>
      <w:rPr>
        <w:rFonts w:ascii="Symbol" w:hAnsi="Symbol" w:hint="default"/>
      </w:rPr>
    </w:lvl>
    <w:lvl w:ilvl="7" w:tplc="04060003" w:tentative="1">
      <w:start w:val="1"/>
      <w:numFmt w:val="bullet"/>
      <w:lvlText w:val="o"/>
      <w:lvlJc w:val="left"/>
      <w:pPr>
        <w:ind w:left="5339" w:hanging="360"/>
      </w:pPr>
      <w:rPr>
        <w:rFonts w:ascii="Courier New" w:hAnsi="Courier New" w:cs="Courier New" w:hint="default"/>
      </w:rPr>
    </w:lvl>
    <w:lvl w:ilvl="8" w:tplc="04060005" w:tentative="1">
      <w:start w:val="1"/>
      <w:numFmt w:val="bullet"/>
      <w:lvlText w:val=""/>
      <w:lvlJc w:val="left"/>
      <w:pPr>
        <w:ind w:left="6059" w:hanging="360"/>
      </w:pPr>
      <w:rPr>
        <w:rFonts w:ascii="Wingdings" w:hAnsi="Wingdings" w:hint="default"/>
      </w:rPr>
    </w:lvl>
  </w:abstractNum>
  <w:abstractNum w:abstractNumId="11">
    <w:nsid w:val="64613C79"/>
    <w:multiLevelType w:val="hybridMultilevel"/>
    <w:tmpl w:val="64E2CB70"/>
    <w:lvl w:ilvl="0" w:tplc="3D625D56">
      <w:start w:val="1"/>
      <w:numFmt w:val="lowerLetter"/>
      <w:pStyle w:val="Overskrift1"/>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1645EC2"/>
    <w:multiLevelType w:val="hybridMultilevel"/>
    <w:tmpl w:val="E732E5DA"/>
    <w:lvl w:ilvl="0" w:tplc="3BA45E9A">
      <w:numFmt w:val="bullet"/>
      <w:lvlText w:val="-"/>
      <w:lvlJc w:val="left"/>
      <w:pPr>
        <w:tabs>
          <w:tab w:val="num" w:pos="360"/>
        </w:tabs>
        <w:ind w:left="360" w:hanging="360"/>
      </w:pPr>
      <w:rPr>
        <w:rFonts w:ascii="Tahoma" w:eastAsia="Times New Roman" w:hAnsi="Tahoma" w:cs="Tahoma" w:hint="default"/>
      </w:rPr>
    </w:lvl>
    <w:lvl w:ilvl="1" w:tplc="04060003" w:tentative="1">
      <w:start w:val="1"/>
      <w:numFmt w:val="bullet"/>
      <w:lvlText w:val="o"/>
      <w:lvlJc w:val="left"/>
      <w:pPr>
        <w:ind w:left="1019" w:hanging="360"/>
      </w:pPr>
      <w:rPr>
        <w:rFonts w:ascii="Courier New" w:hAnsi="Courier New" w:cs="Courier New" w:hint="default"/>
      </w:rPr>
    </w:lvl>
    <w:lvl w:ilvl="2" w:tplc="04060005" w:tentative="1">
      <w:start w:val="1"/>
      <w:numFmt w:val="bullet"/>
      <w:lvlText w:val=""/>
      <w:lvlJc w:val="left"/>
      <w:pPr>
        <w:ind w:left="1739" w:hanging="360"/>
      </w:pPr>
      <w:rPr>
        <w:rFonts w:ascii="Wingdings" w:hAnsi="Wingdings" w:hint="default"/>
      </w:rPr>
    </w:lvl>
    <w:lvl w:ilvl="3" w:tplc="04060001" w:tentative="1">
      <w:start w:val="1"/>
      <w:numFmt w:val="bullet"/>
      <w:lvlText w:val=""/>
      <w:lvlJc w:val="left"/>
      <w:pPr>
        <w:ind w:left="2459" w:hanging="360"/>
      </w:pPr>
      <w:rPr>
        <w:rFonts w:ascii="Symbol" w:hAnsi="Symbol" w:hint="default"/>
      </w:rPr>
    </w:lvl>
    <w:lvl w:ilvl="4" w:tplc="04060003" w:tentative="1">
      <w:start w:val="1"/>
      <w:numFmt w:val="bullet"/>
      <w:lvlText w:val="o"/>
      <w:lvlJc w:val="left"/>
      <w:pPr>
        <w:ind w:left="3179" w:hanging="360"/>
      </w:pPr>
      <w:rPr>
        <w:rFonts w:ascii="Courier New" w:hAnsi="Courier New" w:cs="Courier New" w:hint="default"/>
      </w:rPr>
    </w:lvl>
    <w:lvl w:ilvl="5" w:tplc="04060005" w:tentative="1">
      <w:start w:val="1"/>
      <w:numFmt w:val="bullet"/>
      <w:lvlText w:val=""/>
      <w:lvlJc w:val="left"/>
      <w:pPr>
        <w:ind w:left="3899" w:hanging="360"/>
      </w:pPr>
      <w:rPr>
        <w:rFonts w:ascii="Wingdings" w:hAnsi="Wingdings" w:hint="default"/>
      </w:rPr>
    </w:lvl>
    <w:lvl w:ilvl="6" w:tplc="04060001" w:tentative="1">
      <w:start w:val="1"/>
      <w:numFmt w:val="bullet"/>
      <w:lvlText w:val=""/>
      <w:lvlJc w:val="left"/>
      <w:pPr>
        <w:ind w:left="4619" w:hanging="360"/>
      </w:pPr>
      <w:rPr>
        <w:rFonts w:ascii="Symbol" w:hAnsi="Symbol" w:hint="default"/>
      </w:rPr>
    </w:lvl>
    <w:lvl w:ilvl="7" w:tplc="04060003" w:tentative="1">
      <w:start w:val="1"/>
      <w:numFmt w:val="bullet"/>
      <w:lvlText w:val="o"/>
      <w:lvlJc w:val="left"/>
      <w:pPr>
        <w:ind w:left="5339" w:hanging="360"/>
      </w:pPr>
      <w:rPr>
        <w:rFonts w:ascii="Courier New" w:hAnsi="Courier New" w:cs="Courier New" w:hint="default"/>
      </w:rPr>
    </w:lvl>
    <w:lvl w:ilvl="8" w:tplc="04060005" w:tentative="1">
      <w:start w:val="1"/>
      <w:numFmt w:val="bullet"/>
      <w:lvlText w:val=""/>
      <w:lvlJc w:val="left"/>
      <w:pPr>
        <w:ind w:left="6059" w:hanging="360"/>
      </w:pPr>
      <w:rPr>
        <w:rFonts w:ascii="Wingdings" w:hAnsi="Wingdings" w:hint="default"/>
      </w:rPr>
    </w:lvl>
  </w:abstractNum>
  <w:abstractNum w:abstractNumId="13">
    <w:nsid w:val="768102AF"/>
    <w:multiLevelType w:val="hybridMultilevel"/>
    <w:tmpl w:val="4CA4A510"/>
    <w:lvl w:ilvl="0" w:tplc="3BA45E9A">
      <w:numFmt w:val="bullet"/>
      <w:lvlText w:val="-"/>
      <w:lvlJc w:val="left"/>
      <w:pPr>
        <w:tabs>
          <w:tab w:val="num" w:pos="360"/>
        </w:tabs>
        <w:ind w:left="360" w:hanging="360"/>
      </w:pPr>
      <w:rPr>
        <w:rFonts w:ascii="Tahoma" w:eastAsia="Times New Roman" w:hAnsi="Tahoma" w:cs="Tahoma" w:hint="default"/>
      </w:rPr>
    </w:lvl>
    <w:lvl w:ilvl="1" w:tplc="04060003" w:tentative="1">
      <w:start w:val="1"/>
      <w:numFmt w:val="bullet"/>
      <w:lvlText w:val="o"/>
      <w:lvlJc w:val="left"/>
      <w:pPr>
        <w:ind w:left="1019" w:hanging="360"/>
      </w:pPr>
      <w:rPr>
        <w:rFonts w:ascii="Courier New" w:hAnsi="Courier New" w:cs="Courier New" w:hint="default"/>
      </w:rPr>
    </w:lvl>
    <w:lvl w:ilvl="2" w:tplc="04060005" w:tentative="1">
      <w:start w:val="1"/>
      <w:numFmt w:val="bullet"/>
      <w:lvlText w:val=""/>
      <w:lvlJc w:val="left"/>
      <w:pPr>
        <w:ind w:left="1739" w:hanging="360"/>
      </w:pPr>
      <w:rPr>
        <w:rFonts w:ascii="Wingdings" w:hAnsi="Wingdings" w:hint="default"/>
      </w:rPr>
    </w:lvl>
    <w:lvl w:ilvl="3" w:tplc="04060001" w:tentative="1">
      <w:start w:val="1"/>
      <w:numFmt w:val="bullet"/>
      <w:lvlText w:val=""/>
      <w:lvlJc w:val="left"/>
      <w:pPr>
        <w:ind w:left="2459" w:hanging="360"/>
      </w:pPr>
      <w:rPr>
        <w:rFonts w:ascii="Symbol" w:hAnsi="Symbol" w:hint="default"/>
      </w:rPr>
    </w:lvl>
    <w:lvl w:ilvl="4" w:tplc="04060003" w:tentative="1">
      <w:start w:val="1"/>
      <w:numFmt w:val="bullet"/>
      <w:lvlText w:val="o"/>
      <w:lvlJc w:val="left"/>
      <w:pPr>
        <w:ind w:left="3179" w:hanging="360"/>
      </w:pPr>
      <w:rPr>
        <w:rFonts w:ascii="Courier New" w:hAnsi="Courier New" w:cs="Courier New" w:hint="default"/>
      </w:rPr>
    </w:lvl>
    <w:lvl w:ilvl="5" w:tplc="04060005" w:tentative="1">
      <w:start w:val="1"/>
      <w:numFmt w:val="bullet"/>
      <w:lvlText w:val=""/>
      <w:lvlJc w:val="left"/>
      <w:pPr>
        <w:ind w:left="3899" w:hanging="360"/>
      </w:pPr>
      <w:rPr>
        <w:rFonts w:ascii="Wingdings" w:hAnsi="Wingdings" w:hint="default"/>
      </w:rPr>
    </w:lvl>
    <w:lvl w:ilvl="6" w:tplc="04060001" w:tentative="1">
      <w:start w:val="1"/>
      <w:numFmt w:val="bullet"/>
      <w:lvlText w:val=""/>
      <w:lvlJc w:val="left"/>
      <w:pPr>
        <w:ind w:left="4619" w:hanging="360"/>
      </w:pPr>
      <w:rPr>
        <w:rFonts w:ascii="Symbol" w:hAnsi="Symbol" w:hint="default"/>
      </w:rPr>
    </w:lvl>
    <w:lvl w:ilvl="7" w:tplc="04060003" w:tentative="1">
      <w:start w:val="1"/>
      <w:numFmt w:val="bullet"/>
      <w:lvlText w:val="o"/>
      <w:lvlJc w:val="left"/>
      <w:pPr>
        <w:ind w:left="5339" w:hanging="360"/>
      </w:pPr>
      <w:rPr>
        <w:rFonts w:ascii="Courier New" w:hAnsi="Courier New" w:cs="Courier New" w:hint="default"/>
      </w:rPr>
    </w:lvl>
    <w:lvl w:ilvl="8" w:tplc="04060005" w:tentative="1">
      <w:start w:val="1"/>
      <w:numFmt w:val="bullet"/>
      <w:lvlText w:val=""/>
      <w:lvlJc w:val="left"/>
      <w:pPr>
        <w:ind w:left="6059"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3"/>
  </w:num>
  <w:num w:numId="6">
    <w:abstractNumId w:val="13"/>
  </w:num>
  <w:num w:numId="7">
    <w:abstractNumId w:val="10"/>
  </w:num>
  <w:num w:numId="8">
    <w:abstractNumId w:val="9"/>
  </w:num>
  <w:num w:numId="9">
    <w:abstractNumId w:val="12"/>
  </w:num>
  <w:num w:numId="10">
    <w:abstractNumId w:val="1"/>
  </w:num>
  <w:num w:numId="11">
    <w:abstractNumId w:val="7"/>
  </w:num>
  <w:num w:numId="12">
    <w:abstractNumId w:val="6"/>
  </w:num>
  <w:num w:numId="13">
    <w:abstractNumId w:val="4"/>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46D7"/>
    <w:rsid w:val="0000529C"/>
    <w:rsid w:val="0000741B"/>
    <w:rsid w:val="0000755E"/>
    <w:rsid w:val="00016A3C"/>
    <w:rsid w:val="00016F77"/>
    <w:rsid w:val="000325AE"/>
    <w:rsid w:val="00035935"/>
    <w:rsid w:val="00044C51"/>
    <w:rsid w:val="00045ABF"/>
    <w:rsid w:val="000539CD"/>
    <w:rsid w:val="000570D7"/>
    <w:rsid w:val="00067183"/>
    <w:rsid w:val="00073019"/>
    <w:rsid w:val="000A323E"/>
    <w:rsid w:val="000A6923"/>
    <w:rsid w:val="000A79C2"/>
    <w:rsid w:val="000C5FF4"/>
    <w:rsid w:val="000C674F"/>
    <w:rsid w:val="000E08E4"/>
    <w:rsid w:val="000E2E1C"/>
    <w:rsid w:val="000E3652"/>
    <w:rsid w:val="000E5216"/>
    <w:rsid w:val="000F0F10"/>
    <w:rsid w:val="000F7012"/>
    <w:rsid w:val="000F7974"/>
    <w:rsid w:val="00121A22"/>
    <w:rsid w:val="00125B97"/>
    <w:rsid w:val="00127141"/>
    <w:rsid w:val="00131CBB"/>
    <w:rsid w:val="00143821"/>
    <w:rsid w:val="00144800"/>
    <w:rsid w:val="001500B6"/>
    <w:rsid w:val="00157AC6"/>
    <w:rsid w:val="00160AAF"/>
    <w:rsid w:val="00166355"/>
    <w:rsid w:val="00166E2D"/>
    <w:rsid w:val="00167D71"/>
    <w:rsid w:val="00167E20"/>
    <w:rsid w:val="001723D5"/>
    <w:rsid w:val="00177E71"/>
    <w:rsid w:val="00180F65"/>
    <w:rsid w:val="00192A41"/>
    <w:rsid w:val="001931AA"/>
    <w:rsid w:val="001A2D70"/>
    <w:rsid w:val="001C5E8C"/>
    <w:rsid w:val="001C74B7"/>
    <w:rsid w:val="001D5013"/>
    <w:rsid w:val="001D5FD6"/>
    <w:rsid w:val="001D6878"/>
    <w:rsid w:val="001E4A06"/>
    <w:rsid w:val="001E7C62"/>
    <w:rsid w:val="00207D9A"/>
    <w:rsid w:val="002123FE"/>
    <w:rsid w:val="00220B09"/>
    <w:rsid w:val="0022152B"/>
    <w:rsid w:val="002263CF"/>
    <w:rsid w:val="00227F35"/>
    <w:rsid w:val="002320B2"/>
    <w:rsid w:val="00236AE0"/>
    <w:rsid w:val="00246168"/>
    <w:rsid w:val="0026196D"/>
    <w:rsid w:val="002642B4"/>
    <w:rsid w:val="00267C46"/>
    <w:rsid w:val="00270F9B"/>
    <w:rsid w:val="00276B24"/>
    <w:rsid w:val="002810EF"/>
    <w:rsid w:val="00281130"/>
    <w:rsid w:val="00291EBC"/>
    <w:rsid w:val="002942E9"/>
    <w:rsid w:val="00296ADC"/>
    <w:rsid w:val="00297F36"/>
    <w:rsid w:val="002A177B"/>
    <w:rsid w:val="002B2BBC"/>
    <w:rsid w:val="002C0719"/>
    <w:rsid w:val="002C518E"/>
    <w:rsid w:val="002D1934"/>
    <w:rsid w:val="002D2BBD"/>
    <w:rsid w:val="002F1003"/>
    <w:rsid w:val="002F2940"/>
    <w:rsid w:val="002F2F87"/>
    <w:rsid w:val="00301B20"/>
    <w:rsid w:val="0030460A"/>
    <w:rsid w:val="003245FC"/>
    <w:rsid w:val="00326AB4"/>
    <w:rsid w:val="003440DC"/>
    <w:rsid w:val="00351948"/>
    <w:rsid w:val="00357AAD"/>
    <w:rsid w:val="00362BD2"/>
    <w:rsid w:val="00371377"/>
    <w:rsid w:val="00374524"/>
    <w:rsid w:val="003807EA"/>
    <w:rsid w:val="00383041"/>
    <w:rsid w:val="00393BFF"/>
    <w:rsid w:val="0039486F"/>
    <w:rsid w:val="00395773"/>
    <w:rsid w:val="003B18D3"/>
    <w:rsid w:val="003B5072"/>
    <w:rsid w:val="003D5EF4"/>
    <w:rsid w:val="003E6534"/>
    <w:rsid w:val="00400705"/>
    <w:rsid w:val="00401879"/>
    <w:rsid w:val="00402ED9"/>
    <w:rsid w:val="00410D07"/>
    <w:rsid w:val="004271B1"/>
    <w:rsid w:val="00432A60"/>
    <w:rsid w:val="00441652"/>
    <w:rsid w:val="00451FA0"/>
    <w:rsid w:val="00452989"/>
    <w:rsid w:val="004716FB"/>
    <w:rsid w:val="00481EF3"/>
    <w:rsid w:val="004841DD"/>
    <w:rsid w:val="00485D6F"/>
    <w:rsid w:val="004860FF"/>
    <w:rsid w:val="004866EC"/>
    <w:rsid w:val="004878A2"/>
    <w:rsid w:val="004930C2"/>
    <w:rsid w:val="004B2FE9"/>
    <w:rsid w:val="004B2FF2"/>
    <w:rsid w:val="004C1FA1"/>
    <w:rsid w:val="004C312A"/>
    <w:rsid w:val="004D16BC"/>
    <w:rsid w:val="004D24D0"/>
    <w:rsid w:val="004F51FD"/>
    <w:rsid w:val="00507551"/>
    <w:rsid w:val="00512571"/>
    <w:rsid w:val="00512BC2"/>
    <w:rsid w:val="0052614C"/>
    <w:rsid w:val="00543EDA"/>
    <w:rsid w:val="00551646"/>
    <w:rsid w:val="0055582D"/>
    <w:rsid w:val="00561F76"/>
    <w:rsid w:val="00565C89"/>
    <w:rsid w:val="005774C7"/>
    <w:rsid w:val="00580286"/>
    <w:rsid w:val="005849AA"/>
    <w:rsid w:val="005906A0"/>
    <w:rsid w:val="005D3141"/>
    <w:rsid w:val="005F2AD2"/>
    <w:rsid w:val="005F707C"/>
    <w:rsid w:val="0060166F"/>
    <w:rsid w:val="006064A6"/>
    <w:rsid w:val="006161A1"/>
    <w:rsid w:val="00617ADE"/>
    <w:rsid w:val="0062104F"/>
    <w:rsid w:val="00624A55"/>
    <w:rsid w:val="006256A0"/>
    <w:rsid w:val="00634941"/>
    <w:rsid w:val="00650BF0"/>
    <w:rsid w:val="00651501"/>
    <w:rsid w:val="00664B20"/>
    <w:rsid w:val="00666EAF"/>
    <w:rsid w:val="00680BC4"/>
    <w:rsid w:val="006815B7"/>
    <w:rsid w:val="00687D1D"/>
    <w:rsid w:val="00693B0C"/>
    <w:rsid w:val="0069453F"/>
    <w:rsid w:val="006A1DC4"/>
    <w:rsid w:val="006A23D5"/>
    <w:rsid w:val="006A2ED9"/>
    <w:rsid w:val="006B4075"/>
    <w:rsid w:val="006B56DA"/>
    <w:rsid w:val="006B769F"/>
    <w:rsid w:val="006C263A"/>
    <w:rsid w:val="006C6884"/>
    <w:rsid w:val="006D0E18"/>
    <w:rsid w:val="006D281B"/>
    <w:rsid w:val="006E24FB"/>
    <w:rsid w:val="006E2A85"/>
    <w:rsid w:val="006E5C88"/>
    <w:rsid w:val="006E6E28"/>
    <w:rsid w:val="00705FAD"/>
    <w:rsid w:val="00717149"/>
    <w:rsid w:val="007249FF"/>
    <w:rsid w:val="007435F6"/>
    <w:rsid w:val="007507A3"/>
    <w:rsid w:val="00751F02"/>
    <w:rsid w:val="00752EE4"/>
    <w:rsid w:val="00753744"/>
    <w:rsid w:val="00753CAF"/>
    <w:rsid w:val="00755799"/>
    <w:rsid w:val="00761EFB"/>
    <w:rsid w:val="00770155"/>
    <w:rsid w:val="007729E2"/>
    <w:rsid w:val="00777716"/>
    <w:rsid w:val="007822F1"/>
    <w:rsid w:val="00782805"/>
    <w:rsid w:val="00783709"/>
    <w:rsid w:val="00786770"/>
    <w:rsid w:val="007A3C40"/>
    <w:rsid w:val="007C1692"/>
    <w:rsid w:val="007C76A0"/>
    <w:rsid w:val="007D0A24"/>
    <w:rsid w:val="007D3989"/>
    <w:rsid w:val="007E08D3"/>
    <w:rsid w:val="007F1B3A"/>
    <w:rsid w:val="007F1EBE"/>
    <w:rsid w:val="007F2B05"/>
    <w:rsid w:val="00803108"/>
    <w:rsid w:val="00821FF1"/>
    <w:rsid w:val="00825253"/>
    <w:rsid w:val="00840061"/>
    <w:rsid w:val="0085414D"/>
    <w:rsid w:val="00865674"/>
    <w:rsid w:val="00871FBD"/>
    <w:rsid w:val="008777FB"/>
    <w:rsid w:val="00881985"/>
    <w:rsid w:val="00893BCB"/>
    <w:rsid w:val="00894F1A"/>
    <w:rsid w:val="008A2189"/>
    <w:rsid w:val="008A7565"/>
    <w:rsid w:val="008B2D75"/>
    <w:rsid w:val="008C4DBE"/>
    <w:rsid w:val="008D266A"/>
    <w:rsid w:val="008D79E8"/>
    <w:rsid w:val="008E3612"/>
    <w:rsid w:val="008F14BE"/>
    <w:rsid w:val="008F4C7C"/>
    <w:rsid w:val="00916FD8"/>
    <w:rsid w:val="0091724A"/>
    <w:rsid w:val="00932CE7"/>
    <w:rsid w:val="00933242"/>
    <w:rsid w:val="00941A79"/>
    <w:rsid w:val="00943592"/>
    <w:rsid w:val="009449ED"/>
    <w:rsid w:val="00946DBE"/>
    <w:rsid w:val="00950AF5"/>
    <w:rsid w:val="0095645F"/>
    <w:rsid w:val="00962FE8"/>
    <w:rsid w:val="009746D7"/>
    <w:rsid w:val="0097515A"/>
    <w:rsid w:val="00985A2D"/>
    <w:rsid w:val="00992ACB"/>
    <w:rsid w:val="009A0A60"/>
    <w:rsid w:val="009A58CE"/>
    <w:rsid w:val="009B60C1"/>
    <w:rsid w:val="009C0D93"/>
    <w:rsid w:val="009C29A5"/>
    <w:rsid w:val="009D356B"/>
    <w:rsid w:val="009D3970"/>
    <w:rsid w:val="009E0C53"/>
    <w:rsid w:val="009E13F7"/>
    <w:rsid w:val="009E2F23"/>
    <w:rsid w:val="009E787E"/>
    <w:rsid w:val="009F03B4"/>
    <w:rsid w:val="009F133B"/>
    <w:rsid w:val="009F22BE"/>
    <w:rsid w:val="009F2921"/>
    <w:rsid w:val="009F3B66"/>
    <w:rsid w:val="009F469B"/>
    <w:rsid w:val="009F75AE"/>
    <w:rsid w:val="00A0022C"/>
    <w:rsid w:val="00A15CBF"/>
    <w:rsid w:val="00A20C6D"/>
    <w:rsid w:val="00A359D0"/>
    <w:rsid w:val="00A40072"/>
    <w:rsid w:val="00A41870"/>
    <w:rsid w:val="00A4694E"/>
    <w:rsid w:val="00A50D10"/>
    <w:rsid w:val="00A51EA8"/>
    <w:rsid w:val="00A60F82"/>
    <w:rsid w:val="00A62ACA"/>
    <w:rsid w:val="00A721F4"/>
    <w:rsid w:val="00A762F2"/>
    <w:rsid w:val="00A77F78"/>
    <w:rsid w:val="00A77F7C"/>
    <w:rsid w:val="00A80962"/>
    <w:rsid w:val="00A83458"/>
    <w:rsid w:val="00A83B25"/>
    <w:rsid w:val="00A84EE9"/>
    <w:rsid w:val="00A850AB"/>
    <w:rsid w:val="00AA174B"/>
    <w:rsid w:val="00AA4395"/>
    <w:rsid w:val="00AA6E34"/>
    <w:rsid w:val="00AB12C1"/>
    <w:rsid w:val="00AC24DF"/>
    <w:rsid w:val="00AC2E25"/>
    <w:rsid w:val="00AC30F9"/>
    <w:rsid w:val="00AC32AF"/>
    <w:rsid w:val="00AD4795"/>
    <w:rsid w:val="00AD5EFA"/>
    <w:rsid w:val="00AE1657"/>
    <w:rsid w:val="00B00FD8"/>
    <w:rsid w:val="00B0196C"/>
    <w:rsid w:val="00B03BEF"/>
    <w:rsid w:val="00B0661D"/>
    <w:rsid w:val="00B11F7D"/>
    <w:rsid w:val="00B121DB"/>
    <w:rsid w:val="00B14740"/>
    <w:rsid w:val="00B14B10"/>
    <w:rsid w:val="00B229E1"/>
    <w:rsid w:val="00B26A48"/>
    <w:rsid w:val="00B42CC1"/>
    <w:rsid w:val="00B42CDE"/>
    <w:rsid w:val="00B4716C"/>
    <w:rsid w:val="00B610B7"/>
    <w:rsid w:val="00B65BED"/>
    <w:rsid w:val="00B76027"/>
    <w:rsid w:val="00B77D10"/>
    <w:rsid w:val="00BA2664"/>
    <w:rsid w:val="00BA5F1C"/>
    <w:rsid w:val="00BB1D41"/>
    <w:rsid w:val="00BB456C"/>
    <w:rsid w:val="00BC07EB"/>
    <w:rsid w:val="00BC3CB2"/>
    <w:rsid w:val="00BC3D32"/>
    <w:rsid w:val="00BC4627"/>
    <w:rsid w:val="00BC6D54"/>
    <w:rsid w:val="00BD6757"/>
    <w:rsid w:val="00BE0AE4"/>
    <w:rsid w:val="00BE6D8E"/>
    <w:rsid w:val="00BF34F3"/>
    <w:rsid w:val="00BF5D04"/>
    <w:rsid w:val="00C3372C"/>
    <w:rsid w:val="00C363EB"/>
    <w:rsid w:val="00C37BAF"/>
    <w:rsid w:val="00C45E42"/>
    <w:rsid w:val="00C4760C"/>
    <w:rsid w:val="00C504F1"/>
    <w:rsid w:val="00C54BBF"/>
    <w:rsid w:val="00C56091"/>
    <w:rsid w:val="00C676F8"/>
    <w:rsid w:val="00C71764"/>
    <w:rsid w:val="00C81C32"/>
    <w:rsid w:val="00C86C60"/>
    <w:rsid w:val="00CA1DD0"/>
    <w:rsid w:val="00CA5670"/>
    <w:rsid w:val="00CB6861"/>
    <w:rsid w:val="00CC1D24"/>
    <w:rsid w:val="00CC2AB2"/>
    <w:rsid w:val="00CE6A9E"/>
    <w:rsid w:val="00CE720C"/>
    <w:rsid w:val="00CF05E3"/>
    <w:rsid w:val="00CF34E2"/>
    <w:rsid w:val="00CF7524"/>
    <w:rsid w:val="00D01887"/>
    <w:rsid w:val="00D12C7F"/>
    <w:rsid w:val="00D160B6"/>
    <w:rsid w:val="00D25806"/>
    <w:rsid w:val="00D27842"/>
    <w:rsid w:val="00D31AD6"/>
    <w:rsid w:val="00D409FD"/>
    <w:rsid w:val="00D44A31"/>
    <w:rsid w:val="00D452BD"/>
    <w:rsid w:val="00D47E7B"/>
    <w:rsid w:val="00D67531"/>
    <w:rsid w:val="00D80EBF"/>
    <w:rsid w:val="00D90B41"/>
    <w:rsid w:val="00D9339F"/>
    <w:rsid w:val="00D940CD"/>
    <w:rsid w:val="00D96F6C"/>
    <w:rsid w:val="00DA4CA9"/>
    <w:rsid w:val="00DC0C8A"/>
    <w:rsid w:val="00DC7782"/>
    <w:rsid w:val="00DD2A8F"/>
    <w:rsid w:val="00DF6DE7"/>
    <w:rsid w:val="00E278C5"/>
    <w:rsid w:val="00E35984"/>
    <w:rsid w:val="00E36C15"/>
    <w:rsid w:val="00E36CF7"/>
    <w:rsid w:val="00E43E53"/>
    <w:rsid w:val="00E44C5B"/>
    <w:rsid w:val="00E55EFE"/>
    <w:rsid w:val="00E5768B"/>
    <w:rsid w:val="00E60A3C"/>
    <w:rsid w:val="00E66742"/>
    <w:rsid w:val="00E85109"/>
    <w:rsid w:val="00EA0FB6"/>
    <w:rsid w:val="00EA5BAF"/>
    <w:rsid w:val="00EC17A6"/>
    <w:rsid w:val="00EC275C"/>
    <w:rsid w:val="00EC2E01"/>
    <w:rsid w:val="00EC30E7"/>
    <w:rsid w:val="00EC6419"/>
    <w:rsid w:val="00EC6F6A"/>
    <w:rsid w:val="00ED46C7"/>
    <w:rsid w:val="00ED4934"/>
    <w:rsid w:val="00ED6C9D"/>
    <w:rsid w:val="00EE1DB3"/>
    <w:rsid w:val="00EE3CB7"/>
    <w:rsid w:val="00EE55DF"/>
    <w:rsid w:val="00EF3540"/>
    <w:rsid w:val="00EF6C77"/>
    <w:rsid w:val="00EF702E"/>
    <w:rsid w:val="00F05CD7"/>
    <w:rsid w:val="00F14ACC"/>
    <w:rsid w:val="00F33630"/>
    <w:rsid w:val="00F47EAC"/>
    <w:rsid w:val="00F51522"/>
    <w:rsid w:val="00F524E2"/>
    <w:rsid w:val="00F52C5C"/>
    <w:rsid w:val="00F5306D"/>
    <w:rsid w:val="00F53575"/>
    <w:rsid w:val="00F577CF"/>
    <w:rsid w:val="00F61180"/>
    <w:rsid w:val="00F6659B"/>
    <w:rsid w:val="00F73269"/>
    <w:rsid w:val="00F75824"/>
    <w:rsid w:val="00F772F5"/>
    <w:rsid w:val="00F802BC"/>
    <w:rsid w:val="00F80B5D"/>
    <w:rsid w:val="00F945A0"/>
    <w:rsid w:val="00F97CF5"/>
    <w:rsid w:val="00FB3B92"/>
    <w:rsid w:val="00FB4CAC"/>
    <w:rsid w:val="00FC1375"/>
    <w:rsid w:val="00FC47FE"/>
    <w:rsid w:val="00FC5360"/>
    <w:rsid w:val="00FC6406"/>
    <w:rsid w:val="00FD558F"/>
    <w:rsid w:val="00FE0A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BC"/>
  </w:style>
  <w:style w:type="paragraph" w:styleId="Overskrift1">
    <w:name w:val="heading 1"/>
    <w:basedOn w:val="Normal"/>
    <w:next w:val="Normal"/>
    <w:link w:val="Overskrift1Tegn"/>
    <w:uiPriority w:val="9"/>
    <w:qFormat/>
    <w:rsid w:val="00A0022C"/>
    <w:pPr>
      <w:keepNext/>
      <w:keepLines/>
      <w:numPr>
        <w:numId w:val="14"/>
      </w:numPr>
      <w:spacing w:before="120" w:after="120" w:line="240" w:lineRule="auto"/>
      <w:outlineLvl w:val="0"/>
    </w:pPr>
    <w:rPr>
      <w:rFonts w:eastAsiaTheme="majorEastAsia" w:cstheme="majorBidi"/>
      <w:b/>
      <w:bCs/>
      <w:sz w:val="24"/>
      <w:szCs w:val="28"/>
    </w:rPr>
  </w:style>
  <w:style w:type="paragraph" w:styleId="Overskrift2">
    <w:name w:val="heading 2"/>
    <w:basedOn w:val="Normal"/>
    <w:next w:val="Normal"/>
    <w:link w:val="Overskrift2Tegn"/>
    <w:autoRedefine/>
    <w:uiPriority w:val="99"/>
    <w:qFormat/>
    <w:rsid w:val="00BB456C"/>
    <w:pPr>
      <w:tabs>
        <w:tab w:val="left" w:pos="9474"/>
      </w:tabs>
      <w:spacing w:before="120" w:after="60" w:line="280" w:lineRule="exact"/>
      <w:outlineLvl w:val="1"/>
    </w:pPr>
    <w:rPr>
      <w:rFonts w:ascii="Calibri" w:eastAsia="Times New Roman" w:hAnsi="Calibri" w:cs="Times New Roman"/>
      <w:b/>
      <w:bCs/>
      <w:sz w:val="24"/>
      <w:szCs w:val="24"/>
      <w:lang w:eastAsia="da-DK"/>
    </w:rPr>
  </w:style>
  <w:style w:type="paragraph" w:styleId="Overskrift3">
    <w:name w:val="heading 3"/>
    <w:basedOn w:val="Normal"/>
    <w:next w:val="Normal"/>
    <w:link w:val="Overskrift3Tegn"/>
    <w:uiPriority w:val="9"/>
    <w:unhideWhenUsed/>
    <w:qFormat/>
    <w:rsid w:val="00294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16F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6F77"/>
  </w:style>
  <w:style w:type="paragraph" w:styleId="Sidefod">
    <w:name w:val="footer"/>
    <w:basedOn w:val="Normal"/>
    <w:link w:val="SidefodTegn"/>
    <w:uiPriority w:val="99"/>
    <w:unhideWhenUsed/>
    <w:rsid w:val="00962F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62FE8"/>
  </w:style>
  <w:style w:type="paragraph" w:styleId="Listeafsnit">
    <w:name w:val="List Paragraph"/>
    <w:basedOn w:val="Normal"/>
    <w:uiPriority w:val="34"/>
    <w:qFormat/>
    <w:rsid w:val="00C71764"/>
    <w:pPr>
      <w:ind w:left="720"/>
      <w:contextualSpacing/>
    </w:pPr>
  </w:style>
  <w:style w:type="table" w:styleId="Tabel-Gitter">
    <w:name w:val="Table Grid"/>
    <w:basedOn w:val="Tabel-Normal"/>
    <w:uiPriority w:val="59"/>
    <w:rsid w:val="009B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61E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1EFB"/>
    <w:rPr>
      <w:rFonts w:ascii="Tahoma" w:hAnsi="Tahoma" w:cs="Tahoma"/>
      <w:sz w:val="16"/>
      <w:szCs w:val="16"/>
    </w:rPr>
  </w:style>
  <w:style w:type="character" w:customStyle="1" w:styleId="Overskrift2Tegn">
    <w:name w:val="Overskrift 2 Tegn"/>
    <w:basedOn w:val="Standardskrifttypeiafsnit"/>
    <w:link w:val="Overskrift2"/>
    <w:uiPriority w:val="99"/>
    <w:rsid w:val="00BB456C"/>
    <w:rPr>
      <w:rFonts w:ascii="Calibri" w:eastAsia="Times New Roman" w:hAnsi="Calibri" w:cs="Times New Roman"/>
      <w:b/>
      <w:bCs/>
      <w:sz w:val="24"/>
      <w:szCs w:val="24"/>
      <w:lang w:eastAsia="da-DK"/>
    </w:rPr>
  </w:style>
  <w:style w:type="character" w:customStyle="1" w:styleId="Overskrift1Tegn">
    <w:name w:val="Overskrift 1 Tegn"/>
    <w:basedOn w:val="Standardskrifttypeiafsnit"/>
    <w:link w:val="Overskrift1"/>
    <w:uiPriority w:val="9"/>
    <w:rsid w:val="00A0022C"/>
    <w:rPr>
      <w:rFonts w:eastAsiaTheme="majorEastAsia" w:cstheme="majorBidi"/>
      <w:b/>
      <w:bCs/>
      <w:sz w:val="24"/>
      <w:szCs w:val="28"/>
    </w:rPr>
  </w:style>
  <w:style w:type="paragraph" w:styleId="Overskrift">
    <w:name w:val="TOC Heading"/>
    <w:basedOn w:val="Overskrift1"/>
    <w:next w:val="Normal"/>
    <w:uiPriority w:val="39"/>
    <w:semiHidden/>
    <w:unhideWhenUsed/>
    <w:qFormat/>
    <w:rsid w:val="00267C46"/>
    <w:pPr>
      <w:outlineLvl w:val="9"/>
    </w:pPr>
  </w:style>
  <w:style w:type="paragraph" w:styleId="Indholdsfortegnelse2">
    <w:name w:val="toc 2"/>
    <w:basedOn w:val="Normal"/>
    <w:next w:val="Normal"/>
    <w:autoRedefine/>
    <w:uiPriority w:val="39"/>
    <w:unhideWhenUsed/>
    <w:rsid w:val="000F0F10"/>
    <w:pPr>
      <w:tabs>
        <w:tab w:val="left" w:pos="660"/>
        <w:tab w:val="right" w:leader="dot" w:pos="9628"/>
      </w:tabs>
      <w:spacing w:after="0" w:line="240" w:lineRule="auto"/>
      <w:ind w:left="221"/>
    </w:pPr>
  </w:style>
  <w:style w:type="character" w:styleId="Hyperlink">
    <w:name w:val="Hyperlink"/>
    <w:basedOn w:val="Standardskrifttypeiafsnit"/>
    <w:uiPriority w:val="99"/>
    <w:unhideWhenUsed/>
    <w:rsid w:val="00267C46"/>
    <w:rPr>
      <w:color w:val="0000FF" w:themeColor="hyperlink"/>
      <w:u w:val="single"/>
    </w:rPr>
  </w:style>
  <w:style w:type="paragraph" w:styleId="Indholdsfortegnelse1">
    <w:name w:val="toc 1"/>
    <w:basedOn w:val="Normal"/>
    <w:next w:val="Normal"/>
    <w:autoRedefine/>
    <w:uiPriority w:val="39"/>
    <w:unhideWhenUsed/>
    <w:rsid w:val="004860FF"/>
    <w:pPr>
      <w:tabs>
        <w:tab w:val="left" w:pos="426"/>
        <w:tab w:val="right" w:leader="dot" w:pos="9628"/>
      </w:tabs>
      <w:spacing w:after="100"/>
    </w:pPr>
  </w:style>
  <w:style w:type="character" w:customStyle="1" w:styleId="Overskrift3Tegn">
    <w:name w:val="Overskrift 3 Tegn"/>
    <w:basedOn w:val="Standardskrifttypeiafsnit"/>
    <w:link w:val="Overskrift3"/>
    <w:uiPriority w:val="9"/>
    <w:rsid w:val="002942E9"/>
    <w:rPr>
      <w:rFonts w:asciiTheme="majorHAnsi" w:eastAsiaTheme="majorEastAsia" w:hAnsiTheme="majorHAnsi" w:cstheme="majorBidi"/>
      <w:b/>
      <w:bCs/>
      <w:color w:val="4F81BD" w:themeColor="accent1"/>
    </w:rPr>
  </w:style>
  <w:style w:type="paragraph" w:styleId="Fodnotetekst">
    <w:name w:val="footnote text"/>
    <w:basedOn w:val="Normal"/>
    <w:link w:val="FodnotetekstTegn"/>
    <w:uiPriority w:val="99"/>
    <w:semiHidden/>
    <w:rsid w:val="00EE55DF"/>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EE55DF"/>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rsid w:val="00EE55DF"/>
    <w:rPr>
      <w:rFonts w:cs="Times New Roman"/>
      <w:vertAlign w:val="superscript"/>
    </w:rPr>
  </w:style>
  <w:style w:type="character" w:customStyle="1" w:styleId="hps">
    <w:name w:val="hps"/>
    <w:basedOn w:val="Standardskrifttypeiafsnit"/>
    <w:rsid w:val="00EE1DB3"/>
  </w:style>
  <w:style w:type="character" w:styleId="Kommentarhenvisning">
    <w:name w:val="annotation reference"/>
    <w:basedOn w:val="Standardskrifttypeiafsnit"/>
    <w:unhideWhenUsed/>
    <w:rsid w:val="00B229E1"/>
    <w:rPr>
      <w:sz w:val="16"/>
      <w:szCs w:val="16"/>
    </w:rPr>
  </w:style>
  <w:style w:type="paragraph" w:styleId="Kommentartekst">
    <w:name w:val="annotation text"/>
    <w:basedOn w:val="Normal"/>
    <w:link w:val="KommentartekstTegn"/>
    <w:unhideWhenUsed/>
    <w:rsid w:val="00B229E1"/>
    <w:rPr>
      <w:rFonts w:ascii="Calibri" w:eastAsia="Times New Roman" w:hAnsi="Calibri" w:cs="Times New Roman"/>
      <w:sz w:val="20"/>
      <w:szCs w:val="20"/>
      <w:lang w:eastAsia="da-DK"/>
    </w:rPr>
  </w:style>
  <w:style w:type="character" w:customStyle="1" w:styleId="KommentartekstTegn">
    <w:name w:val="Kommentartekst Tegn"/>
    <w:basedOn w:val="Standardskrifttypeiafsnit"/>
    <w:link w:val="Kommentartekst"/>
    <w:rsid w:val="00B229E1"/>
    <w:rPr>
      <w:rFonts w:ascii="Calibri" w:eastAsia="Times New Roman" w:hAnsi="Calibri" w:cs="Times New Roman"/>
      <w:sz w:val="20"/>
      <w:szCs w:val="20"/>
      <w:lang w:eastAsia="da-DK"/>
    </w:rPr>
  </w:style>
  <w:style w:type="paragraph" w:styleId="NormalWeb">
    <w:name w:val="Normal (Web)"/>
    <w:basedOn w:val="Normal"/>
    <w:uiPriority w:val="99"/>
    <w:semiHidden/>
    <w:unhideWhenUsed/>
    <w:rsid w:val="00651501"/>
    <w:pPr>
      <w:spacing w:after="120"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515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3674">
      <w:bodyDiv w:val="1"/>
      <w:marLeft w:val="0"/>
      <w:marRight w:val="0"/>
      <w:marTop w:val="0"/>
      <w:marBottom w:val="0"/>
      <w:divBdr>
        <w:top w:val="none" w:sz="0" w:space="0" w:color="auto"/>
        <w:left w:val="none" w:sz="0" w:space="0" w:color="auto"/>
        <w:bottom w:val="none" w:sz="0" w:space="0" w:color="auto"/>
        <w:right w:val="none" w:sz="0" w:space="0" w:color="auto"/>
      </w:divBdr>
    </w:div>
    <w:div w:id="522288064">
      <w:bodyDiv w:val="1"/>
      <w:marLeft w:val="0"/>
      <w:marRight w:val="0"/>
      <w:marTop w:val="0"/>
      <w:marBottom w:val="0"/>
      <w:divBdr>
        <w:top w:val="none" w:sz="0" w:space="0" w:color="auto"/>
        <w:left w:val="none" w:sz="0" w:space="0" w:color="auto"/>
        <w:bottom w:val="none" w:sz="0" w:space="0" w:color="auto"/>
        <w:right w:val="none" w:sz="0" w:space="0" w:color="auto"/>
      </w:divBdr>
    </w:div>
    <w:div w:id="550463836">
      <w:bodyDiv w:val="1"/>
      <w:marLeft w:val="0"/>
      <w:marRight w:val="0"/>
      <w:marTop w:val="0"/>
      <w:marBottom w:val="0"/>
      <w:divBdr>
        <w:top w:val="none" w:sz="0" w:space="0" w:color="auto"/>
        <w:left w:val="none" w:sz="0" w:space="0" w:color="auto"/>
        <w:bottom w:val="none" w:sz="0" w:space="0" w:color="auto"/>
        <w:right w:val="none" w:sz="0" w:space="0" w:color="auto"/>
      </w:divBdr>
    </w:div>
    <w:div w:id="573273901">
      <w:bodyDiv w:val="1"/>
      <w:marLeft w:val="0"/>
      <w:marRight w:val="0"/>
      <w:marTop w:val="0"/>
      <w:marBottom w:val="0"/>
      <w:divBdr>
        <w:top w:val="none" w:sz="0" w:space="0" w:color="auto"/>
        <w:left w:val="none" w:sz="0" w:space="0" w:color="auto"/>
        <w:bottom w:val="none" w:sz="0" w:space="0" w:color="auto"/>
        <w:right w:val="none" w:sz="0" w:space="0" w:color="auto"/>
      </w:divBdr>
    </w:div>
    <w:div w:id="750129259">
      <w:bodyDiv w:val="1"/>
      <w:marLeft w:val="0"/>
      <w:marRight w:val="0"/>
      <w:marTop w:val="0"/>
      <w:marBottom w:val="0"/>
      <w:divBdr>
        <w:top w:val="none" w:sz="0" w:space="0" w:color="auto"/>
        <w:left w:val="none" w:sz="0" w:space="0" w:color="auto"/>
        <w:bottom w:val="none" w:sz="0" w:space="0" w:color="auto"/>
        <w:right w:val="none" w:sz="0" w:space="0" w:color="auto"/>
      </w:divBdr>
    </w:div>
    <w:div w:id="809596196">
      <w:bodyDiv w:val="1"/>
      <w:marLeft w:val="0"/>
      <w:marRight w:val="0"/>
      <w:marTop w:val="0"/>
      <w:marBottom w:val="0"/>
      <w:divBdr>
        <w:top w:val="none" w:sz="0" w:space="0" w:color="auto"/>
        <w:left w:val="none" w:sz="0" w:space="0" w:color="auto"/>
        <w:bottom w:val="none" w:sz="0" w:space="0" w:color="auto"/>
        <w:right w:val="none" w:sz="0" w:space="0" w:color="auto"/>
      </w:divBdr>
    </w:div>
    <w:div w:id="1012102237">
      <w:bodyDiv w:val="1"/>
      <w:marLeft w:val="0"/>
      <w:marRight w:val="0"/>
      <w:marTop w:val="0"/>
      <w:marBottom w:val="0"/>
      <w:divBdr>
        <w:top w:val="none" w:sz="0" w:space="0" w:color="auto"/>
        <w:left w:val="none" w:sz="0" w:space="0" w:color="auto"/>
        <w:bottom w:val="none" w:sz="0" w:space="0" w:color="auto"/>
        <w:right w:val="none" w:sz="0" w:space="0" w:color="auto"/>
      </w:divBdr>
    </w:div>
    <w:div w:id="1014109737">
      <w:bodyDiv w:val="1"/>
      <w:marLeft w:val="0"/>
      <w:marRight w:val="0"/>
      <w:marTop w:val="0"/>
      <w:marBottom w:val="0"/>
      <w:divBdr>
        <w:top w:val="none" w:sz="0" w:space="0" w:color="auto"/>
        <w:left w:val="none" w:sz="0" w:space="0" w:color="auto"/>
        <w:bottom w:val="none" w:sz="0" w:space="0" w:color="auto"/>
        <w:right w:val="none" w:sz="0" w:space="0" w:color="auto"/>
      </w:divBdr>
    </w:div>
    <w:div w:id="1041779817">
      <w:bodyDiv w:val="1"/>
      <w:marLeft w:val="0"/>
      <w:marRight w:val="0"/>
      <w:marTop w:val="0"/>
      <w:marBottom w:val="0"/>
      <w:divBdr>
        <w:top w:val="none" w:sz="0" w:space="0" w:color="auto"/>
        <w:left w:val="none" w:sz="0" w:space="0" w:color="auto"/>
        <w:bottom w:val="none" w:sz="0" w:space="0" w:color="auto"/>
        <w:right w:val="none" w:sz="0" w:space="0" w:color="auto"/>
      </w:divBdr>
      <w:divsChild>
        <w:div w:id="191693145">
          <w:marLeft w:val="0"/>
          <w:marRight w:val="0"/>
          <w:marTop w:val="0"/>
          <w:marBottom w:val="0"/>
          <w:divBdr>
            <w:top w:val="none" w:sz="0" w:space="0" w:color="auto"/>
            <w:left w:val="none" w:sz="0" w:space="0" w:color="auto"/>
            <w:bottom w:val="none" w:sz="0" w:space="0" w:color="auto"/>
            <w:right w:val="none" w:sz="0" w:space="0" w:color="auto"/>
          </w:divBdr>
          <w:divsChild>
            <w:div w:id="716781392">
              <w:marLeft w:val="0"/>
              <w:marRight w:val="0"/>
              <w:marTop w:val="0"/>
              <w:marBottom w:val="0"/>
              <w:divBdr>
                <w:top w:val="none" w:sz="0" w:space="0" w:color="auto"/>
                <w:left w:val="none" w:sz="0" w:space="0" w:color="auto"/>
                <w:bottom w:val="none" w:sz="0" w:space="0" w:color="auto"/>
                <w:right w:val="none" w:sz="0" w:space="0" w:color="auto"/>
              </w:divBdr>
              <w:divsChild>
                <w:div w:id="15533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01125">
      <w:bodyDiv w:val="1"/>
      <w:marLeft w:val="0"/>
      <w:marRight w:val="0"/>
      <w:marTop w:val="0"/>
      <w:marBottom w:val="0"/>
      <w:divBdr>
        <w:top w:val="none" w:sz="0" w:space="0" w:color="auto"/>
        <w:left w:val="none" w:sz="0" w:space="0" w:color="auto"/>
        <w:bottom w:val="none" w:sz="0" w:space="0" w:color="auto"/>
        <w:right w:val="none" w:sz="0" w:space="0" w:color="auto"/>
      </w:divBdr>
    </w:div>
    <w:div w:id="1121026018">
      <w:bodyDiv w:val="1"/>
      <w:marLeft w:val="0"/>
      <w:marRight w:val="0"/>
      <w:marTop w:val="0"/>
      <w:marBottom w:val="0"/>
      <w:divBdr>
        <w:top w:val="none" w:sz="0" w:space="0" w:color="auto"/>
        <w:left w:val="none" w:sz="0" w:space="0" w:color="auto"/>
        <w:bottom w:val="none" w:sz="0" w:space="0" w:color="auto"/>
        <w:right w:val="none" w:sz="0" w:space="0" w:color="auto"/>
      </w:divBdr>
    </w:div>
    <w:div w:id="1703094386">
      <w:bodyDiv w:val="1"/>
      <w:marLeft w:val="0"/>
      <w:marRight w:val="0"/>
      <w:marTop w:val="0"/>
      <w:marBottom w:val="0"/>
      <w:divBdr>
        <w:top w:val="none" w:sz="0" w:space="0" w:color="auto"/>
        <w:left w:val="none" w:sz="0" w:space="0" w:color="auto"/>
        <w:bottom w:val="none" w:sz="0" w:space="0" w:color="auto"/>
        <w:right w:val="none" w:sz="0" w:space="0" w:color="auto"/>
      </w:divBdr>
    </w:div>
    <w:div w:id="17120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ns.dk/DA-DK/KLIMAOGCO2/CO2KVOTER/VEJLEDNING_3_PERIODE/OVERVAAGNINGSPLAN/Sider/Forsid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C8ABFA5F038042B94E1D12441E3953" ma:contentTypeVersion="1" ma:contentTypeDescription="Opret et nyt dokument." ma:contentTypeScope="" ma:versionID="3126c206758444d68cef7f133b04b433">
  <xsd:schema xmlns:xsd="http://www.w3.org/2001/XMLSchema" xmlns:p="http://schemas.microsoft.com/office/2006/metadata/properties" xmlns:ns1="http://schemas.microsoft.com/sharepoint/v3" targetNamespace="http://schemas.microsoft.com/office/2006/metadata/properties" ma:root="true" ma:fieldsID="a1bcee0594a72d7ab769975a2d9b61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84FA-9CC8-49FE-A5B0-567A0FD69A7B}">
  <ds:schemaRefs>
    <ds:schemaRef ds:uri="http://schemas.microsoft.com/sharepoint/v3/contenttype/forms"/>
  </ds:schemaRefs>
</ds:datastoreItem>
</file>

<file path=customXml/itemProps2.xml><?xml version="1.0" encoding="utf-8"?>
<ds:datastoreItem xmlns:ds="http://schemas.openxmlformats.org/officeDocument/2006/customXml" ds:itemID="{D3C7C906-547A-4A7A-84AD-726932AFEF67}">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0E58227-019C-4EEB-AED5-B829F7996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650E26-3A8B-4B33-89A3-ED902925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3858</Words>
  <Characters>24311</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Energistyrelsen</Company>
  <LinksUpToDate>false</LinksUpToDate>
  <CharactersWithSpaces>28113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Cornelia Jakobsen</dc:creator>
  <cp:keywords/>
  <dc:description/>
  <cp:lastModifiedBy>Anita C. Jakobsen</cp:lastModifiedBy>
  <cp:revision>9</cp:revision>
  <cp:lastPrinted>2012-09-19T12:18:00Z</cp:lastPrinted>
  <dcterms:created xsi:type="dcterms:W3CDTF">2013-02-05T09:57:00Z</dcterms:created>
  <dcterms:modified xsi:type="dcterms:W3CDTF">2016-08-29T08:03:00Z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0x01010005C8ABFA5F038042B94E1D12441E3953</vt:lpwstr>
  </property>
</Properties>
</file>