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3"/>
        <w:gridCol w:w="3276"/>
      </w:tblGrid>
      <w:tr w:rsidR="00F555CE" w:rsidTr="00FC2549">
        <w:trPr>
          <w:trHeight w:val="3119"/>
        </w:trPr>
        <w:tc>
          <w:tcPr>
            <w:tcW w:w="7083" w:type="dxa"/>
          </w:tcPr>
          <w:p w:rsidR="00FB1AB1" w:rsidRDefault="00FB1AB1" w:rsidP="00FB1AB1">
            <w:pPr>
              <w:pStyle w:val="Normal-Dokumentnavn"/>
            </w:pPr>
            <w:bookmarkStart w:id="0" w:name="dokumenttype"/>
            <w:bookmarkStart w:id="1" w:name="bmkFldcboDokumentType"/>
            <w:r>
              <w:t>Vejledning OM Co2-kvoteordningen for 3. kvoteperiode</w:t>
            </w:r>
          </w:p>
          <w:p w:rsidR="00FB1AB1" w:rsidRDefault="00FB1AB1" w:rsidP="00FB1AB1">
            <w:pPr>
              <w:pStyle w:val="Normal-Dokumentnavn"/>
              <w:ind w:left="720"/>
            </w:pPr>
          </w:p>
          <w:p w:rsidR="00F555CE" w:rsidRDefault="00FB1AB1" w:rsidP="00FB1AB1">
            <w:pPr>
              <w:pStyle w:val="Normal-Dokumentnavn"/>
              <w:numPr>
                <w:ilvl w:val="0"/>
                <w:numId w:val="1"/>
              </w:numPr>
            </w:pPr>
            <w:r>
              <w:t>om biomasse, biogas og bio-olie</w:t>
            </w:r>
            <w:bookmarkEnd w:id="0"/>
            <w:bookmarkEnd w:id="1"/>
          </w:p>
        </w:tc>
        <w:tc>
          <w:tcPr>
            <w:tcW w:w="3276" w:type="dxa"/>
          </w:tcPr>
          <w:p w:rsidR="00F555CE" w:rsidRDefault="0090149F" w:rsidP="00FC2549">
            <w:pPr>
              <w:pStyle w:val="Normal-Infotekst"/>
            </w:pPr>
            <w:bookmarkStart w:id="2" w:name="bmkFldJournalNr"/>
            <w:bookmarkEnd w:id="2"/>
            <w:r>
              <w:rPr>
                <w:lang w:val="nb-NO"/>
              </w:rPr>
              <w:t>21</w:t>
            </w:r>
            <w:r w:rsidR="001301C6">
              <w:t xml:space="preserve">. </w:t>
            </w:r>
            <w:r>
              <w:t>december</w:t>
            </w:r>
            <w:r w:rsidR="001301C6">
              <w:t xml:space="preserve"> 201</w:t>
            </w:r>
            <w:r>
              <w:t>2</w:t>
            </w:r>
          </w:p>
          <w:p w:rsidR="00F555CE" w:rsidRDefault="00F555CE" w:rsidP="00FC2549">
            <w:pPr>
              <w:pStyle w:val="Normal-Infotekst"/>
            </w:pPr>
            <w:r>
              <w:t xml:space="preserve">Ref. </w:t>
            </w:r>
            <w:bookmarkStart w:id="3" w:name="bmkADReference"/>
            <w:bookmarkEnd w:id="3"/>
            <w:r w:rsidR="00FB1AB1">
              <w:t>MHJ/RZS</w:t>
            </w:r>
            <w:r w:rsidR="00F44462">
              <w:t>/DM</w:t>
            </w:r>
          </w:p>
          <w:p w:rsidR="0090149F" w:rsidRDefault="00FB1AB1" w:rsidP="00FC2549">
            <w:pPr>
              <w:pStyle w:val="Normal-Infotekst"/>
            </w:pPr>
            <w:bookmarkStart w:id="4" w:name="bmkADOmråde"/>
            <w:bookmarkEnd w:id="4"/>
            <w:r>
              <w:t xml:space="preserve">Version </w:t>
            </w:r>
            <w:r w:rsidR="00576A45">
              <w:t>4</w:t>
            </w:r>
            <w:r w:rsidR="0090149F">
              <w:t xml:space="preserve">, </w:t>
            </w:r>
          </w:p>
          <w:p w:rsidR="00F555CE" w:rsidRDefault="00576A45" w:rsidP="00FC2549">
            <w:pPr>
              <w:pStyle w:val="Normal-Infotekst"/>
            </w:pPr>
            <w:r>
              <w:t>rev. 26-3</w:t>
            </w:r>
            <w:r w:rsidR="0090149F">
              <w:t>-2015</w:t>
            </w:r>
          </w:p>
          <w:p w:rsidR="00F555CE" w:rsidRDefault="00F555CE" w:rsidP="00FC2549">
            <w:pPr>
              <w:pStyle w:val="Normal-Infotekst"/>
            </w:pPr>
          </w:p>
          <w:p w:rsidR="00F555CE" w:rsidRDefault="00F555CE" w:rsidP="00FC2549">
            <w:pPr>
              <w:pStyle w:val="Normal-Infotekst"/>
            </w:pPr>
            <w:bookmarkStart w:id="5" w:name="_GoBack"/>
            <w:bookmarkEnd w:id="5"/>
          </w:p>
        </w:tc>
      </w:tr>
    </w:tbl>
    <w:p w:rsidR="002F1C9B" w:rsidRPr="007741C4" w:rsidRDefault="002F1C9B">
      <w:pPr>
        <w:rPr>
          <w:b/>
        </w:rPr>
      </w:pPr>
      <w:bookmarkStart w:id="6" w:name="korttekst"/>
      <w:bookmarkStart w:id="7" w:name="PCAStart"/>
      <w:bookmarkEnd w:id="6"/>
      <w:bookmarkEnd w:id="7"/>
    </w:p>
    <w:p w:rsidR="007741C4" w:rsidRPr="00FB1AB1" w:rsidRDefault="00FB1AB1">
      <w:pPr>
        <w:rPr>
          <w:b/>
        </w:rPr>
      </w:pPr>
      <w:r w:rsidRPr="00FB1AB1">
        <w:rPr>
          <w:b/>
        </w:rPr>
        <w:t xml:space="preserve">Hvordan skal overvågningsplanen udfyldes, hvis </w:t>
      </w:r>
      <w:r w:rsidR="001B5923">
        <w:rPr>
          <w:b/>
        </w:rPr>
        <w:t>der</w:t>
      </w:r>
      <w:r w:rsidRPr="00FB1AB1">
        <w:rPr>
          <w:b/>
        </w:rPr>
        <w:t xml:space="preserve"> anvende</w:t>
      </w:r>
      <w:r w:rsidR="001B5923">
        <w:rPr>
          <w:b/>
        </w:rPr>
        <w:t>s</w:t>
      </w:r>
      <w:r w:rsidRPr="00FB1AB1">
        <w:rPr>
          <w:b/>
        </w:rPr>
        <w:t xml:space="preserve"> biomasse, biogas eller bio-olie?</w:t>
      </w:r>
    </w:p>
    <w:p w:rsidR="00FB1AB1" w:rsidRPr="00FB1AB1" w:rsidRDefault="00FB1AB1">
      <w:pPr>
        <w:rPr>
          <w:b/>
        </w:rPr>
      </w:pPr>
    </w:p>
    <w:p w:rsidR="00F776B1" w:rsidRDefault="00FB1AB1">
      <w:r w:rsidRPr="00FB1AB1">
        <w:rPr>
          <w:u w:val="single"/>
        </w:rPr>
        <w:t xml:space="preserve">For </w:t>
      </w:r>
      <w:r w:rsidR="001301C6">
        <w:rPr>
          <w:u w:val="single"/>
        </w:rPr>
        <w:t xml:space="preserve">fast </w:t>
      </w:r>
      <w:r w:rsidRPr="00FB1AB1">
        <w:rPr>
          <w:u w:val="single"/>
        </w:rPr>
        <w:t>biomasse</w:t>
      </w:r>
      <w:r w:rsidR="00F776B1">
        <w:rPr>
          <w:u w:val="single"/>
        </w:rPr>
        <w:t xml:space="preserve"> (ikke biobrændstoffer eller flydende biobrændsel)</w:t>
      </w:r>
      <w:r>
        <w:t>, som opfylder VE-direktivets</w:t>
      </w:r>
      <w:r w:rsidR="00F44462">
        <w:rPr>
          <w:rStyle w:val="Fodnotehenvisning"/>
        </w:rPr>
        <w:footnoteReference w:id="1"/>
      </w:r>
      <w:r>
        <w:t xml:space="preserve"> definition af biomasse, </w:t>
      </w:r>
      <w:r w:rsidR="009B7419">
        <w:t>må</w:t>
      </w:r>
      <w:r>
        <w:t xml:space="preserve"> CO2-udledningen for</w:t>
      </w:r>
      <w:r w:rsidR="00F44462">
        <w:t>t</w:t>
      </w:r>
      <w:r>
        <w:t xml:space="preserve">sat sættes til nul. Det nye er, at </w:t>
      </w:r>
      <w:r w:rsidR="00F776B1">
        <w:t>biomassen skal udgøres 100 pct. af den bio-nedbrydelige del af produkter, affald og restpr</w:t>
      </w:r>
      <w:r w:rsidR="00F776B1">
        <w:t>o</w:t>
      </w:r>
      <w:r w:rsidR="00F776B1">
        <w:t>dukter af biologisk oprindelse fra landbrug (herunder vegetabilske og animalske stoffer), skovbrug og tilknyttede industrier, herunder fiskeri og akvaku</w:t>
      </w:r>
      <w:r w:rsidR="00FD18B9">
        <w:t>l</w:t>
      </w:r>
      <w:r w:rsidR="00F776B1">
        <w:t xml:space="preserve">tur, samt den bio-nedbrydelige del af industriaffald og kommunalt affald. </w:t>
      </w:r>
      <w:r w:rsidR="008D1F16">
        <w:t>Biomasse-definitionen vil ikke være opfyldt, s</w:t>
      </w:r>
      <w:r w:rsidR="008D1F16">
        <w:t>å</w:t>
      </w:r>
      <w:r w:rsidR="008D1F16">
        <w:t>fremt der i produkterne, affaldet eller restprodukterne indgår dele, der har fossil oprindelse.</w:t>
      </w:r>
    </w:p>
    <w:p w:rsidR="00F776B1" w:rsidRDefault="00F776B1"/>
    <w:p w:rsidR="00B14ABD" w:rsidRDefault="00FB1AB1">
      <w:r>
        <w:t>Det betyder, at når der i overvågningsplanen under punkt 2 a, vælges biomassetype (fx træpi</w:t>
      </w:r>
      <w:r>
        <w:t>l</w:t>
      </w:r>
      <w:r>
        <w:t xml:space="preserve">ler, </w:t>
      </w:r>
      <w:r w:rsidR="00FD18B9">
        <w:t>skovflis</w:t>
      </w:r>
      <w:r>
        <w:t>,</w:t>
      </w:r>
      <w:r w:rsidR="00F776B1">
        <w:t xml:space="preserve"> eller</w:t>
      </w:r>
      <w:r>
        <w:t xml:space="preserve"> halm) er det en betingelse, at disse </w:t>
      </w:r>
      <w:r w:rsidR="009B7419">
        <w:t xml:space="preserve">kildestrømme </w:t>
      </w:r>
      <w:r w:rsidR="00F776B1">
        <w:t xml:space="preserve">opfylder </w:t>
      </w:r>
      <w:r w:rsidR="008D1F16">
        <w:t>VE-</w:t>
      </w:r>
      <w:proofErr w:type="spellStart"/>
      <w:r w:rsidR="008D1F16">
        <w:t>direktivet’s</w:t>
      </w:r>
      <w:proofErr w:type="spellEnd"/>
      <w:r w:rsidR="00F776B1">
        <w:t xml:space="preserve"> definition</w:t>
      </w:r>
      <w:r>
        <w:t xml:space="preserve">. Dette skal kunne dokumenteres, når </w:t>
      </w:r>
      <w:proofErr w:type="spellStart"/>
      <w:r>
        <w:t>verifikator</w:t>
      </w:r>
      <w:proofErr w:type="spellEnd"/>
      <w:r>
        <w:t xml:space="preserve"> verificerer </w:t>
      </w:r>
      <w:r w:rsidR="00FD18B9" w:rsidRPr="00B400FB">
        <w:t>CO</w:t>
      </w:r>
      <w:r w:rsidR="00FD18B9" w:rsidRPr="00B400FB">
        <w:rPr>
          <w:vertAlign w:val="subscript"/>
        </w:rPr>
        <w:t>2</w:t>
      </w:r>
      <w:r w:rsidR="00FD18B9" w:rsidRPr="00B400FB">
        <w:t xml:space="preserve"> </w:t>
      </w:r>
      <w:r w:rsidR="00FD18B9">
        <w:t>-</w:t>
      </w:r>
      <w:r>
        <w:t>udledning</w:t>
      </w:r>
      <w:r w:rsidR="00FD18B9">
        <w:t>srapport</w:t>
      </w:r>
      <w:r>
        <w:t>en</w:t>
      </w:r>
      <w:r w:rsidR="00280544">
        <w:t>.</w:t>
      </w:r>
      <w:r>
        <w:t xml:space="preserve"> </w:t>
      </w:r>
    </w:p>
    <w:p w:rsidR="00B14ABD" w:rsidRDefault="00B14ABD"/>
    <w:p w:rsidR="00B744BD" w:rsidRDefault="009B7419">
      <w:r w:rsidRPr="001B5923">
        <w:rPr>
          <w:u w:val="single"/>
        </w:rPr>
        <w:t>For biogas</w:t>
      </w:r>
      <w:r>
        <w:t>, der afbrænde</w:t>
      </w:r>
      <w:r w:rsidR="001B5923">
        <w:t xml:space="preserve">s direkte i </w:t>
      </w:r>
      <w:r w:rsidR="00FD18B9">
        <w:t xml:space="preserve">fx </w:t>
      </w:r>
      <w:r w:rsidR="001B5923">
        <w:t>et kraftvarmeanlæg</w:t>
      </w:r>
      <w:r>
        <w:t xml:space="preserve">, må CO2-udledningen sættes til </w:t>
      </w:r>
      <w:r w:rsidR="00B744BD">
        <w:t>nul</w:t>
      </w:r>
      <w:r>
        <w:t xml:space="preserve">. Under </w:t>
      </w:r>
      <w:r w:rsidR="001B5923">
        <w:t>kildestrømme vælges biogastype (fx fra affald).</w:t>
      </w:r>
      <w:r w:rsidR="00FA398B">
        <w:t xml:space="preserve"> </w:t>
      </w:r>
    </w:p>
    <w:p w:rsidR="00B744BD" w:rsidRDefault="00B744BD"/>
    <w:p w:rsidR="002859AA" w:rsidRDefault="00FA398B">
      <w:r>
        <w:t xml:space="preserve">Derudover </w:t>
      </w:r>
      <w:r w:rsidR="002379D2">
        <w:t>må CO2-</w:t>
      </w:r>
      <w:r>
        <w:t xml:space="preserve">udledningen ved afbrænding af såkaldt </w:t>
      </w:r>
      <w:r w:rsidRPr="00B14ABD">
        <w:rPr>
          <w:u w:val="single"/>
        </w:rPr>
        <w:t>bionaturgas</w:t>
      </w:r>
      <w:r>
        <w:t xml:space="preserve"> </w:t>
      </w:r>
      <w:r w:rsidR="002379D2">
        <w:t xml:space="preserve">også sættes </w:t>
      </w:r>
      <w:r>
        <w:t xml:space="preserve">til </w:t>
      </w:r>
      <w:r w:rsidR="00B744BD">
        <w:t>nul</w:t>
      </w:r>
      <w:r>
        <w:t>.</w:t>
      </w:r>
      <w:r w:rsidR="00B14ABD">
        <w:t xml:space="preserve"> Bionaturgas er opgraderet biogas, hvor </w:t>
      </w:r>
      <w:r w:rsidR="00FD18B9" w:rsidRPr="00B400FB">
        <w:t>CO</w:t>
      </w:r>
      <w:r w:rsidR="00FD18B9" w:rsidRPr="00B400FB">
        <w:rPr>
          <w:vertAlign w:val="subscript"/>
        </w:rPr>
        <w:t>2</w:t>
      </w:r>
      <w:r w:rsidR="00FD18B9" w:rsidRPr="00B400FB">
        <w:t xml:space="preserve"> </w:t>
      </w:r>
      <w:r w:rsidR="00FD18B9">
        <w:t xml:space="preserve">-indholdet </w:t>
      </w:r>
      <w:r w:rsidR="00B14ABD">
        <w:t>er fjernet, og gassen er ført ind på n</w:t>
      </w:r>
      <w:r w:rsidR="00B14ABD">
        <w:t>a</w:t>
      </w:r>
      <w:r w:rsidR="00B14ABD">
        <w:t>turgasnettet.</w:t>
      </w:r>
      <w:r>
        <w:t xml:space="preserve"> I kildestrøm vælges </w:t>
      </w:r>
      <w:r w:rsidR="00592707">
        <w:t>’bio</w:t>
      </w:r>
      <w:r>
        <w:t>naturgas</w:t>
      </w:r>
      <w:r w:rsidR="00592707">
        <w:t xml:space="preserve">’ </w:t>
      </w:r>
      <w:r w:rsidR="002859AA">
        <w:t xml:space="preserve">og den forventede udledning sættes til nul. </w:t>
      </w:r>
      <w:r w:rsidR="00B14ABD">
        <w:t xml:space="preserve">I forbindelse med den årlige rapportering </w:t>
      </w:r>
      <w:r w:rsidR="002379D2">
        <w:t xml:space="preserve">er det en betingelse, at det kan </w:t>
      </w:r>
      <w:r w:rsidR="00B14ABD">
        <w:t xml:space="preserve">dokumenteres, at der </w:t>
      </w:r>
      <w:r>
        <w:t>hos Energinet.dk, som administrer oprindelsescertifikater</w:t>
      </w:r>
      <w:r w:rsidR="00B14ABD">
        <w:t xml:space="preserve">ne, </w:t>
      </w:r>
      <w:r>
        <w:t>er annulleret certifikater svare</w:t>
      </w:r>
      <w:r>
        <w:t>n</w:t>
      </w:r>
      <w:r>
        <w:t>de til forbruget</w:t>
      </w:r>
      <w:r w:rsidR="00B14ABD">
        <w:t xml:space="preserve"> af bionaturgas</w:t>
      </w:r>
      <w:r>
        <w:t xml:space="preserve">. Er der ikke annulleret certifikater svarende til forbruget, vil </w:t>
      </w:r>
      <w:r w:rsidR="00B14ABD">
        <w:t>r</w:t>
      </w:r>
      <w:r w:rsidR="00B14ABD">
        <w:t>e</w:t>
      </w:r>
      <w:r w:rsidR="00B14ABD">
        <w:t xml:space="preserve">sten af gasforbruget </w:t>
      </w:r>
      <w:r w:rsidR="002379D2">
        <w:t xml:space="preserve">antages at være </w:t>
      </w:r>
      <w:r>
        <w:t>naturgas</w:t>
      </w:r>
      <w:r w:rsidR="00592707">
        <w:t xml:space="preserve">. Derfor foreslås det, at der udover ’bionaturgas’ også vælges ’naturgas’ under kildestrømme </w:t>
      </w:r>
      <w:r w:rsidR="009C1DBF">
        <w:t xml:space="preserve">med tilhørende emissionsfaktor </w:t>
      </w:r>
      <w:r w:rsidR="00592707">
        <w:t xml:space="preserve">for det tilfælde, at der ikke er tilstrækkeligt med tilgængelige certifikater til at dække </w:t>
      </w:r>
      <w:r w:rsidR="009C1DBF">
        <w:t xml:space="preserve">det faktiske </w:t>
      </w:r>
      <w:r w:rsidR="00592707">
        <w:t>forbrug.</w:t>
      </w:r>
    </w:p>
    <w:p w:rsidR="00A11B6B" w:rsidRDefault="00A11B6B"/>
    <w:p w:rsidR="009E779B" w:rsidRDefault="00B14ABD" w:rsidP="009E779B">
      <w:r w:rsidRPr="00B14ABD">
        <w:rPr>
          <w:u w:val="single"/>
        </w:rPr>
        <w:t>For bio-olie</w:t>
      </w:r>
      <w:r>
        <w:t xml:space="preserve"> har EU-kommissionen </w:t>
      </w:r>
      <w:r w:rsidR="002379D2">
        <w:t>anvist</w:t>
      </w:r>
      <w:r w:rsidR="008D0879">
        <w:rPr>
          <w:rStyle w:val="Fodnotehenvisning"/>
        </w:rPr>
        <w:footnoteReference w:id="2"/>
      </w:r>
      <w:r>
        <w:t>, at VE-direktivets regler om bæredygtighed gælder for anvendelse af bio-olie</w:t>
      </w:r>
      <w:r w:rsidR="002379D2">
        <w:t xml:space="preserve"> og biobrændstoffer (for luftfart)</w:t>
      </w:r>
      <w:r w:rsidR="001301C6">
        <w:t xml:space="preserve"> i kvoteomfattede virksomheder.</w:t>
      </w:r>
      <w:r w:rsidR="00C97930">
        <w:t xml:space="preserve"> </w:t>
      </w:r>
      <w:r w:rsidR="009E779B">
        <w:lastRenderedPageBreak/>
        <w:t>Det betyder, at CO2-udledningen for flydende biobrændsler kun kan sættes til nul, hvis der er tale om bæredygtige biobrændsler i henhold til VE-direktivets bestemmelser herom (se artikel 17-21)</w:t>
      </w:r>
      <w:r w:rsidR="001301C6">
        <w:t>, og brændslet er 100 % bio-nedbrydeligt</w:t>
      </w:r>
      <w:r w:rsidR="009E779B">
        <w:t>. Reglerne om bæredygtighedskriterier samt dokumentation herfor, er beskrevet i bekendtgørelse nr. 1182 af 12. december 2012 om</w:t>
      </w:r>
      <w:r w:rsidR="009E779B" w:rsidRPr="0043173D">
        <w:t xml:space="preserve"> bær</w:t>
      </w:r>
      <w:r w:rsidR="009E779B" w:rsidRPr="0043173D">
        <w:t>e</w:t>
      </w:r>
      <w:r w:rsidR="009E779B" w:rsidRPr="0043173D">
        <w:t>dygtighed m.v. af biobrændstoffer og flydende biobrændsler, som anvendes til aktiviteter o</w:t>
      </w:r>
      <w:r w:rsidR="009E779B" w:rsidRPr="0043173D">
        <w:t>m</w:t>
      </w:r>
      <w:r w:rsidR="009E779B" w:rsidRPr="0043173D">
        <w:t>fattet af lov om CO</w:t>
      </w:r>
      <w:r w:rsidR="009E779B" w:rsidRPr="0043173D">
        <w:rPr>
          <w:vertAlign w:val="subscript"/>
        </w:rPr>
        <w:t>2</w:t>
      </w:r>
      <w:r w:rsidR="009E779B" w:rsidRPr="0043173D">
        <w:t>-kvoter</w:t>
      </w:r>
      <w:r w:rsidR="009E779B">
        <w:t xml:space="preserve">. </w:t>
      </w:r>
    </w:p>
    <w:p w:rsidR="009E779B" w:rsidRDefault="009E779B" w:rsidP="009E779B"/>
    <w:p w:rsidR="009E779B" w:rsidRDefault="009E779B" w:rsidP="009E779B">
      <w:r>
        <w:t>I overvågningsplanen, kan under kildestrøm, vælges rapsolie eller anden bio-olie. En foru</w:t>
      </w:r>
      <w:r>
        <w:t>d</w:t>
      </w:r>
      <w:r>
        <w:t xml:space="preserve">sætning for at vælge raspolie eller anden bio-olie som kildestrøm er, at det i forbindelse med rapporteringen (som finder sted i det år, som følger efter det år, hvor brændslet er anvendt) dokumenteres, at olien er bæredygtig efter bestemmelserne i bæredygtighedsbekendtgørelsen. </w:t>
      </w:r>
    </w:p>
    <w:p w:rsidR="00A11B6B" w:rsidRDefault="00A11B6B"/>
    <w:p w:rsidR="00B14ABD" w:rsidRDefault="00C97930">
      <w:r>
        <w:t>Hvis den anvend</w:t>
      </w:r>
      <w:r w:rsidR="002859AA">
        <w:t>te olie ikke</w:t>
      </w:r>
      <w:r w:rsidR="00653ED2">
        <w:t xml:space="preserve"> forventes at være b</w:t>
      </w:r>
      <w:r>
        <w:t xml:space="preserve">æredygtig, skal </w:t>
      </w:r>
      <w:r w:rsidR="00F97315">
        <w:t>den ikke anføres som bio</w:t>
      </w:r>
      <w:r w:rsidR="009C1DBF">
        <w:t>-</w:t>
      </w:r>
      <w:r w:rsidR="00F97315">
        <w:t>olie.</w:t>
      </w:r>
      <w:r>
        <w:t xml:space="preserve"> </w:t>
      </w:r>
      <w:r w:rsidR="00280544">
        <w:t xml:space="preserve">Under </w:t>
      </w:r>
      <w:r w:rsidR="002859AA">
        <w:t xml:space="preserve">kildestrøm </w:t>
      </w:r>
      <w:r w:rsidR="00280544">
        <w:t>vælges</w:t>
      </w:r>
      <w:r w:rsidR="00F44462">
        <w:t xml:space="preserve"> i stedet </w:t>
      </w:r>
      <w:r w:rsidR="00576A45">
        <w:t>ikke-bæredygtig bio-</w:t>
      </w:r>
      <w:r w:rsidR="00280544">
        <w:t xml:space="preserve">olie og den relevante emissionsfaktor. </w:t>
      </w:r>
      <w:r w:rsidR="00F44462">
        <w:t xml:space="preserve">Forventes i stedet anvendt fossilt </w:t>
      </w:r>
      <w:r w:rsidR="00280544">
        <w:t>brændsel</w:t>
      </w:r>
      <w:r w:rsidR="00F44462">
        <w:t xml:space="preserve"> på virksomheden</w:t>
      </w:r>
      <w:r w:rsidR="00280544">
        <w:t>, vælges det</w:t>
      </w:r>
      <w:r w:rsidR="00F44462">
        <w:t xml:space="preserve"> pågældende fossile</w:t>
      </w:r>
      <w:r w:rsidR="00653ED2">
        <w:t xml:space="preserve"> brændsel </w:t>
      </w:r>
      <w:r w:rsidR="00F44462">
        <w:t xml:space="preserve">som kildestrøm </w:t>
      </w:r>
      <w:r w:rsidR="00653ED2">
        <w:t>med tilhørende emissionsfaktor.</w:t>
      </w:r>
    </w:p>
    <w:p w:rsidR="00B14ABD" w:rsidRDefault="00B14ABD"/>
    <w:p w:rsidR="00FB1AB1" w:rsidRDefault="00FB1AB1"/>
    <w:p w:rsidR="00FB1AB1" w:rsidRDefault="00FB1AB1"/>
    <w:sectPr w:rsidR="00FB1AB1" w:rsidSect="00F555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381" w:right="1701" w:bottom="73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42" w:rsidRDefault="00EA7642">
      <w:r>
        <w:separator/>
      </w:r>
    </w:p>
  </w:endnote>
  <w:endnote w:type="continuationSeparator" w:id="0">
    <w:p w:rsidR="00EA7642" w:rsidRDefault="00EA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DC" w:rsidRDefault="007510D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6" w:rsidRDefault="008D1F16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848B2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6" w:rsidRDefault="004848B2">
    <w:pPr>
      <w:pStyle w:val="Sidefo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Klima- og energiministeriet" href="http://www.kemin.dk/da-DK" title="&quot;Til forsiden&quot;" style="position:absolute;margin-left:-23.1pt;margin-top:-11.8pt;width:88.75pt;height:31.2pt;z-index:-251658240" o:button="t">
          <v:imagedata r:id="rId1" o:title="keminlogo_dk"/>
        </v:shape>
      </w:pict>
    </w:r>
    <w:r w:rsidR="008D1F16">
      <w:tab/>
      <w:t xml:space="preserve">Side </w:t>
    </w:r>
    <w:r w:rsidR="001301C6">
      <w:fldChar w:fldCharType="begin"/>
    </w:r>
    <w:r w:rsidR="001301C6">
      <w:instrText xml:space="preserve"> PAGE  \* MERGEFORMAT </w:instrText>
    </w:r>
    <w:r w:rsidR="001301C6">
      <w:fldChar w:fldCharType="separate"/>
    </w:r>
    <w:r>
      <w:rPr>
        <w:noProof/>
      </w:rPr>
      <w:t>1</w:t>
    </w:r>
    <w:r w:rsidR="001301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42" w:rsidRDefault="00EA7642">
      <w:r>
        <w:separator/>
      </w:r>
    </w:p>
  </w:footnote>
  <w:footnote w:type="continuationSeparator" w:id="0">
    <w:p w:rsidR="00EA7642" w:rsidRDefault="00EA7642">
      <w:r>
        <w:continuationSeparator/>
      </w:r>
    </w:p>
  </w:footnote>
  <w:footnote w:id="1">
    <w:p w:rsidR="008D1F16" w:rsidRDefault="008D1F16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EB0D22">
        <w:t xml:space="preserve">Europa-Parlamentets og Rådets direktiv 2009/28/EF af 23. april 2009 om fremme af anvendelsen af energi fra vedvarende energikilder og om ændring og senere ophævelse af direktiv 2001/77/EF og </w:t>
      </w:r>
      <w:r>
        <w:t>2003/30/EF</w:t>
      </w:r>
    </w:p>
  </w:footnote>
  <w:footnote w:id="2">
    <w:p w:rsidR="008D1F16" w:rsidRDefault="008D1F16">
      <w:pPr>
        <w:pStyle w:val="Fodnotetekst"/>
      </w:pPr>
      <w:r>
        <w:rPr>
          <w:rStyle w:val="Fodnotehenvisning"/>
        </w:rPr>
        <w:footnoteRef/>
      </w:r>
      <w:r>
        <w:t xml:space="preserve"> I kommissionens forordning (EU) Nr. 601/2012 af 21. juni 2012 om overvågning og rapportering af drivhu</w:t>
      </w:r>
      <w:r>
        <w:t>s</w:t>
      </w:r>
      <w:r>
        <w:t>gasemissioner i medfør af Europa-Parlamentets og Rådets direktiv 2003/87/EF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DC" w:rsidRDefault="007510D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DC" w:rsidRDefault="007510D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6" w:rsidRDefault="004848B2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2pt;margin-top:-6.4pt;width:182.55pt;height:45.9pt;z-index:251657216">
          <v:imagedata r:id="rId1" o:title="Logodk_rgb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46C1"/>
    <w:multiLevelType w:val="hybridMultilevel"/>
    <w:tmpl w:val="4DAE9E34"/>
    <w:lvl w:ilvl="0" w:tplc="CE3A2B1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419"/>
    <w:rsid w:val="0000629D"/>
    <w:rsid w:val="00021936"/>
    <w:rsid w:val="0006768B"/>
    <w:rsid w:val="000B2AA2"/>
    <w:rsid w:val="000F66C2"/>
    <w:rsid w:val="001301C6"/>
    <w:rsid w:val="00150F76"/>
    <w:rsid w:val="00163A88"/>
    <w:rsid w:val="00174F28"/>
    <w:rsid w:val="001829DC"/>
    <w:rsid w:val="001B5923"/>
    <w:rsid w:val="001F6AC1"/>
    <w:rsid w:val="002078CE"/>
    <w:rsid w:val="002379D2"/>
    <w:rsid w:val="0027077A"/>
    <w:rsid w:val="00280544"/>
    <w:rsid w:val="002859AA"/>
    <w:rsid w:val="002B510D"/>
    <w:rsid w:val="002F1C9B"/>
    <w:rsid w:val="00300B91"/>
    <w:rsid w:val="003276CA"/>
    <w:rsid w:val="00347ACA"/>
    <w:rsid w:val="00383497"/>
    <w:rsid w:val="003A3620"/>
    <w:rsid w:val="003A5669"/>
    <w:rsid w:val="003B0D4F"/>
    <w:rsid w:val="003B6352"/>
    <w:rsid w:val="00412BBD"/>
    <w:rsid w:val="00435E06"/>
    <w:rsid w:val="004848B2"/>
    <w:rsid w:val="004A38BA"/>
    <w:rsid w:val="005173B1"/>
    <w:rsid w:val="00570185"/>
    <w:rsid w:val="00575E38"/>
    <w:rsid w:val="00576A45"/>
    <w:rsid w:val="00592707"/>
    <w:rsid w:val="005B5BE8"/>
    <w:rsid w:val="00613C6E"/>
    <w:rsid w:val="00641D45"/>
    <w:rsid w:val="00645B49"/>
    <w:rsid w:val="00653ED2"/>
    <w:rsid w:val="006B0E0C"/>
    <w:rsid w:val="0074150C"/>
    <w:rsid w:val="007510DC"/>
    <w:rsid w:val="007741C4"/>
    <w:rsid w:val="00823B0D"/>
    <w:rsid w:val="00827528"/>
    <w:rsid w:val="0083172E"/>
    <w:rsid w:val="00870FB9"/>
    <w:rsid w:val="008D0879"/>
    <w:rsid w:val="008D1F16"/>
    <w:rsid w:val="0090149F"/>
    <w:rsid w:val="00913233"/>
    <w:rsid w:val="0095618B"/>
    <w:rsid w:val="00975DEE"/>
    <w:rsid w:val="0097629F"/>
    <w:rsid w:val="00991930"/>
    <w:rsid w:val="009B7419"/>
    <w:rsid w:val="009C1DBF"/>
    <w:rsid w:val="009C6DE9"/>
    <w:rsid w:val="009D1AEC"/>
    <w:rsid w:val="009E3DE9"/>
    <w:rsid w:val="009E779B"/>
    <w:rsid w:val="00A11B6B"/>
    <w:rsid w:val="00A338D7"/>
    <w:rsid w:val="00A638FB"/>
    <w:rsid w:val="00A6761B"/>
    <w:rsid w:val="00AB6D9F"/>
    <w:rsid w:val="00AF46AF"/>
    <w:rsid w:val="00AF5942"/>
    <w:rsid w:val="00B14ABD"/>
    <w:rsid w:val="00B55F61"/>
    <w:rsid w:val="00B744BD"/>
    <w:rsid w:val="00B77489"/>
    <w:rsid w:val="00C32D39"/>
    <w:rsid w:val="00C97930"/>
    <w:rsid w:val="00CE2397"/>
    <w:rsid w:val="00D132E6"/>
    <w:rsid w:val="00D32A18"/>
    <w:rsid w:val="00D61B6C"/>
    <w:rsid w:val="00D81B82"/>
    <w:rsid w:val="00E40C4D"/>
    <w:rsid w:val="00E54AA9"/>
    <w:rsid w:val="00E608FC"/>
    <w:rsid w:val="00E60AE3"/>
    <w:rsid w:val="00E61660"/>
    <w:rsid w:val="00E6371C"/>
    <w:rsid w:val="00E862D7"/>
    <w:rsid w:val="00EA7642"/>
    <w:rsid w:val="00EF1E45"/>
    <w:rsid w:val="00EF2AAC"/>
    <w:rsid w:val="00EF6B43"/>
    <w:rsid w:val="00F44462"/>
    <w:rsid w:val="00F555CE"/>
    <w:rsid w:val="00F55839"/>
    <w:rsid w:val="00F776B1"/>
    <w:rsid w:val="00F82882"/>
    <w:rsid w:val="00F97315"/>
    <w:rsid w:val="00FA398B"/>
    <w:rsid w:val="00FB1AB1"/>
    <w:rsid w:val="00FC2549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FB9"/>
    <w:pPr>
      <w:spacing w:line="28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3A3620"/>
    <w:pPr>
      <w:keepNext/>
      <w:outlineLvl w:val="0"/>
    </w:pPr>
    <w:rPr>
      <w:rFonts w:cs="Arial"/>
      <w:b/>
      <w:bCs/>
    </w:rPr>
  </w:style>
  <w:style w:type="paragraph" w:styleId="Overskrift2">
    <w:name w:val="heading 2"/>
    <w:basedOn w:val="Normal"/>
    <w:next w:val="Normal"/>
    <w:qFormat/>
    <w:rsid w:val="003A362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F2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A3620"/>
    <w:pPr>
      <w:tabs>
        <w:tab w:val="center" w:pos="4819"/>
        <w:tab w:val="right" w:pos="9638"/>
      </w:tabs>
    </w:pPr>
  </w:style>
  <w:style w:type="paragraph" w:styleId="Sidefod">
    <w:name w:val="footer"/>
    <w:basedOn w:val="Normal-Infotekst"/>
    <w:rsid w:val="003A3620"/>
    <w:pPr>
      <w:tabs>
        <w:tab w:val="right" w:pos="9072"/>
      </w:tabs>
    </w:pPr>
  </w:style>
  <w:style w:type="paragraph" w:styleId="Brdtekst">
    <w:name w:val="Body Text"/>
    <w:basedOn w:val="Normal"/>
    <w:semiHidden/>
    <w:rsid w:val="003A3620"/>
    <w:rPr>
      <w:rFonts w:ascii="Arial" w:hAnsi="Arial" w:cs="Arial"/>
      <w:color w:val="EF9213"/>
      <w:sz w:val="16"/>
      <w:lang w:val="en-GB"/>
    </w:rPr>
  </w:style>
  <w:style w:type="character" w:styleId="Sidetal">
    <w:name w:val="page number"/>
    <w:basedOn w:val="Standardskrifttypeiafsnit"/>
    <w:rsid w:val="003A3620"/>
  </w:style>
  <w:style w:type="paragraph" w:styleId="Brdtekst2">
    <w:name w:val="Body Text 2"/>
    <w:basedOn w:val="Normal"/>
    <w:semiHidden/>
    <w:rsid w:val="003A3620"/>
    <w:pPr>
      <w:framePr w:wrap="auto" w:vAnchor="page" w:hAnchor="text" w:y="9640"/>
      <w:suppressOverlap/>
    </w:pPr>
  </w:style>
  <w:style w:type="paragraph" w:customStyle="1" w:styleId="Template-Firmainfo">
    <w:name w:val="Template - Firma info"/>
    <w:basedOn w:val="Template"/>
    <w:rsid w:val="003A3620"/>
    <w:pPr>
      <w:tabs>
        <w:tab w:val="left" w:pos="510"/>
      </w:tabs>
      <w:spacing w:line="200" w:lineRule="exact"/>
    </w:pPr>
    <w:rPr>
      <w:color w:val="939397"/>
    </w:rPr>
  </w:style>
  <w:style w:type="paragraph" w:customStyle="1" w:styleId="Template-Firmainfohoved">
    <w:name w:val="Template - Firma info hoved"/>
    <w:basedOn w:val="Template"/>
    <w:rsid w:val="00D81B82"/>
    <w:pPr>
      <w:spacing w:line="200" w:lineRule="exact"/>
    </w:pPr>
    <w:rPr>
      <w:b/>
      <w:color w:val="EE7708"/>
    </w:rPr>
  </w:style>
  <w:style w:type="paragraph" w:customStyle="1" w:styleId="Template-Firmainfofod">
    <w:name w:val="Template - Firma info fod"/>
    <w:basedOn w:val="Template"/>
    <w:rsid w:val="00B77489"/>
    <w:rPr>
      <w:color w:val="EE7708"/>
      <w:szCs w:val="15"/>
    </w:rPr>
  </w:style>
  <w:style w:type="paragraph" w:customStyle="1" w:styleId="Normal-Infotekst">
    <w:name w:val="Normal - Info tekst"/>
    <w:basedOn w:val="Normal"/>
    <w:rsid w:val="003A3620"/>
    <w:rPr>
      <w:sz w:val="20"/>
    </w:rPr>
  </w:style>
  <w:style w:type="paragraph" w:customStyle="1" w:styleId="Normal-Stillingsbetegnelse">
    <w:name w:val="Normal - Stillingsbetegnelse"/>
    <w:basedOn w:val="Normal"/>
    <w:rsid w:val="003A3620"/>
    <w:rPr>
      <w:i/>
    </w:rPr>
  </w:style>
  <w:style w:type="paragraph" w:customStyle="1" w:styleId="Template">
    <w:name w:val="Template"/>
    <w:basedOn w:val="Normal"/>
    <w:rsid w:val="00174F28"/>
    <w:rPr>
      <w:rFonts w:ascii="Verdana" w:hAnsi="Verdana"/>
      <w:noProof/>
      <w:sz w:val="15"/>
    </w:rPr>
  </w:style>
  <w:style w:type="table" w:styleId="Tabel-Gitter">
    <w:name w:val="Table Grid"/>
    <w:basedOn w:val="Tabel-Normal"/>
    <w:rsid w:val="00F555C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navn">
    <w:name w:val="Normal - Dokument navn"/>
    <w:basedOn w:val="Normal"/>
    <w:rsid w:val="00EF2AAC"/>
    <w:rPr>
      <w:rFonts w:ascii="Arial" w:hAnsi="Arial"/>
      <w:b/>
      <w:caps/>
      <w:spacing w:val="30"/>
      <w:lang w:val="nb-NO"/>
    </w:rPr>
  </w:style>
  <w:style w:type="paragraph" w:styleId="Fodnotetekst">
    <w:name w:val="footnote text"/>
    <w:basedOn w:val="Normal"/>
    <w:link w:val="FodnotetekstTegn"/>
    <w:rsid w:val="008D087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8D0879"/>
  </w:style>
  <w:style w:type="character" w:styleId="Fodnotehenvisning">
    <w:name w:val="footnote reference"/>
    <w:basedOn w:val="Standardskrifttypeiafsnit"/>
    <w:rsid w:val="008D0879"/>
    <w:rPr>
      <w:vertAlign w:val="superscript"/>
    </w:rPr>
  </w:style>
  <w:style w:type="character" w:styleId="Kommentarhenvisning">
    <w:name w:val="annotation reference"/>
    <w:basedOn w:val="Standardskrifttypeiafsnit"/>
    <w:rsid w:val="00FD18B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D18B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D18B9"/>
  </w:style>
  <w:style w:type="paragraph" w:styleId="Kommentaremne">
    <w:name w:val="annotation subject"/>
    <w:basedOn w:val="Kommentartekst"/>
    <w:next w:val="Kommentartekst"/>
    <w:link w:val="KommentaremneTegn"/>
    <w:rsid w:val="00FD18B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D18B9"/>
    <w:rPr>
      <w:b/>
      <w:bCs/>
    </w:rPr>
  </w:style>
  <w:style w:type="paragraph" w:styleId="Markeringsbobletekst">
    <w:name w:val="Balloon Text"/>
    <w:basedOn w:val="Normal"/>
    <w:link w:val="MarkeringsbobletekstTegn"/>
    <w:rsid w:val="00FD1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D1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8ABFA5F038042B94E1D12441E3953" ma:contentTypeVersion="1" ma:contentTypeDescription="Opret et nyt dokument." ma:contentTypeScope="" ma:versionID="3126c206758444d68cef7f133b04b43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1bcee0594a72d7ab769975a2d9b61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C016-60B6-4A5A-9F65-EA1ACA0FA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1617BC-0F20-41DD-B747-CDE474B830EC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7147EE-F3E1-45FD-B995-3D34C6B21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8B859-4B7D-48E4-BA4F-4F8A70BE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7034F258.dotm</Template>
  <TotalTime>0</TotalTime>
  <Pages>2</Pages>
  <Words>499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3540</CharactersWithSpaces>
  <SharedDoc>false</SharedDoc>
  <HLinks>
    <vt:vector size="6" baseType="variant">
      <vt:variant>
        <vt:i4>852048</vt:i4>
      </vt:variant>
      <vt:variant>
        <vt:i4>-1</vt:i4>
      </vt:variant>
      <vt:variant>
        <vt:i4>2050</vt:i4>
      </vt:variant>
      <vt:variant>
        <vt:i4>4</vt:i4>
      </vt:variant>
      <vt:variant>
        <vt:lpwstr>http://www.kemin.dk/da-DK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Hagen Jørgensen</dc:creator>
  <cp:lastModifiedBy>Maria Hagen Jørgensen</cp:lastModifiedBy>
  <cp:revision>2</cp:revision>
  <cp:lastPrinted>2005-11-07T16:46:00Z</cp:lastPrinted>
  <dcterms:created xsi:type="dcterms:W3CDTF">2015-03-26T17:44:00Z</dcterms:created>
  <dcterms:modified xsi:type="dcterms:W3CDTF">2015-03-26T17:44:00Z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0x01010005C8ABFA5F038042B94E1D12441E3953</vt:lpwstr>
  </property>
</Properties>
</file>