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1B51E" w14:textId="77777777" w:rsidR="00AC60EA" w:rsidRPr="00156B10" w:rsidRDefault="00721870" w:rsidP="008F2666">
      <w:r w:rsidRPr="00156B10">
        <w:t>Notat om</w:t>
      </w:r>
      <w:r w:rsidR="00E22971" w:rsidRPr="00156B10">
        <w:t xml:space="preserve"> energiselskabernes </w:t>
      </w:r>
      <w:proofErr w:type="spellStart"/>
      <w:r w:rsidR="00E22971" w:rsidRPr="00156B10">
        <w:t>energispareindsats</w:t>
      </w:r>
      <w:proofErr w:type="spellEnd"/>
    </w:p>
    <w:tbl>
      <w:tblPr>
        <w:tblStyle w:val="Tabel-Gitter"/>
        <w:tblpPr w:leftFromText="142" w:rightFromText="142" w:vertAnchor="page" w:tblpX="7712" w:tblpY="28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156B10" w:rsidRPr="00156B10" w14:paraId="63324CE1" w14:textId="77777777" w:rsidTr="00A46851">
        <w:tc>
          <w:tcPr>
            <w:tcW w:w="2235" w:type="dxa"/>
          </w:tcPr>
          <w:p w14:paraId="1D1DF76C" w14:textId="77777777" w:rsidR="008F2666" w:rsidRPr="00156B10" w:rsidRDefault="008F2666" w:rsidP="00A46851">
            <w:pPr>
              <w:spacing w:line="220" w:lineRule="exact"/>
              <w:rPr>
                <w:b/>
                <w:sz w:val="16"/>
                <w:szCs w:val="16"/>
              </w:rPr>
            </w:pPr>
            <w:r w:rsidRPr="00156B10">
              <w:rPr>
                <w:b/>
                <w:sz w:val="16"/>
                <w:szCs w:val="16"/>
              </w:rPr>
              <w:t>Kontor/afdeling</w:t>
            </w:r>
          </w:p>
          <w:p w14:paraId="21A9B491" w14:textId="77777777" w:rsidR="008F2666" w:rsidRPr="00156B10" w:rsidRDefault="00E22971" w:rsidP="00A46851">
            <w:pPr>
              <w:spacing w:line="220" w:lineRule="exact"/>
              <w:rPr>
                <w:sz w:val="16"/>
                <w:szCs w:val="16"/>
              </w:rPr>
            </w:pPr>
            <w:r w:rsidRPr="00156B10">
              <w:rPr>
                <w:sz w:val="16"/>
                <w:szCs w:val="16"/>
              </w:rPr>
              <w:t>Center for Systemanalyse, Energieffektivitet og Global Rådgivning</w:t>
            </w:r>
          </w:p>
          <w:p w14:paraId="0680D959" w14:textId="77777777" w:rsidR="00A53C43" w:rsidRPr="00156B10" w:rsidRDefault="00A53C43" w:rsidP="00A46851">
            <w:pPr>
              <w:spacing w:line="220" w:lineRule="exact"/>
              <w:rPr>
                <w:sz w:val="16"/>
                <w:szCs w:val="16"/>
              </w:rPr>
            </w:pPr>
          </w:p>
          <w:p w14:paraId="181EE76D" w14:textId="77777777" w:rsidR="008F2666" w:rsidRPr="00156B10" w:rsidRDefault="008F2666" w:rsidP="00A46851">
            <w:pPr>
              <w:spacing w:line="220" w:lineRule="exact"/>
              <w:rPr>
                <w:b/>
                <w:sz w:val="16"/>
                <w:szCs w:val="16"/>
              </w:rPr>
            </w:pPr>
            <w:r w:rsidRPr="00156B10">
              <w:rPr>
                <w:b/>
                <w:sz w:val="16"/>
                <w:szCs w:val="16"/>
              </w:rPr>
              <w:t>Dato</w:t>
            </w:r>
          </w:p>
          <w:p w14:paraId="74A10DFF" w14:textId="3CED62DD" w:rsidR="002611C9" w:rsidRPr="00156B10" w:rsidRDefault="00002C0C" w:rsidP="00A46851">
            <w:pPr>
              <w:spacing w:line="220" w:lineRule="exact"/>
              <w:rPr>
                <w:sz w:val="16"/>
                <w:szCs w:val="16"/>
              </w:rPr>
            </w:pPr>
            <w:r>
              <w:rPr>
                <w:sz w:val="16"/>
                <w:szCs w:val="16"/>
              </w:rPr>
              <w:t>23</w:t>
            </w:r>
            <w:r w:rsidR="00F84C3A">
              <w:rPr>
                <w:sz w:val="16"/>
                <w:szCs w:val="16"/>
              </w:rPr>
              <w:t xml:space="preserve">. </w:t>
            </w:r>
            <w:r w:rsidR="00080219">
              <w:rPr>
                <w:sz w:val="16"/>
                <w:szCs w:val="16"/>
              </w:rPr>
              <w:t>november</w:t>
            </w:r>
            <w:r w:rsidR="00F84C3A">
              <w:rPr>
                <w:sz w:val="16"/>
                <w:szCs w:val="16"/>
              </w:rPr>
              <w:t xml:space="preserve"> 2017</w:t>
            </w:r>
          </w:p>
          <w:p w14:paraId="61A2E1D3" w14:textId="77777777" w:rsidR="008F2666" w:rsidRPr="00156B10" w:rsidRDefault="00A53C43" w:rsidP="00A46851">
            <w:pPr>
              <w:spacing w:line="220" w:lineRule="exact"/>
              <w:rPr>
                <w:sz w:val="16"/>
                <w:szCs w:val="16"/>
              </w:rPr>
            </w:pPr>
            <w:r w:rsidRPr="00156B10">
              <w:rPr>
                <w:b/>
                <w:sz w:val="16"/>
                <w:szCs w:val="16"/>
              </w:rPr>
              <w:t>J nr.</w:t>
            </w:r>
            <w:r w:rsidRPr="00156B10">
              <w:rPr>
                <w:sz w:val="16"/>
                <w:szCs w:val="16"/>
              </w:rPr>
              <w:t xml:space="preserve"> </w:t>
            </w:r>
            <w:r w:rsidR="00E22971" w:rsidRPr="00156B10">
              <w:rPr>
                <w:sz w:val="16"/>
                <w:szCs w:val="16"/>
              </w:rPr>
              <w:t>2017-46</w:t>
            </w:r>
          </w:p>
          <w:p w14:paraId="40BE54F6" w14:textId="77777777" w:rsidR="002611C9" w:rsidRPr="00156B10" w:rsidRDefault="002611C9" w:rsidP="00A46851">
            <w:pPr>
              <w:spacing w:line="220" w:lineRule="exact"/>
              <w:rPr>
                <w:sz w:val="16"/>
                <w:szCs w:val="16"/>
              </w:rPr>
            </w:pPr>
          </w:p>
          <w:p w14:paraId="60CE3E20" w14:textId="77777777" w:rsidR="008F2666" w:rsidRPr="00156B10" w:rsidRDefault="00E22971" w:rsidP="00A46851">
            <w:pPr>
              <w:spacing w:line="220" w:lineRule="exact"/>
              <w:rPr>
                <w:sz w:val="16"/>
                <w:szCs w:val="16"/>
              </w:rPr>
            </w:pPr>
            <w:proofErr w:type="spellStart"/>
            <w:r w:rsidRPr="00156B10">
              <w:rPr>
                <w:sz w:val="16"/>
                <w:szCs w:val="16"/>
              </w:rPr>
              <w:t>tkj</w:t>
            </w:r>
            <w:proofErr w:type="spellEnd"/>
            <w:r w:rsidR="008F2666" w:rsidRPr="00156B10">
              <w:rPr>
                <w:sz w:val="16"/>
                <w:szCs w:val="16"/>
              </w:rPr>
              <w:t>/</w:t>
            </w:r>
          </w:p>
        </w:tc>
      </w:tr>
    </w:tbl>
    <w:tbl>
      <w:tblPr>
        <w:tblStyle w:val="Tabel-Gitter"/>
        <w:tblW w:w="10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328"/>
        <w:gridCol w:w="3391"/>
      </w:tblGrid>
      <w:tr w:rsidR="00156B10" w:rsidRPr="00156B10" w14:paraId="0846BAF3" w14:textId="77777777" w:rsidTr="009B01E4">
        <w:trPr>
          <w:trHeight w:val="836"/>
        </w:trPr>
        <w:tc>
          <w:tcPr>
            <w:tcW w:w="7328" w:type="dxa"/>
          </w:tcPr>
          <w:p w14:paraId="1BBC4C3A" w14:textId="77777777" w:rsidR="00E22971" w:rsidRPr="00156B10" w:rsidRDefault="00BA083C" w:rsidP="009B01E4">
            <w:pPr>
              <w:pStyle w:val="Normal-Dokumentnavn"/>
              <w:rPr>
                <w:rFonts w:asciiTheme="minorHAnsi" w:hAnsiTheme="minorHAnsi"/>
                <w:b w:val="0"/>
                <w:caps w:val="0"/>
                <w:sz w:val="32"/>
              </w:rPr>
            </w:pPr>
            <w:r w:rsidRPr="00156B10">
              <w:rPr>
                <w:rFonts w:asciiTheme="minorHAnsi" w:hAnsiTheme="minorHAnsi"/>
                <w:b w:val="0"/>
                <w:caps w:val="0"/>
                <w:sz w:val="32"/>
              </w:rPr>
              <w:br/>
            </w:r>
          </w:p>
          <w:p w14:paraId="21C5038C" w14:textId="77777777" w:rsidR="00E22971" w:rsidRPr="00156B10" w:rsidRDefault="00E22971" w:rsidP="009B01E4">
            <w:pPr>
              <w:pStyle w:val="Normal-Dokumentnavn"/>
              <w:rPr>
                <w:rFonts w:asciiTheme="minorHAnsi" w:hAnsiTheme="minorHAnsi"/>
                <w:b w:val="0"/>
                <w:caps w:val="0"/>
                <w:sz w:val="32"/>
              </w:rPr>
            </w:pPr>
            <w:r w:rsidRPr="00156B10">
              <w:rPr>
                <w:rFonts w:asciiTheme="minorHAnsi" w:hAnsiTheme="minorHAnsi"/>
                <w:b w:val="0"/>
                <w:caps w:val="0"/>
                <w:sz w:val="32"/>
              </w:rPr>
              <w:t>TEKNISK ARBEJDSGRUPPE</w:t>
            </w:r>
          </w:p>
          <w:p w14:paraId="1E25C75C" w14:textId="77777777" w:rsidR="00E22971" w:rsidRPr="00156B10" w:rsidRDefault="00E22971" w:rsidP="009B01E4">
            <w:pPr>
              <w:pStyle w:val="Normal-Dokumentnavn"/>
              <w:rPr>
                <w:rFonts w:asciiTheme="minorHAnsi" w:hAnsiTheme="minorHAnsi"/>
                <w:b w:val="0"/>
                <w:caps w:val="0"/>
                <w:sz w:val="32"/>
              </w:rPr>
            </w:pPr>
          </w:p>
        </w:tc>
        <w:tc>
          <w:tcPr>
            <w:tcW w:w="3391" w:type="dxa"/>
          </w:tcPr>
          <w:p w14:paraId="2A5DE26D" w14:textId="77777777" w:rsidR="00E22971" w:rsidRPr="00156B10" w:rsidRDefault="00E22971" w:rsidP="009B01E4">
            <w:pPr>
              <w:pStyle w:val="Normal-Infotekst"/>
              <w:rPr>
                <w:rFonts w:asciiTheme="minorHAnsi" w:hAnsiTheme="minorHAnsi"/>
              </w:rPr>
            </w:pPr>
            <w:bookmarkStart w:id="0" w:name="bmkFldJournalNr"/>
            <w:bookmarkStart w:id="1" w:name="bmkADReference"/>
            <w:bookmarkStart w:id="2" w:name="bmkADOmråde"/>
            <w:bookmarkEnd w:id="0"/>
            <w:bookmarkEnd w:id="1"/>
            <w:bookmarkEnd w:id="2"/>
          </w:p>
          <w:p w14:paraId="6EC42671" w14:textId="77777777" w:rsidR="00E22971" w:rsidRPr="00156B10" w:rsidRDefault="00E22971" w:rsidP="009B01E4">
            <w:pPr>
              <w:pStyle w:val="Normal-Infotekst"/>
              <w:rPr>
                <w:rFonts w:asciiTheme="minorHAnsi" w:hAnsiTheme="minorHAnsi"/>
              </w:rPr>
            </w:pPr>
          </w:p>
          <w:p w14:paraId="7603BBC0" w14:textId="77777777" w:rsidR="00E22971" w:rsidRPr="00156B10" w:rsidRDefault="00E22971" w:rsidP="009B01E4">
            <w:pPr>
              <w:pStyle w:val="Normal-Infotekst"/>
              <w:rPr>
                <w:rFonts w:asciiTheme="minorHAnsi" w:hAnsiTheme="minorHAnsi"/>
              </w:rPr>
            </w:pPr>
          </w:p>
        </w:tc>
      </w:tr>
    </w:tbl>
    <w:p w14:paraId="1C7EBC0B" w14:textId="648FE181" w:rsidR="00E22971" w:rsidRPr="00002C0C" w:rsidRDefault="00002C0C" w:rsidP="00A16F94">
      <w:pPr>
        <w:pStyle w:val="Overskrift2"/>
        <w:rPr>
          <w:color w:val="auto"/>
          <w:sz w:val="24"/>
          <w:u w:val="single"/>
        </w:rPr>
      </w:pPr>
      <w:bookmarkStart w:id="3" w:name="korttekst"/>
      <w:bookmarkStart w:id="4" w:name="PCAStart"/>
      <w:bookmarkEnd w:id="3"/>
      <w:bookmarkEnd w:id="4"/>
      <w:r w:rsidRPr="00002C0C">
        <w:rPr>
          <w:color w:val="auto"/>
          <w:sz w:val="24"/>
          <w:u w:val="single"/>
        </w:rPr>
        <w:t>R</w:t>
      </w:r>
      <w:r w:rsidR="00F84C3A" w:rsidRPr="00002C0C">
        <w:rPr>
          <w:color w:val="auto"/>
          <w:sz w:val="24"/>
          <w:u w:val="single"/>
        </w:rPr>
        <w:t xml:space="preserve">eferat af møde i Teknisk Arbejdsgruppe den </w:t>
      </w:r>
      <w:r w:rsidR="00A865C4" w:rsidRPr="00002C0C">
        <w:rPr>
          <w:color w:val="auto"/>
          <w:sz w:val="24"/>
          <w:u w:val="single"/>
        </w:rPr>
        <w:t>5. okt</w:t>
      </w:r>
      <w:r w:rsidR="00A865C4" w:rsidRPr="00002C0C">
        <w:rPr>
          <w:color w:val="auto"/>
          <w:sz w:val="24"/>
          <w:u w:val="single"/>
        </w:rPr>
        <w:t>o</w:t>
      </w:r>
      <w:r w:rsidR="00A865C4" w:rsidRPr="00002C0C">
        <w:rPr>
          <w:color w:val="auto"/>
          <w:sz w:val="24"/>
          <w:u w:val="single"/>
        </w:rPr>
        <w:t>ber</w:t>
      </w:r>
      <w:r w:rsidR="00F84C3A" w:rsidRPr="00002C0C">
        <w:rPr>
          <w:color w:val="auto"/>
          <w:sz w:val="24"/>
          <w:u w:val="single"/>
        </w:rPr>
        <w:t xml:space="preserve"> 2017</w:t>
      </w:r>
    </w:p>
    <w:p w14:paraId="4500BB93" w14:textId="77777777" w:rsidR="00F84C3A" w:rsidRDefault="00F84C3A" w:rsidP="00F84C3A">
      <w:pPr>
        <w:tabs>
          <w:tab w:val="left" w:pos="567"/>
        </w:tabs>
        <w:rPr>
          <w:rFonts w:asciiTheme="minorHAnsi" w:hAnsiTheme="minorHAnsi" w:cstheme="minorHAnsi"/>
          <w:sz w:val="22"/>
          <w:szCs w:val="20"/>
        </w:rPr>
      </w:pPr>
    </w:p>
    <w:p w14:paraId="4828DE7A" w14:textId="77777777" w:rsidR="00F84C3A" w:rsidRDefault="00F84C3A" w:rsidP="00F84C3A">
      <w:pPr>
        <w:tabs>
          <w:tab w:val="left" w:pos="567"/>
        </w:tabs>
        <w:rPr>
          <w:rFonts w:asciiTheme="minorHAnsi" w:hAnsiTheme="minorHAnsi"/>
          <w:color w:val="000000" w:themeColor="text1"/>
          <w:sz w:val="22"/>
          <w:szCs w:val="20"/>
        </w:rPr>
      </w:pPr>
      <w:r w:rsidRPr="00002C0C">
        <w:rPr>
          <w:rFonts w:asciiTheme="minorHAnsi" w:hAnsiTheme="minorHAnsi" w:cstheme="minorHAnsi"/>
          <w:b/>
          <w:sz w:val="22"/>
          <w:szCs w:val="20"/>
        </w:rPr>
        <w:t>Til stede</w:t>
      </w:r>
      <w:r w:rsidRPr="007B74EE">
        <w:rPr>
          <w:rFonts w:asciiTheme="minorHAnsi" w:hAnsiTheme="minorHAnsi" w:cstheme="minorHAnsi"/>
          <w:sz w:val="22"/>
          <w:szCs w:val="20"/>
        </w:rPr>
        <w:t xml:space="preserve">: </w:t>
      </w:r>
      <w:r w:rsidRPr="007B74EE">
        <w:rPr>
          <w:rFonts w:asciiTheme="minorHAnsi" w:hAnsiTheme="minorHAnsi"/>
          <w:color w:val="000000" w:themeColor="text1"/>
          <w:sz w:val="22"/>
          <w:szCs w:val="20"/>
        </w:rPr>
        <w:t>D</w:t>
      </w:r>
      <w:r w:rsidRPr="003B5EF8">
        <w:rPr>
          <w:rFonts w:asciiTheme="minorHAnsi" w:hAnsiTheme="minorHAnsi"/>
          <w:color w:val="000000" w:themeColor="text1"/>
          <w:sz w:val="22"/>
          <w:szCs w:val="20"/>
        </w:rPr>
        <w:t>ansk Energi, Naturga</w:t>
      </w:r>
      <w:r>
        <w:rPr>
          <w:rFonts w:asciiTheme="minorHAnsi" w:hAnsiTheme="minorHAnsi"/>
          <w:color w:val="000000" w:themeColor="text1"/>
          <w:sz w:val="22"/>
          <w:szCs w:val="20"/>
        </w:rPr>
        <w:t>sselskaberne, Dansk Fjernvarme, E</w:t>
      </w:r>
      <w:r w:rsidRPr="003B5EF8">
        <w:rPr>
          <w:rFonts w:asciiTheme="minorHAnsi" w:hAnsiTheme="minorHAnsi"/>
          <w:color w:val="000000" w:themeColor="text1"/>
          <w:sz w:val="22"/>
          <w:szCs w:val="20"/>
        </w:rPr>
        <w:t>nergi- og olieforum</w:t>
      </w:r>
      <w:r>
        <w:rPr>
          <w:rFonts w:asciiTheme="minorHAnsi" w:hAnsiTheme="minorHAnsi"/>
          <w:color w:val="000000" w:themeColor="text1"/>
          <w:sz w:val="22"/>
          <w:szCs w:val="20"/>
        </w:rPr>
        <w:t>, Sekretariatet for Energitilsynet</w:t>
      </w:r>
      <w:proofErr w:type="gramStart"/>
      <w:r>
        <w:rPr>
          <w:rFonts w:asciiTheme="minorHAnsi" w:hAnsiTheme="minorHAnsi"/>
          <w:color w:val="000000" w:themeColor="text1"/>
          <w:sz w:val="22"/>
          <w:szCs w:val="20"/>
        </w:rPr>
        <w:t xml:space="preserve"> (under pkt.</w:t>
      </w:r>
      <w:proofErr w:type="gramEnd"/>
      <w:r>
        <w:rPr>
          <w:rFonts w:asciiTheme="minorHAnsi" w:hAnsiTheme="minorHAnsi"/>
          <w:color w:val="000000" w:themeColor="text1"/>
          <w:sz w:val="22"/>
          <w:szCs w:val="20"/>
        </w:rPr>
        <w:t xml:space="preserve"> 2) </w:t>
      </w:r>
      <w:r w:rsidRPr="003B5EF8">
        <w:rPr>
          <w:rFonts w:asciiTheme="minorHAnsi" w:hAnsiTheme="minorHAnsi"/>
          <w:color w:val="000000" w:themeColor="text1"/>
          <w:sz w:val="22"/>
          <w:szCs w:val="20"/>
        </w:rPr>
        <w:t>og Energistyre</w:t>
      </w:r>
      <w:r w:rsidRPr="003B5EF8">
        <w:rPr>
          <w:rFonts w:asciiTheme="minorHAnsi" w:hAnsiTheme="minorHAnsi"/>
          <w:color w:val="000000" w:themeColor="text1"/>
          <w:sz w:val="22"/>
          <w:szCs w:val="20"/>
        </w:rPr>
        <w:t>l</w:t>
      </w:r>
      <w:r w:rsidRPr="003B5EF8">
        <w:rPr>
          <w:rFonts w:asciiTheme="minorHAnsi" w:hAnsiTheme="minorHAnsi"/>
          <w:color w:val="000000" w:themeColor="text1"/>
          <w:sz w:val="22"/>
          <w:szCs w:val="20"/>
        </w:rPr>
        <w:t xml:space="preserve">sen (referent). </w:t>
      </w:r>
    </w:p>
    <w:p w14:paraId="62EBD39F" w14:textId="77777777" w:rsidR="00F84C3A" w:rsidRPr="00F84C3A" w:rsidRDefault="00F84C3A" w:rsidP="00F84C3A"/>
    <w:p w14:paraId="0C226AC8" w14:textId="77777777" w:rsidR="00E22971" w:rsidRPr="00F308AE" w:rsidRDefault="00E22971" w:rsidP="00E22971">
      <w:pPr>
        <w:tabs>
          <w:tab w:val="left" w:pos="567"/>
        </w:tabs>
        <w:rPr>
          <w:rFonts w:ascii="Calibri" w:hAnsi="Calibri"/>
          <w:sz w:val="22"/>
          <w:u w:val="single"/>
        </w:rPr>
      </w:pPr>
    </w:p>
    <w:p w14:paraId="1F674357" w14:textId="77777777" w:rsidR="00E22971" w:rsidRPr="00F308AE" w:rsidRDefault="00E22971" w:rsidP="00E22971">
      <w:pPr>
        <w:tabs>
          <w:tab w:val="left" w:pos="567"/>
        </w:tabs>
        <w:rPr>
          <w:rFonts w:ascii="Calibri" w:hAnsi="Calibri"/>
          <w:sz w:val="22"/>
          <w:u w:val="single"/>
        </w:rPr>
      </w:pPr>
    </w:p>
    <w:p w14:paraId="578F1B6C" w14:textId="673ADD56" w:rsidR="00F71A54" w:rsidRPr="00F2573A" w:rsidRDefault="00FB4A31" w:rsidP="00F71A54">
      <w:pPr>
        <w:pStyle w:val="Listeafsnit"/>
        <w:numPr>
          <w:ilvl w:val="0"/>
          <w:numId w:val="1"/>
        </w:numPr>
        <w:ind w:left="0"/>
        <w:rPr>
          <w:rFonts w:ascii="Calibri" w:hAnsi="Calibri"/>
          <w:b/>
          <w:sz w:val="22"/>
        </w:rPr>
      </w:pPr>
      <w:r w:rsidRPr="008D572C">
        <w:rPr>
          <w:rFonts w:ascii="Calibri" w:hAnsi="Calibri"/>
          <w:b/>
          <w:sz w:val="22"/>
        </w:rPr>
        <w:t>G</w:t>
      </w:r>
      <w:r w:rsidR="00E22971" w:rsidRPr="008D572C">
        <w:rPr>
          <w:rFonts w:ascii="Calibri" w:hAnsi="Calibri"/>
          <w:b/>
          <w:sz w:val="22"/>
        </w:rPr>
        <w:t>odkendelse af dagsorden og referat</w:t>
      </w:r>
      <w:r w:rsidR="00A4671B" w:rsidRPr="008D572C">
        <w:rPr>
          <w:rFonts w:ascii="Calibri" w:hAnsi="Calibri"/>
          <w:b/>
          <w:sz w:val="22"/>
        </w:rPr>
        <w:t xml:space="preserve"> </w:t>
      </w:r>
      <w:r w:rsidR="00E22971" w:rsidRPr="008D572C">
        <w:rPr>
          <w:rFonts w:ascii="Calibri" w:hAnsi="Calibri"/>
          <w:b/>
          <w:szCs w:val="22"/>
        </w:rPr>
        <w:br/>
      </w:r>
      <w:r w:rsidR="00936333" w:rsidRPr="008D572C">
        <w:rPr>
          <w:rFonts w:ascii="Calibri" w:hAnsi="Calibri"/>
          <w:sz w:val="22"/>
          <w:szCs w:val="22"/>
        </w:rPr>
        <w:t>Vedlagt</w:t>
      </w:r>
      <w:r w:rsidR="00E22971" w:rsidRPr="008D572C">
        <w:rPr>
          <w:rFonts w:ascii="Calibri" w:hAnsi="Calibri"/>
          <w:sz w:val="22"/>
          <w:szCs w:val="22"/>
        </w:rPr>
        <w:t xml:space="preserve"> </w:t>
      </w:r>
      <w:r w:rsidR="007C2727" w:rsidRPr="008D572C">
        <w:rPr>
          <w:rFonts w:ascii="Calibri" w:hAnsi="Calibri"/>
          <w:sz w:val="22"/>
          <w:szCs w:val="22"/>
        </w:rPr>
        <w:t>Bilag 1</w:t>
      </w:r>
      <w:r w:rsidR="00E22971" w:rsidRPr="008D572C">
        <w:rPr>
          <w:rFonts w:ascii="Calibri" w:hAnsi="Calibri"/>
          <w:sz w:val="22"/>
          <w:szCs w:val="22"/>
        </w:rPr>
        <w:t xml:space="preserve">.a Dagsorden for </w:t>
      </w:r>
      <w:r w:rsidR="000D32ED" w:rsidRPr="008D572C">
        <w:rPr>
          <w:rFonts w:ascii="Calibri" w:hAnsi="Calibri"/>
          <w:sz w:val="22"/>
          <w:szCs w:val="22"/>
        </w:rPr>
        <w:t xml:space="preserve">møde i </w:t>
      </w:r>
      <w:r w:rsidR="00E22971" w:rsidRPr="008D572C">
        <w:rPr>
          <w:rFonts w:ascii="Calibri" w:hAnsi="Calibri"/>
          <w:sz w:val="22"/>
          <w:szCs w:val="22"/>
        </w:rPr>
        <w:t xml:space="preserve">TAG </w:t>
      </w:r>
      <w:r w:rsidR="00936333" w:rsidRPr="008D572C">
        <w:rPr>
          <w:rFonts w:ascii="Calibri" w:hAnsi="Calibri"/>
          <w:sz w:val="22"/>
          <w:szCs w:val="22"/>
        </w:rPr>
        <w:t xml:space="preserve">5. oktober </w:t>
      </w:r>
      <w:r w:rsidR="00E22971" w:rsidRPr="008D572C">
        <w:rPr>
          <w:rFonts w:ascii="Calibri" w:hAnsi="Calibri"/>
          <w:sz w:val="22"/>
          <w:szCs w:val="22"/>
        </w:rPr>
        <w:t xml:space="preserve">og </w:t>
      </w:r>
      <w:r w:rsidR="007C2727" w:rsidRPr="008D572C">
        <w:rPr>
          <w:rFonts w:ascii="Calibri" w:hAnsi="Calibri"/>
          <w:sz w:val="22"/>
          <w:szCs w:val="22"/>
        </w:rPr>
        <w:t>Bilag 1</w:t>
      </w:r>
      <w:r w:rsidR="00E22971" w:rsidRPr="008D572C">
        <w:rPr>
          <w:rFonts w:ascii="Calibri" w:hAnsi="Calibri"/>
          <w:sz w:val="22"/>
          <w:szCs w:val="22"/>
        </w:rPr>
        <w:t>.b. Udkas</w:t>
      </w:r>
      <w:r w:rsidR="00BE6993" w:rsidRPr="008D572C">
        <w:rPr>
          <w:rFonts w:ascii="Calibri" w:hAnsi="Calibri"/>
          <w:sz w:val="22"/>
          <w:szCs w:val="22"/>
        </w:rPr>
        <w:t>t til ref</w:t>
      </w:r>
      <w:r w:rsidR="00BE6993" w:rsidRPr="008D572C">
        <w:rPr>
          <w:rFonts w:ascii="Calibri" w:hAnsi="Calibri"/>
          <w:sz w:val="22"/>
          <w:szCs w:val="22"/>
        </w:rPr>
        <w:t>e</w:t>
      </w:r>
      <w:r w:rsidR="00BE6993" w:rsidRPr="008D572C">
        <w:rPr>
          <w:rFonts w:ascii="Calibri" w:hAnsi="Calibri"/>
          <w:sz w:val="22"/>
          <w:szCs w:val="22"/>
        </w:rPr>
        <w:t>rat af møde i Teknisk</w:t>
      </w:r>
      <w:r w:rsidR="00E22971" w:rsidRPr="008D572C">
        <w:rPr>
          <w:rFonts w:ascii="Calibri" w:hAnsi="Calibri"/>
          <w:sz w:val="22"/>
          <w:szCs w:val="22"/>
        </w:rPr>
        <w:t xml:space="preserve"> Arbejdsgruppe d. </w:t>
      </w:r>
      <w:r w:rsidR="00936333" w:rsidRPr="008D572C">
        <w:rPr>
          <w:rFonts w:ascii="Calibri" w:hAnsi="Calibri"/>
          <w:sz w:val="22"/>
          <w:szCs w:val="22"/>
        </w:rPr>
        <w:t xml:space="preserve">30. august </w:t>
      </w:r>
      <w:r w:rsidR="008D572C" w:rsidRPr="008D572C">
        <w:rPr>
          <w:rFonts w:ascii="Calibri" w:hAnsi="Calibri"/>
          <w:sz w:val="22"/>
          <w:szCs w:val="22"/>
        </w:rPr>
        <w:t>2017.</w:t>
      </w:r>
      <w:r w:rsidR="008D572C" w:rsidRPr="008D572C">
        <w:rPr>
          <w:rFonts w:ascii="Calibri" w:hAnsi="Calibri"/>
          <w:sz w:val="22"/>
          <w:szCs w:val="22"/>
        </w:rPr>
        <w:br/>
      </w:r>
      <w:r w:rsidR="008D572C" w:rsidRPr="008D572C">
        <w:rPr>
          <w:rFonts w:ascii="Calibri" w:hAnsi="Calibri"/>
          <w:sz w:val="22"/>
          <w:szCs w:val="22"/>
        </w:rPr>
        <w:br/>
        <w:t xml:space="preserve">Dagsordenen blev godkendt med følgende ændringer: Tilføjelse af </w:t>
      </w:r>
      <w:r w:rsidR="000804AF">
        <w:rPr>
          <w:rFonts w:ascii="Calibri" w:hAnsi="Calibri"/>
          <w:sz w:val="22"/>
          <w:szCs w:val="22"/>
        </w:rPr>
        <w:t>kommentar fra EOF om udsendelse af notat om</w:t>
      </w:r>
      <w:r w:rsidR="008D572C" w:rsidRPr="008D572C">
        <w:rPr>
          <w:rFonts w:ascii="Calibri" w:hAnsi="Calibri"/>
          <w:sz w:val="22"/>
          <w:szCs w:val="22"/>
        </w:rPr>
        <w:t xml:space="preserve"> indeksering af oliens mål under evt. og ændring af pkt. 2.d til drøftelse af proces, idet biogasnotatet til punktet ikke var blevet fæ</w:t>
      </w:r>
      <w:r w:rsidR="008D572C" w:rsidRPr="008D572C">
        <w:rPr>
          <w:rFonts w:ascii="Calibri" w:hAnsi="Calibri"/>
          <w:sz w:val="22"/>
          <w:szCs w:val="22"/>
        </w:rPr>
        <w:t>r</w:t>
      </w:r>
      <w:r w:rsidR="008D572C" w:rsidRPr="008D572C">
        <w:rPr>
          <w:rFonts w:ascii="Calibri" w:hAnsi="Calibri"/>
          <w:sz w:val="22"/>
          <w:szCs w:val="22"/>
        </w:rPr>
        <w:t>diggjort</w:t>
      </w:r>
      <w:r w:rsidR="00F2573A">
        <w:rPr>
          <w:rFonts w:ascii="Calibri" w:hAnsi="Calibri"/>
          <w:sz w:val="22"/>
          <w:szCs w:val="22"/>
        </w:rPr>
        <w:t>.</w:t>
      </w:r>
    </w:p>
    <w:p w14:paraId="281BEEA1" w14:textId="77777777" w:rsidR="00F2573A" w:rsidRDefault="00F2573A" w:rsidP="00F2573A">
      <w:pPr>
        <w:rPr>
          <w:rFonts w:ascii="Calibri" w:hAnsi="Calibri"/>
          <w:sz w:val="22"/>
        </w:rPr>
      </w:pPr>
    </w:p>
    <w:p w14:paraId="529E5BA5" w14:textId="5F77FAF7" w:rsidR="00F2573A" w:rsidRDefault="00D71AC9" w:rsidP="00F2573A">
      <w:pPr>
        <w:rPr>
          <w:rFonts w:ascii="Calibri" w:hAnsi="Calibri"/>
          <w:sz w:val="22"/>
        </w:rPr>
      </w:pPr>
      <w:r>
        <w:rPr>
          <w:rFonts w:ascii="Calibri" w:hAnsi="Calibri"/>
          <w:sz w:val="22"/>
        </w:rPr>
        <w:t>Naturgasselskaberne</w:t>
      </w:r>
      <w:r w:rsidR="00F2573A">
        <w:rPr>
          <w:rFonts w:ascii="Calibri" w:hAnsi="Calibri"/>
          <w:sz w:val="22"/>
        </w:rPr>
        <w:t xml:space="preserve"> havde kommentarer til r</w:t>
      </w:r>
      <w:bookmarkStart w:id="5" w:name="_GoBack"/>
      <w:bookmarkEnd w:id="5"/>
      <w:r w:rsidR="00F2573A">
        <w:rPr>
          <w:rFonts w:ascii="Calibri" w:hAnsi="Calibri"/>
          <w:sz w:val="22"/>
        </w:rPr>
        <w:t>eferatet, herunder især understre</w:t>
      </w:r>
      <w:r w:rsidR="00F2573A">
        <w:rPr>
          <w:rFonts w:ascii="Calibri" w:hAnsi="Calibri"/>
          <w:sz w:val="22"/>
        </w:rPr>
        <w:t>g</w:t>
      </w:r>
      <w:r w:rsidR="00F2573A">
        <w:rPr>
          <w:rFonts w:ascii="Calibri" w:hAnsi="Calibri"/>
          <w:sz w:val="22"/>
        </w:rPr>
        <w:t xml:space="preserve">ning af </w:t>
      </w:r>
      <w:r>
        <w:rPr>
          <w:rFonts w:ascii="Calibri" w:hAnsi="Calibri"/>
          <w:sz w:val="22"/>
        </w:rPr>
        <w:t>behovet for at skelne</w:t>
      </w:r>
      <w:r w:rsidR="00F2573A">
        <w:rPr>
          <w:rFonts w:ascii="Calibri" w:hAnsi="Calibri"/>
          <w:sz w:val="22"/>
        </w:rPr>
        <w:t xml:space="preserve"> mellem særsynspunkter og fælles TAG-synpunkter. Referatet blev godkendt med de anførte bemærkninger, der også var sendt til ENS skriftligt.</w:t>
      </w:r>
    </w:p>
    <w:p w14:paraId="202EBBE2" w14:textId="77777777" w:rsidR="002B3BF0" w:rsidRPr="00A26634" w:rsidRDefault="002B3BF0" w:rsidP="00F71A54">
      <w:pPr>
        <w:pStyle w:val="Listeafsnit"/>
        <w:ind w:left="0"/>
        <w:rPr>
          <w:rFonts w:ascii="Calibri" w:hAnsi="Calibri"/>
          <w:sz w:val="28"/>
          <w:szCs w:val="22"/>
        </w:rPr>
      </w:pPr>
    </w:p>
    <w:p w14:paraId="3BEA9901" w14:textId="77777777" w:rsidR="00E22971" w:rsidRPr="00F308AE" w:rsidRDefault="007C2727" w:rsidP="0063149F">
      <w:pPr>
        <w:pStyle w:val="Listeafsnit"/>
        <w:numPr>
          <w:ilvl w:val="0"/>
          <w:numId w:val="1"/>
        </w:numPr>
        <w:ind w:left="0"/>
        <w:rPr>
          <w:rFonts w:ascii="Calibri" w:hAnsi="Calibri"/>
          <w:b/>
          <w:sz w:val="22"/>
          <w:szCs w:val="22"/>
        </w:rPr>
      </w:pPr>
      <w:r w:rsidRPr="00F308AE">
        <w:rPr>
          <w:rFonts w:ascii="Calibri" w:hAnsi="Calibri"/>
          <w:b/>
          <w:sz w:val="26"/>
          <w:szCs w:val="26"/>
        </w:rPr>
        <w:t>Drøftelser</w:t>
      </w:r>
      <w:r w:rsidR="002B3BF0" w:rsidRPr="00F308AE">
        <w:rPr>
          <w:rFonts w:ascii="Calibri" w:hAnsi="Calibri"/>
          <w:b/>
          <w:sz w:val="26"/>
          <w:szCs w:val="26"/>
        </w:rPr>
        <w:br/>
      </w:r>
    </w:p>
    <w:p w14:paraId="31FC9547" w14:textId="77777777" w:rsidR="00071490" w:rsidRPr="00DC5CE8" w:rsidRDefault="00071490" w:rsidP="00DC5CE8">
      <w:pPr>
        <w:pStyle w:val="Listeafsnit"/>
        <w:numPr>
          <w:ilvl w:val="0"/>
          <w:numId w:val="14"/>
        </w:numPr>
        <w:rPr>
          <w:rFonts w:ascii="Calibri" w:hAnsi="Calibri"/>
          <w:b/>
          <w:sz w:val="22"/>
        </w:rPr>
      </w:pPr>
      <w:r w:rsidRPr="00DC5CE8">
        <w:rPr>
          <w:rFonts w:ascii="Calibri" w:hAnsi="Calibri"/>
          <w:b/>
          <w:sz w:val="22"/>
        </w:rPr>
        <w:t>Tilsyn med omkostninger – præsentatio</w:t>
      </w:r>
      <w:r w:rsidR="007963FC" w:rsidRPr="00DC5CE8">
        <w:rPr>
          <w:rFonts w:ascii="Calibri" w:hAnsi="Calibri"/>
          <w:b/>
          <w:sz w:val="22"/>
        </w:rPr>
        <w:t xml:space="preserve">n og status, v. Energitilsynet </w:t>
      </w:r>
    </w:p>
    <w:p w14:paraId="41F79D6F" w14:textId="77777777" w:rsidR="00517A3B" w:rsidRDefault="00517A3B" w:rsidP="007C2727">
      <w:pPr>
        <w:rPr>
          <w:rFonts w:ascii="Calibri" w:hAnsi="Calibri"/>
          <w:sz w:val="22"/>
        </w:rPr>
      </w:pPr>
      <w:r>
        <w:rPr>
          <w:rFonts w:ascii="Calibri" w:hAnsi="Calibri"/>
          <w:sz w:val="22"/>
        </w:rPr>
        <w:t xml:space="preserve">Sekretariatet for Energitilsynet, Center for Energibesparelser, deltog under dette punkt og fortalte om Energitilsynets </w:t>
      </w:r>
      <w:r w:rsidR="00432C91">
        <w:rPr>
          <w:rFonts w:ascii="Calibri" w:hAnsi="Calibri"/>
          <w:sz w:val="22"/>
        </w:rPr>
        <w:t>rolle som en d</w:t>
      </w:r>
      <w:r w:rsidR="007563CD">
        <w:rPr>
          <w:rFonts w:ascii="Calibri" w:hAnsi="Calibri"/>
          <w:sz w:val="22"/>
        </w:rPr>
        <w:t xml:space="preserve">el af </w:t>
      </w:r>
      <w:r w:rsidR="00432C91">
        <w:rPr>
          <w:rFonts w:ascii="Calibri" w:hAnsi="Calibri"/>
          <w:sz w:val="22"/>
        </w:rPr>
        <w:t xml:space="preserve">det </w:t>
      </w:r>
      <w:r w:rsidR="007563CD">
        <w:rPr>
          <w:rFonts w:ascii="Calibri" w:hAnsi="Calibri"/>
          <w:sz w:val="22"/>
        </w:rPr>
        <w:t>forstærke</w:t>
      </w:r>
      <w:r w:rsidR="00432C91">
        <w:rPr>
          <w:rFonts w:ascii="Calibri" w:hAnsi="Calibri"/>
          <w:sz w:val="22"/>
        </w:rPr>
        <w:t>de</w:t>
      </w:r>
      <w:r w:rsidR="007563CD">
        <w:rPr>
          <w:rFonts w:ascii="Calibri" w:hAnsi="Calibri"/>
          <w:sz w:val="22"/>
        </w:rPr>
        <w:t xml:space="preserve"> tilsyn</w:t>
      </w:r>
      <w:r>
        <w:rPr>
          <w:rFonts w:ascii="Calibri" w:hAnsi="Calibri"/>
          <w:sz w:val="22"/>
        </w:rPr>
        <w:t xml:space="preserve"> med net- og distributionsvi</w:t>
      </w:r>
      <w:r w:rsidR="00924DC1">
        <w:rPr>
          <w:rFonts w:ascii="Calibri" w:hAnsi="Calibri"/>
          <w:sz w:val="22"/>
        </w:rPr>
        <w:t>rksomhedernes omkostninger i forbindelse med</w:t>
      </w:r>
      <w:r>
        <w:rPr>
          <w:rFonts w:ascii="Calibri" w:hAnsi="Calibri"/>
          <w:sz w:val="22"/>
        </w:rPr>
        <w:t xml:space="preserve"> energi</w:t>
      </w:r>
      <w:r w:rsidR="00924DC1">
        <w:rPr>
          <w:rFonts w:ascii="Calibri" w:hAnsi="Calibri"/>
          <w:sz w:val="22"/>
        </w:rPr>
        <w:t>-</w:t>
      </w:r>
      <w:proofErr w:type="spellStart"/>
      <w:r>
        <w:rPr>
          <w:rFonts w:ascii="Calibri" w:hAnsi="Calibri"/>
          <w:sz w:val="22"/>
        </w:rPr>
        <w:t>spareforpligtelserne</w:t>
      </w:r>
      <w:proofErr w:type="spellEnd"/>
      <w:r>
        <w:rPr>
          <w:rFonts w:ascii="Calibri" w:hAnsi="Calibri"/>
          <w:sz w:val="22"/>
        </w:rPr>
        <w:t>.</w:t>
      </w:r>
    </w:p>
    <w:p w14:paraId="535F8097" w14:textId="77777777" w:rsidR="00924DC1" w:rsidRDefault="00924DC1" w:rsidP="007C2727">
      <w:pPr>
        <w:rPr>
          <w:rFonts w:ascii="Calibri" w:hAnsi="Calibri"/>
          <w:sz w:val="22"/>
        </w:rPr>
      </w:pPr>
    </w:p>
    <w:p w14:paraId="11D515D2" w14:textId="77777777" w:rsidR="00924DC1" w:rsidRDefault="00924DC1" w:rsidP="00924DC1">
      <w:pPr>
        <w:rPr>
          <w:rFonts w:ascii="Calibri" w:hAnsi="Calibri"/>
          <w:sz w:val="22"/>
        </w:rPr>
      </w:pPr>
      <w:r>
        <w:rPr>
          <w:rFonts w:ascii="Calibri" w:hAnsi="Calibri"/>
          <w:sz w:val="22"/>
        </w:rPr>
        <w:t>Omkostningsstatistikken for 2016 offentliggøres 1. november. Inden for den n</w:t>
      </w:r>
      <w:r>
        <w:rPr>
          <w:rFonts w:ascii="Calibri" w:hAnsi="Calibri"/>
          <w:sz w:val="22"/>
        </w:rPr>
        <w:t>æ</w:t>
      </w:r>
      <w:r>
        <w:rPr>
          <w:rFonts w:ascii="Calibri" w:hAnsi="Calibri"/>
          <w:sz w:val="22"/>
        </w:rPr>
        <w:t xml:space="preserve">ste måned påbegynder Energitilsynet indsamlingen af data </w:t>
      </w:r>
      <w:r w:rsidR="00DD5635">
        <w:rPr>
          <w:rFonts w:ascii="Calibri" w:hAnsi="Calibri"/>
          <w:sz w:val="22"/>
        </w:rPr>
        <w:t>for at</w:t>
      </w:r>
      <w:r>
        <w:rPr>
          <w:rFonts w:ascii="Calibri" w:hAnsi="Calibri"/>
          <w:sz w:val="22"/>
        </w:rPr>
        <w:t xml:space="preserve"> kontrol</w:t>
      </w:r>
      <w:r w:rsidR="00DD5635">
        <w:rPr>
          <w:rFonts w:ascii="Calibri" w:hAnsi="Calibri"/>
          <w:sz w:val="22"/>
        </w:rPr>
        <w:t>lere</w:t>
      </w:r>
      <w:r>
        <w:rPr>
          <w:rFonts w:ascii="Calibri" w:hAnsi="Calibri"/>
          <w:sz w:val="22"/>
        </w:rPr>
        <w:t xml:space="preserve"> ma</w:t>
      </w:r>
      <w:r>
        <w:rPr>
          <w:rFonts w:ascii="Calibri" w:hAnsi="Calibri"/>
          <w:sz w:val="22"/>
        </w:rPr>
        <w:t>r</w:t>
      </w:r>
      <w:r>
        <w:rPr>
          <w:rFonts w:ascii="Calibri" w:hAnsi="Calibri"/>
          <w:sz w:val="22"/>
        </w:rPr>
        <w:t>kedsmæssighed</w:t>
      </w:r>
      <w:r w:rsidR="00DD5635">
        <w:rPr>
          <w:rFonts w:ascii="Calibri" w:hAnsi="Calibri"/>
          <w:sz w:val="22"/>
        </w:rPr>
        <w:t>en</w:t>
      </w:r>
      <w:r>
        <w:rPr>
          <w:rFonts w:ascii="Calibri" w:hAnsi="Calibri"/>
          <w:sz w:val="22"/>
        </w:rPr>
        <w:t>. Det er endnu ikke fastlagt hvordan kontrollen skal foretages. Der vil eventuelt være kontrolbesøg hos net- eller distributionsvirksomheder, men de vil formentligt ikke være uanmeldte.</w:t>
      </w:r>
    </w:p>
    <w:p w14:paraId="36B2E185" w14:textId="77777777" w:rsidR="00924DC1" w:rsidRDefault="00924DC1" w:rsidP="007C2727">
      <w:pPr>
        <w:rPr>
          <w:rFonts w:ascii="Calibri" w:hAnsi="Calibri"/>
          <w:sz w:val="22"/>
        </w:rPr>
      </w:pPr>
    </w:p>
    <w:p w14:paraId="0782890E" w14:textId="77777777" w:rsidR="00517A3B" w:rsidRDefault="00924DC1" w:rsidP="007C2727">
      <w:pPr>
        <w:rPr>
          <w:rFonts w:ascii="Calibri" w:hAnsi="Calibri"/>
          <w:sz w:val="22"/>
        </w:rPr>
      </w:pPr>
      <w:r>
        <w:rPr>
          <w:rFonts w:ascii="Calibri" w:hAnsi="Calibri"/>
          <w:sz w:val="22"/>
        </w:rPr>
        <w:lastRenderedPageBreak/>
        <w:t xml:space="preserve">Energitilsynet overvejer, om </w:t>
      </w:r>
      <w:r w:rsidR="00517A3B">
        <w:rPr>
          <w:rFonts w:ascii="Calibri" w:hAnsi="Calibri"/>
          <w:sz w:val="22"/>
        </w:rPr>
        <w:t>møder mellem TAG og Energitilsynet kunne være relevant hvert kvartal eller halvår. I forbindelse med</w:t>
      </w:r>
      <w:r>
        <w:rPr>
          <w:rFonts w:ascii="Calibri" w:hAnsi="Calibri"/>
          <w:sz w:val="22"/>
        </w:rPr>
        <w:t>, at Energitilsynet</w:t>
      </w:r>
      <w:r w:rsidR="00517A3B">
        <w:rPr>
          <w:rFonts w:ascii="Calibri" w:hAnsi="Calibri"/>
          <w:sz w:val="22"/>
        </w:rPr>
        <w:t xml:space="preserve"> udarbejde</w:t>
      </w:r>
      <w:r>
        <w:rPr>
          <w:rFonts w:ascii="Calibri" w:hAnsi="Calibri"/>
          <w:sz w:val="22"/>
        </w:rPr>
        <w:t xml:space="preserve">r </w:t>
      </w:r>
      <w:r w:rsidR="00517A3B">
        <w:rPr>
          <w:rFonts w:ascii="Calibri" w:hAnsi="Calibri"/>
          <w:sz w:val="22"/>
        </w:rPr>
        <w:t>f.eks. vejledning til opgørelse af omkostninger</w:t>
      </w:r>
      <w:r>
        <w:rPr>
          <w:rFonts w:ascii="Calibri" w:hAnsi="Calibri"/>
          <w:sz w:val="22"/>
        </w:rPr>
        <w:t>,</w:t>
      </w:r>
      <w:r w:rsidR="00517A3B">
        <w:rPr>
          <w:rFonts w:ascii="Calibri" w:hAnsi="Calibri"/>
          <w:sz w:val="22"/>
        </w:rPr>
        <w:t xml:space="preserve"> kunne Energitilsynet afholde regi</w:t>
      </w:r>
      <w:r w:rsidR="00517A3B">
        <w:rPr>
          <w:rFonts w:ascii="Calibri" w:hAnsi="Calibri"/>
          <w:sz w:val="22"/>
        </w:rPr>
        <w:t>o</w:t>
      </w:r>
      <w:r w:rsidR="00517A3B">
        <w:rPr>
          <w:rFonts w:ascii="Calibri" w:hAnsi="Calibri"/>
          <w:sz w:val="22"/>
        </w:rPr>
        <w:t>nale møder, hvor de forpligtede selskaber kunne deltage med de relevante pers</w:t>
      </w:r>
      <w:r w:rsidR="00517A3B">
        <w:rPr>
          <w:rFonts w:ascii="Calibri" w:hAnsi="Calibri"/>
          <w:sz w:val="22"/>
        </w:rPr>
        <w:t>o</w:t>
      </w:r>
      <w:r w:rsidR="00517A3B">
        <w:rPr>
          <w:rFonts w:ascii="Calibri" w:hAnsi="Calibri"/>
          <w:sz w:val="22"/>
        </w:rPr>
        <w:t xml:space="preserve">ner. </w:t>
      </w:r>
    </w:p>
    <w:p w14:paraId="35D09A7B" w14:textId="77777777" w:rsidR="00924DC1" w:rsidRDefault="00924DC1" w:rsidP="007C2727">
      <w:pPr>
        <w:rPr>
          <w:rFonts w:ascii="Calibri" w:hAnsi="Calibri"/>
          <w:sz w:val="22"/>
        </w:rPr>
      </w:pPr>
    </w:p>
    <w:p w14:paraId="1EC32399" w14:textId="77777777" w:rsidR="004E5376" w:rsidRPr="00F308AE" w:rsidRDefault="004E5376" w:rsidP="007C2727">
      <w:pPr>
        <w:rPr>
          <w:rFonts w:ascii="Calibri" w:hAnsi="Calibri"/>
          <w:sz w:val="22"/>
        </w:rPr>
      </w:pPr>
    </w:p>
    <w:p w14:paraId="3F395FED" w14:textId="77777777" w:rsidR="00E42956" w:rsidRPr="00DC5CE8" w:rsidRDefault="00E42956" w:rsidP="00DC5CE8">
      <w:pPr>
        <w:pStyle w:val="Listeafsnit"/>
        <w:numPr>
          <w:ilvl w:val="0"/>
          <w:numId w:val="14"/>
        </w:numPr>
        <w:rPr>
          <w:rFonts w:ascii="Calibri" w:hAnsi="Calibri"/>
          <w:b/>
          <w:sz w:val="22"/>
        </w:rPr>
      </w:pPr>
      <w:r w:rsidRPr="00DC5CE8">
        <w:rPr>
          <w:rFonts w:ascii="Calibri" w:hAnsi="Calibri"/>
          <w:b/>
          <w:sz w:val="22"/>
        </w:rPr>
        <w:t>Kontrol og tilsyn</w:t>
      </w:r>
      <w:r w:rsidR="00F308AE" w:rsidRPr="00DC5CE8">
        <w:rPr>
          <w:rFonts w:ascii="Calibri" w:hAnsi="Calibri"/>
          <w:b/>
          <w:sz w:val="22"/>
        </w:rPr>
        <w:t xml:space="preserve"> </w:t>
      </w:r>
    </w:p>
    <w:p w14:paraId="1721DB8B" w14:textId="197D1FE9" w:rsidR="00721A17" w:rsidRDefault="00DD5635" w:rsidP="009C4EA4">
      <w:pPr>
        <w:rPr>
          <w:rFonts w:ascii="Calibri" w:hAnsi="Calibri"/>
          <w:sz w:val="22"/>
        </w:rPr>
      </w:pPr>
      <w:r>
        <w:rPr>
          <w:rFonts w:ascii="Calibri" w:hAnsi="Calibri"/>
          <w:sz w:val="22"/>
        </w:rPr>
        <w:t>Energistyrelsen fortalte om den kommende stikprøve, som på grund af kritik fra rigsrevisionen fremover kommer til at blive med en standardiseret metode fra år til år</w:t>
      </w:r>
      <w:r w:rsidR="00CF30B9">
        <w:rPr>
          <w:rFonts w:ascii="Calibri" w:hAnsi="Calibri"/>
          <w:sz w:val="22"/>
        </w:rPr>
        <w:t xml:space="preserve">. Derved sikres repræsentativitet og at </w:t>
      </w:r>
      <w:r>
        <w:rPr>
          <w:rFonts w:ascii="Calibri" w:hAnsi="Calibri"/>
          <w:sz w:val="22"/>
        </w:rPr>
        <w:t>resultaterne og udviklingen i indsatsen kan sammenlignes på tværs af år.</w:t>
      </w:r>
      <w:r w:rsidR="00CF30B9">
        <w:rPr>
          <w:rFonts w:ascii="Calibri" w:hAnsi="Calibri"/>
          <w:sz w:val="22"/>
        </w:rPr>
        <w:t xml:space="preserve"> </w:t>
      </w:r>
      <w:r w:rsidR="00CF30B9">
        <w:rPr>
          <w:rFonts w:ascii="Calibri" w:hAnsi="Calibri"/>
          <w:sz w:val="22"/>
        </w:rPr>
        <w:br/>
        <w:t xml:space="preserve">Det blev drøftet, </w:t>
      </w:r>
      <w:r w:rsidR="001807A1">
        <w:rPr>
          <w:rFonts w:ascii="Calibri" w:hAnsi="Calibri"/>
          <w:sz w:val="22"/>
        </w:rPr>
        <w:t>om</w:t>
      </w:r>
      <w:r w:rsidR="00CF30B9">
        <w:rPr>
          <w:rFonts w:ascii="Calibri" w:hAnsi="Calibri"/>
          <w:sz w:val="22"/>
        </w:rPr>
        <w:t xml:space="preserve"> </w:t>
      </w:r>
      <w:r w:rsidR="00CF30B9" w:rsidRPr="00080219">
        <w:rPr>
          <w:rFonts w:ascii="Calibri" w:hAnsi="Calibri"/>
          <w:sz w:val="22"/>
        </w:rPr>
        <w:t>Energistyrelsen skal sende</w:t>
      </w:r>
      <w:r w:rsidR="00CF30B9">
        <w:rPr>
          <w:rFonts w:ascii="Calibri" w:hAnsi="Calibri"/>
          <w:sz w:val="22"/>
        </w:rPr>
        <w:t xml:space="preserve"> udkastet til metode til stikprøve</w:t>
      </w:r>
      <w:r w:rsidR="00080219">
        <w:rPr>
          <w:rFonts w:ascii="Calibri" w:hAnsi="Calibri"/>
          <w:sz w:val="22"/>
        </w:rPr>
        <w:t>,</w:t>
      </w:r>
      <w:r w:rsidR="00CF30B9">
        <w:rPr>
          <w:rFonts w:ascii="Calibri" w:hAnsi="Calibri"/>
          <w:sz w:val="22"/>
        </w:rPr>
        <w:t xml:space="preserve"> som konsulenterne</w:t>
      </w:r>
      <w:r w:rsidR="00D01210">
        <w:rPr>
          <w:rFonts w:ascii="Calibri" w:hAnsi="Calibri"/>
          <w:sz w:val="22"/>
        </w:rPr>
        <w:t xml:space="preserve"> fra </w:t>
      </w:r>
      <w:proofErr w:type="spellStart"/>
      <w:r w:rsidR="00D01210">
        <w:rPr>
          <w:rFonts w:ascii="Calibri" w:hAnsi="Calibri"/>
          <w:sz w:val="22"/>
        </w:rPr>
        <w:t>Implement</w:t>
      </w:r>
      <w:proofErr w:type="spellEnd"/>
      <w:r w:rsidR="00D01210">
        <w:rPr>
          <w:rFonts w:ascii="Calibri" w:hAnsi="Calibri"/>
          <w:sz w:val="22"/>
        </w:rPr>
        <w:t xml:space="preserve"> Consulting Group</w:t>
      </w:r>
      <w:r w:rsidR="00CF30B9">
        <w:rPr>
          <w:rFonts w:ascii="Calibri" w:hAnsi="Calibri"/>
          <w:sz w:val="22"/>
        </w:rPr>
        <w:t xml:space="preserve"> har udviklet i forbindelse med udarbejdelse af tilsynsstrategien</w:t>
      </w:r>
      <w:r w:rsidR="001807A1">
        <w:rPr>
          <w:rFonts w:ascii="Calibri" w:hAnsi="Calibri"/>
          <w:sz w:val="22"/>
        </w:rPr>
        <w:t xml:space="preserve"> til TAG</w:t>
      </w:r>
      <w:r w:rsidR="00080219">
        <w:rPr>
          <w:rFonts w:ascii="Calibri" w:hAnsi="Calibri"/>
          <w:sz w:val="22"/>
        </w:rPr>
        <w:t>.</w:t>
      </w:r>
      <w:r w:rsidR="00CF30B9">
        <w:rPr>
          <w:rFonts w:ascii="Calibri" w:hAnsi="Calibri"/>
          <w:sz w:val="22"/>
        </w:rPr>
        <w:t xml:space="preserve"> </w:t>
      </w:r>
      <w:r w:rsidR="00D01210">
        <w:rPr>
          <w:rFonts w:ascii="Calibri" w:hAnsi="Calibri"/>
          <w:sz w:val="22"/>
        </w:rPr>
        <w:t xml:space="preserve">I metoden indgår en formel til udvælgelse af </w:t>
      </w:r>
      <w:r w:rsidR="00080219">
        <w:rPr>
          <w:rFonts w:ascii="Calibri" w:hAnsi="Calibri"/>
          <w:sz w:val="22"/>
        </w:rPr>
        <w:t>antal sager</w:t>
      </w:r>
      <w:r w:rsidR="00D01210">
        <w:rPr>
          <w:rFonts w:ascii="Calibri" w:hAnsi="Calibri"/>
          <w:sz w:val="22"/>
        </w:rPr>
        <w:t xml:space="preserve">, som TAG spurgte ind til, om den havde nogen sammenhæng til </w:t>
      </w:r>
      <w:r w:rsidR="001E56D7">
        <w:rPr>
          <w:rFonts w:ascii="Calibri" w:hAnsi="Calibri"/>
          <w:sz w:val="22"/>
        </w:rPr>
        <w:t>den ”</w:t>
      </w:r>
      <w:r w:rsidR="001E56D7" w:rsidRPr="001E56D7">
        <w:rPr>
          <w:rFonts w:ascii="Calibri" w:hAnsi="Calibri"/>
          <w:sz w:val="22"/>
        </w:rPr>
        <w:t>Model til fastsættelse af stikprøvestørrelse ved kvalitetskontrol</w:t>
      </w:r>
      <w:r w:rsidR="001E56D7">
        <w:rPr>
          <w:rFonts w:ascii="Calibri" w:hAnsi="Calibri"/>
          <w:sz w:val="22"/>
        </w:rPr>
        <w:t xml:space="preserve">” som bruges ved selskabernes egenkontrol; men Energistyrelsen anførte, at der er flere kriterier indlagt i den samlede stikprøveudvælgelse, end der er i </w:t>
      </w:r>
      <w:r w:rsidR="009C4EA4">
        <w:rPr>
          <w:rFonts w:ascii="Calibri" w:hAnsi="Calibri"/>
          <w:sz w:val="22"/>
        </w:rPr>
        <w:t>modellen, da der er fo</w:t>
      </w:r>
      <w:r w:rsidR="009C4EA4">
        <w:rPr>
          <w:rFonts w:ascii="Calibri" w:hAnsi="Calibri"/>
          <w:sz w:val="22"/>
        </w:rPr>
        <w:t>r</w:t>
      </w:r>
      <w:r w:rsidR="009C4EA4">
        <w:rPr>
          <w:rFonts w:ascii="Calibri" w:hAnsi="Calibri"/>
          <w:sz w:val="22"/>
        </w:rPr>
        <w:t>skellige formål ved de to.</w:t>
      </w:r>
      <w:r w:rsidR="00D01210">
        <w:rPr>
          <w:rFonts w:ascii="Calibri" w:hAnsi="Calibri"/>
          <w:sz w:val="22"/>
        </w:rPr>
        <w:br/>
      </w:r>
    </w:p>
    <w:p w14:paraId="08F0322D" w14:textId="77777777" w:rsidR="009C4EA4" w:rsidRDefault="009C4EA4" w:rsidP="009C4EA4">
      <w:pPr>
        <w:rPr>
          <w:rFonts w:ascii="Calibri" w:hAnsi="Calibri"/>
          <w:sz w:val="22"/>
        </w:rPr>
      </w:pPr>
      <w:r>
        <w:rPr>
          <w:rFonts w:ascii="Calibri" w:hAnsi="Calibri"/>
          <w:sz w:val="22"/>
        </w:rPr>
        <w:t>Særkontrol om i</w:t>
      </w:r>
      <w:r w:rsidRPr="004B445E">
        <w:rPr>
          <w:rFonts w:ascii="Calibri" w:hAnsi="Calibri"/>
          <w:sz w:val="22"/>
        </w:rPr>
        <w:t>t</w:t>
      </w:r>
      <w:r>
        <w:rPr>
          <w:rFonts w:ascii="Calibri" w:hAnsi="Calibri"/>
          <w:sz w:val="22"/>
        </w:rPr>
        <w:t xml:space="preserve"> og servere</w:t>
      </w:r>
      <w:r w:rsidRPr="004B445E">
        <w:rPr>
          <w:rFonts w:ascii="Calibri" w:hAnsi="Calibri"/>
          <w:sz w:val="22"/>
        </w:rPr>
        <w:t xml:space="preserve">: </w:t>
      </w:r>
      <w:r>
        <w:rPr>
          <w:rFonts w:ascii="Calibri" w:hAnsi="Calibri"/>
          <w:sz w:val="22"/>
        </w:rPr>
        <w:t>ENS har møde med konsulenter d. 6/10.</w:t>
      </w:r>
    </w:p>
    <w:p w14:paraId="01C19130" w14:textId="419E3F38" w:rsidR="009C4EA4" w:rsidRDefault="009C4EA4" w:rsidP="009C4EA4">
      <w:pPr>
        <w:rPr>
          <w:rFonts w:ascii="Calibri" w:hAnsi="Calibri"/>
          <w:sz w:val="22"/>
        </w:rPr>
      </w:pPr>
      <w:r>
        <w:rPr>
          <w:rFonts w:ascii="Calibri" w:hAnsi="Calibri"/>
          <w:sz w:val="22"/>
        </w:rPr>
        <w:t xml:space="preserve">De lister over selskaber med relevante projekter, som ENS har fået fra </w:t>
      </w:r>
      <w:proofErr w:type="spellStart"/>
      <w:r>
        <w:rPr>
          <w:rFonts w:ascii="Calibri" w:hAnsi="Calibri"/>
          <w:sz w:val="22"/>
        </w:rPr>
        <w:t>samarbejds</w:t>
      </w:r>
      <w:r w:rsidR="002D1F59">
        <w:rPr>
          <w:rFonts w:ascii="Calibri" w:hAnsi="Calibri"/>
          <w:sz w:val="22"/>
        </w:rPr>
        <w:t>-</w:t>
      </w:r>
      <w:r>
        <w:rPr>
          <w:rFonts w:ascii="Calibri" w:hAnsi="Calibri"/>
          <w:sz w:val="22"/>
        </w:rPr>
        <w:t>organerne</w:t>
      </w:r>
      <w:proofErr w:type="spellEnd"/>
      <w:r>
        <w:rPr>
          <w:rFonts w:ascii="Calibri" w:hAnsi="Calibri"/>
          <w:sz w:val="22"/>
        </w:rPr>
        <w:t>, bør være ok til trods for lidt forvirring omkring betegnelse. Når de ko</w:t>
      </w:r>
      <w:r>
        <w:rPr>
          <w:rFonts w:ascii="Calibri" w:hAnsi="Calibri"/>
          <w:sz w:val="22"/>
        </w:rPr>
        <w:t>n</w:t>
      </w:r>
      <w:r>
        <w:rPr>
          <w:rFonts w:ascii="Calibri" w:hAnsi="Calibri"/>
          <w:sz w:val="22"/>
        </w:rPr>
        <w:t xml:space="preserve">krete IT- og serverprojekter så skal findes frem af selskaberne, består der et stykke arbejde for konsulenterne i at få stillet de rigtige spørgsmål – ord som acces point, switches, </w:t>
      </w:r>
      <w:proofErr w:type="spellStart"/>
      <w:r>
        <w:rPr>
          <w:rFonts w:ascii="Calibri" w:hAnsi="Calibri"/>
          <w:sz w:val="22"/>
        </w:rPr>
        <w:t>storage</w:t>
      </w:r>
      <w:proofErr w:type="spellEnd"/>
      <w:r>
        <w:rPr>
          <w:rFonts w:ascii="Calibri" w:hAnsi="Calibri"/>
          <w:sz w:val="22"/>
        </w:rPr>
        <w:t xml:space="preserve"> m.v. kunne med fordel indgå.</w:t>
      </w:r>
    </w:p>
    <w:p w14:paraId="79EB91AF" w14:textId="77777777" w:rsidR="009C4EA4" w:rsidRDefault="009C4EA4" w:rsidP="009C4EA4">
      <w:pPr>
        <w:rPr>
          <w:rFonts w:ascii="Calibri" w:hAnsi="Calibri"/>
          <w:sz w:val="22"/>
        </w:rPr>
      </w:pPr>
    </w:p>
    <w:p w14:paraId="5D40F012" w14:textId="7B3CEC1E" w:rsidR="009C4EA4" w:rsidRDefault="009C4EA4" w:rsidP="009C4EA4">
      <w:pPr>
        <w:rPr>
          <w:rFonts w:ascii="Calibri" w:hAnsi="Calibri"/>
          <w:sz w:val="22"/>
        </w:rPr>
      </w:pPr>
      <w:r>
        <w:rPr>
          <w:rFonts w:ascii="Calibri" w:hAnsi="Calibri"/>
          <w:sz w:val="22"/>
        </w:rPr>
        <w:t xml:space="preserve">TAG kommenterede, at der skal være </w:t>
      </w:r>
      <w:r w:rsidR="001807A1">
        <w:rPr>
          <w:rFonts w:ascii="Calibri" w:hAnsi="Calibri"/>
          <w:sz w:val="22"/>
        </w:rPr>
        <w:t xml:space="preserve">tilstrækkelig </w:t>
      </w:r>
      <w:r>
        <w:rPr>
          <w:rFonts w:ascii="Calibri" w:hAnsi="Calibri"/>
          <w:sz w:val="22"/>
        </w:rPr>
        <w:t xml:space="preserve">tid til at </w:t>
      </w:r>
      <w:r w:rsidR="002D1F59">
        <w:rPr>
          <w:rFonts w:ascii="Calibri" w:hAnsi="Calibri"/>
          <w:sz w:val="22"/>
        </w:rPr>
        <w:t>net- og distribution</w:t>
      </w:r>
      <w:r w:rsidR="002D1F59">
        <w:rPr>
          <w:rFonts w:ascii="Calibri" w:hAnsi="Calibri"/>
          <w:sz w:val="22"/>
        </w:rPr>
        <w:t>s</w:t>
      </w:r>
      <w:r w:rsidR="002D1F59">
        <w:rPr>
          <w:rFonts w:ascii="Calibri" w:hAnsi="Calibri"/>
          <w:sz w:val="22"/>
        </w:rPr>
        <w:t>virksomhederne kan fremsende oversigt over de relevante sager samt indhente dokumentationen</w:t>
      </w:r>
      <w:r>
        <w:rPr>
          <w:rFonts w:ascii="Calibri" w:hAnsi="Calibri"/>
          <w:sz w:val="22"/>
        </w:rPr>
        <w:t>, da selskaberne manuelt skal finde frem til de konkrete sager</w:t>
      </w:r>
      <w:r w:rsidR="002D1F59">
        <w:rPr>
          <w:rFonts w:ascii="Calibri" w:hAnsi="Calibri"/>
          <w:sz w:val="22"/>
        </w:rPr>
        <w:t>, og at særkontroller og stikprøvekontroller bør forsøges planlagt således, at det ikke kolliderer med selskabernes årsafslutning, hvor de har meget travlt.</w:t>
      </w:r>
    </w:p>
    <w:p w14:paraId="1F46B8EF" w14:textId="77777777" w:rsidR="009C4EA4" w:rsidRDefault="009C4EA4" w:rsidP="009C4EA4">
      <w:pPr>
        <w:rPr>
          <w:rFonts w:ascii="Calibri" w:hAnsi="Calibri"/>
          <w:sz w:val="22"/>
        </w:rPr>
      </w:pPr>
    </w:p>
    <w:p w14:paraId="77316CDB" w14:textId="63CC9472" w:rsidR="009C4EA4" w:rsidRDefault="009C4EA4" w:rsidP="009C4EA4">
      <w:pPr>
        <w:rPr>
          <w:rFonts w:ascii="Calibri" w:hAnsi="Calibri"/>
          <w:sz w:val="22"/>
        </w:rPr>
      </w:pPr>
      <w:r>
        <w:rPr>
          <w:rFonts w:ascii="Calibri" w:hAnsi="Calibri"/>
          <w:sz w:val="22"/>
        </w:rPr>
        <w:t>Særkontrol om halm- og biokedler sendes i udbud i uge 4</w:t>
      </w:r>
      <w:r w:rsidR="000804AF">
        <w:rPr>
          <w:rFonts w:ascii="Calibri" w:hAnsi="Calibri"/>
          <w:sz w:val="22"/>
        </w:rPr>
        <w:t>2</w:t>
      </w:r>
      <w:r>
        <w:rPr>
          <w:rFonts w:ascii="Calibri" w:hAnsi="Calibri"/>
          <w:sz w:val="22"/>
        </w:rPr>
        <w:t xml:space="preserve">. </w:t>
      </w:r>
      <w:r>
        <w:rPr>
          <w:rFonts w:ascii="Calibri" w:hAnsi="Calibri"/>
          <w:sz w:val="22"/>
        </w:rPr>
        <w:br/>
        <w:t xml:space="preserve">Stikprøvekontrol 2016 sendes i udbud i uge 41. </w:t>
      </w:r>
    </w:p>
    <w:p w14:paraId="429B4DC9" w14:textId="77777777" w:rsidR="00064D0F" w:rsidRDefault="00064D0F" w:rsidP="009C4EA4">
      <w:pPr>
        <w:rPr>
          <w:rFonts w:ascii="Calibri" w:hAnsi="Calibri"/>
          <w:sz w:val="22"/>
        </w:rPr>
      </w:pPr>
    </w:p>
    <w:p w14:paraId="5B03FB00" w14:textId="74239559" w:rsidR="009C4EA4" w:rsidRDefault="009C4EA4" w:rsidP="009C4EA4">
      <w:pPr>
        <w:rPr>
          <w:rFonts w:ascii="Calibri" w:hAnsi="Calibri"/>
          <w:b/>
          <w:sz w:val="22"/>
        </w:rPr>
      </w:pPr>
      <w:r>
        <w:rPr>
          <w:rFonts w:ascii="Calibri" w:hAnsi="Calibri"/>
          <w:sz w:val="22"/>
        </w:rPr>
        <w:t>Til stikprøvekontrol 2017-2020 skal ENS lave rammeudbud, og vil i den forbindelse gerne have input til, hvornår på året det er bedst at placere en stikprøvekontrol ift. selskabernes ressourcesituation. Dansk Fjernvarme bemærkede, at selskabe</w:t>
      </w:r>
      <w:r>
        <w:rPr>
          <w:rFonts w:ascii="Calibri" w:hAnsi="Calibri"/>
          <w:sz w:val="22"/>
        </w:rPr>
        <w:t>r</w:t>
      </w:r>
      <w:r>
        <w:rPr>
          <w:rFonts w:ascii="Calibri" w:hAnsi="Calibri"/>
          <w:sz w:val="22"/>
        </w:rPr>
        <w:t xml:space="preserve">ne har meget travlt både op til årsskiftet og mellem 15. januar og 15. marts. Dansk Energi mente dog, at 1. februar vil være et </w:t>
      </w:r>
      <w:r w:rsidR="009B01E4">
        <w:rPr>
          <w:rFonts w:ascii="Calibri" w:hAnsi="Calibri"/>
          <w:sz w:val="22"/>
        </w:rPr>
        <w:t xml:space="preserve">acceptabelt </w:t>
      </w:r>
      <w:r>
        <w:rPr>
          <w:rFonts w:ascii="Calibri" w:hAnsi="Calibri"/>
          <w:sz w:val="22"/>
        </w:rPr>
        <w:t xml:space="preserve">tidspunkt for indhentning af dokumentation. </w:t>
      </w:r>
      <w:r w:rsidR="00064D0F">
        <w:rPr>
          <w:rFonts w:ascii="Calibri" w:hAnsi="Calibri"/>
          <w:sz w:val="22"/>
        </w:rPr>
        <w:t xml:space="preserve">ENS orienterer TAG, når </w:t>
      </w:r>
      <w:r w:rsidR="00DC7325">
        <w:rPr>
          <w:rFonts w:ascii="Calibri" w:hAnsi="Calibri"/>
          <w:sz w:val="22"/>
        </w:rPr>
        <w:t>der er</w:t>
      </w:r>
      <w:r w:rsidR="00064D0F">
        <w:rPr>
          <w:rFonts w:ascii="Calibri" w:hAnsi="Calibri"/>
          <w:sz w:val="22"/>
        </w:rPr>
        <w:t xml:space="preserve"> en tidsplan for stikprøve og særkontroller.</w:t>
      </w:r>
    </w:p>
    <w:p w14:paraId="7702EA53" w14:textId="77777777" w:rsidR="00064D0F" w:rsidRDefault="00064D0F" w:rsidP="009C4EA4">
      <w:pPr>
        <w:rPr>
          <w:rFonts w:ascii="Calibri" w:hAnsi="Calibri"/>
          <w:sz w:val="22"/>
        </w:rPr>
      </w:pPr>
    </w:p>
    <w:p w14:paraId="45E46744" w14:textId="77777777" w:rsidR="009C4EA4" w:rsidRDefault="009C4EA4" w:rsidP="009C4EA4">
      <w:pPr>
        <w:rPr>
          <w:rFonts w:ascii="Calibri" w:hAnsi="Calibri"/>
          <w:sz w:val="22"/>
        </w:rPr>
      </w:pPr>
      <w:r>
        <w:rPr>
          <w:rFonts w:ascii="Calibri" w:hAnsi="Calibri"/>
          <w:sz w:val="22"/>
        </w:rPr>
        <w:t>ENS’ stikprøvekonsulenter kontakter virksomhederne direkte, dvs. de går ikke via samarbejdsorganerne.</w:t>
      </w:r>
    </w:p>
    <w:p w14:paraId="665A71F2" w14:textId="77777777" w:rsidR="009C4EA4" w:rsidRDefault="009C4EA4" w:rsidP="007C2727">
      <w:pPr>
        <w:rPr>
          <w:rFonts w:ascii="Calibri" w:hAnsi="Calibri"/>
          <w:sz w:val="22"/>
        </w:rPr>
      </w:pPr>
    </w:p>
    <w:p w14:paraId="36D22D60" w14:textId="2A1C3A6B" w:rsidR="00064D0F" w:rsidRDefault="00D01210" w:rsidP="00064D0F">
      <w:pPr>
        <w:rPr>
          <w:rFonts w:ascii="Calibri" w:hAnsi="Calibri"/>
          <w:sz w:val="22"/>
        </w:rPr>
      </w:pPr>
      <w:r>
        <w:rPr>
          <w:rFonts w:ascii="Calibri" w:hAnsi="Calibri"/>
          <w:sz w:val="22"/>
        </w:rPr>
        <w:t>Det blev aftalt at holde et møde mellem stikprøve/særkontrolkonsulenterne, ENS og TAG for at øge muligheden for at få konsulenterne klædt ordentligt på til at varetage opgaven.</w:t>
      </w:r>
      <w:r w:rsidR="00DC7325">
        <w:rPr>
          <w:rFonts w:ascii="Calibri" w:hAnsi="Calibri"/>
          <w:sz w:val="22"/>
        </w:rPr>
        <w:t xml:space="preserve"> </w:t>
      </w:r>
    </w:p>
    <w:p w14:paraId="38239B42" w14:textId="77777777" w:rsidR="00DC7325" w:rsidRDefault="00DC7325" w:rsidP="00064D0F">
      <w:pPr>
        <w:rPr>
          <w:rFonts w:ascii="Calibri" w:hAnsi="Calibri"/>
          <w:sz w:val="22"/>
        </w:rPr>
      </w:pPr>
    </w:p>
    <w:p w14:paraId="49081595" w14:textId="4F148C5E" w:rsidR="00DC7325" w:rsidRDefault="00DC7325" w:rsidP="00064D0F">
      <w:pPr>
        <w:rPr>
          <w:rFonts w:ascii="Calibri" w:hAnsi="Calibri"/>
          <w:sz w:val="22"/>
        </w:rPr>
      </w:pPr>
      <w:r>
        <w:rPr>
          <w:rFonts w:ascii="Calibri" w:hAnsi="Calibri"/>
          <w:sz w:val="22"/>
        </w:rPr>
        <w:t>ENS er ved at ud</w:t>
      </w:r>
      <w:r w:rsidR="00A361DF">
        <w:rPr>
          <w:rFonts w:ascii="Calibri" w:hAnsi="Calibri"/>
          <w:sz w:val="22"/>
        </w:rPr>
        <w:t>ar</w:t>
      </w:r>
      <w:r>
        <w:rPr>
          <w:rFonts w:ascii="Calibri" w:hAnsi="Calibri"/>
          <w:sz w:val="22"/>
        </w:rPr>
        <w:t>bejde et auditskema til afrapportering af audit for 2017.</w:t>
      </w:r>
      <w:r w:rsidR="00CF2511">
        <w:rPr>
          <w:rFonts w:ascii="Calibri" w:hAnsi="Calibri"/>
          <w:sz w:val="22"/>
        </w:rPr>
        <w:t xml:space="preserve"> GAS, DFJ og EOF mente</w:t>
      </w:r>
      <w:r>
        <w:rPr>
          <w:rFonts w:ascii="Calibri" w:hAnsi="Calibri"/>
          <w:sz w:val="22"/>
        </w:rPr>
        <w:t xml:space="preserve">, at det er </w:t>
      </w:r>
      <w:r w:rsidR="00BE62D4">
        <w:rPr>
          <w:rFonts w:ascii="Calibri" w:hAnsi="Calibri"/>
          <w:sz w:val="22"/>
        </w:rPr>
        <w:t>tilstrækkeligt</w:t>
      </w:r>
      <w:r>
        <w:rPr>
          <w:rFonts w:ascii="Calibri" w:hAnsi="Calibri"/>
          <w:sz w:val="22"/>
        </w:rPr>
        <w:t xml:space="preserve"> at have det i starten i 2018. Dansk Ene</w:t>
      </w:r>
      <w:r>
        <w:rPr>
          <w:rFonts w:ascii="Calibri" w:hAnsi="Calibri"/>
          <w:sz w:val="22"/>
        </w:rPr>
        <w:t>r</w:t>
      </w:r>
      <w:r>
        <w:rPr>
          <w:rFonts w:ascii="Calibri" w:hAnsi="Calibri"/>
          <w:sz w:val="22"/>
        </w:rPr>
        <w:t>gi</w:t>
      </w:r>
      <w:r w:rsidR="009B01E4">
        <w:rPr>
          <w:rFonts w:ascii="Calibri" w:hAnsi="Calibri"/>
          <w:sz w:val="22"/>
        </w:rPr>
        <w:t xml:space="preserve"> påpegede</w:t>
      </w:r>
      <w:r>
        <w:rPr>
          <w:rFonts w:ascii="Calibri" w:hAnsi="Calibri"/>
          <w:sz w:val="22"/>
        </w:rPr>
        <w:t>, at skemaet til afrapportering af kvalitetskontrol</w:t>
      </w:r>
      <w:r w:rsidR="009B01E4">
        <w:rPr>
          <w:rFonts w:ascii="Calibri" w:hAnsi="Calibri"/>
          <w:sz w:val="22"/>
        </w:rPr>
        <w:t xml:space="preserve"> haster</w:t>
      </w:r>
      <w:r>
        <w:rPr>
          <w:rFonts w:ascii="Calibri" w:hAnsi="Calibri"/>
          <w:sz w:val="22"/>
        </w:rPr>
        <w:t>, da selskabe</w:t>
      </w:r>
      <w:r>
        <w:rPr>
          <w:rFonts w:ascii="Calibri" w:hAnsi="Calibri"/>
          <w:sz w:val="22"/>
        </w:rPr>
        <w:t>r</w:t>
      </w:r>
      <w:r>
        <w:rPr>
          <w:rFonts w:ascii="Calibri" w:hAnsi="Calibri"/>
          <w:sz w:val="22"/>
        </w:rPr>
        <w:t>ne er i gang med kvalitetskontrollen</w:t>
      </w:r>
      <w:r w:rsidR="00CF2511">
        <w:rPr>
          <w:rFonts w:ascii="Calibri" w:hAnsi="Calibri"/>
          <w:sz w:val="22"/>
        </w:rPr>
        <w:t>, og j</w:t>
      </w:r>
      <w:r w:rsidR="009B01E4">
        <w:rPr>
          <w:rFonts w:ascii="Calibri" w:hAnsi="Calibri"/>
          <w:sz w:val="22"/>
        </w:rPr>
        <w:t>o mere tid der går</w:t>
      </w:r>
      <w:r w:rsidR="00CF2511">
        <w:rPr>
          <w:rFonts w:ascii="Calibri" w:hAnsi="Calibri"/>
          <w:sz w:val="22"/>
        </w:rPr>
        <w:t>,</w:t>
      </w:r>
      <w:r w:rsidR="009B01E4">
        <w:rPr>
          <w:rFonts w:ascii="Calibri" w:hAnsi="Calibri"/>
          <w:sz w:val="22"/>
        </w:rPr>
        <w:t xml:space="preserve"> desto større er risik</w:t>
      </w:r>
      <w:r w:rsidR="009B01E4">
        <w:rPr>
          <w:rFonts w:ascii="Calibri" w:hAnsi="Calibri"/>
          <w:sz w:val="22"/>
        </w:rPr>
        <w:t>o</w:t>
      </w:r>
      <w:r w:rsidR="009B01E4">
        <w:rPr>
          <w:rFonts w:ascii="Calibri" w:hAnsi="Calibri"/>
          <w:sz w:val="22"/>
        </w:rPr>
        <w:t>en for at information</w:t>
      </w:r>
      <w:r w:rsidR="00CF2511">
        <w:rPr>
          <w:rFonts w:ascii="Calibri" w:hAnsi="Calibri"/>
          <w:sz w:val="22"/>
        </w:rPr>
        <w:t>en</w:t>
      </w:r>
      <w:r w:rsidR="00CF2511" w:rsidRPr="00CF2511">
        <w:rPr>
          <w:rFonts w:ascii="Calibri" w:hAnsi="Calibri"/>
          <w:sz w:val="22"/>
        </w:rPr>
        <w:t xml:space="preserve"> </w:t>
      </w:r>
      <w:r w:rsidR="00CF2511">
        <w:rPr>
          <w:rFonts w:ascii="Calibri" w:hAnsi="Calibri"/>
          <w:sz w:val="22"/>
        </w:rPr>
        <w:t>fra audit og kvalitetskontrol,</w:t>
      </w:r>
      <w:r w:rsidR="009B01E4">
        <w:rPr>
          <w:rFonts w:ascii="Calibri" w:hAnsi="Calibri"/>
          <w:sz w:val="22"/>
        </w:rPr>
        <w:t xml:space="preserve"> der efterspørges i </w:t>
      </w:r>
      <w:r w:rsidR="00CF2511">
        <w:rPr>
          <w:rFonts w:ascii="Calibri" w:hAnsi="Calibri"/>
          <w:sz w:val="22"/>
        </w:rPr>
        <w:t>afrappo</w:t>
      </w:r>
      <w:r w:rsidR="00CF2511">
        <w:rPr>
          <w:rFonts w:ascii="Calibri" w:hAnsi="Calibri"/>
          <w:sz w:val="22"/>
        </w:rPr>
        <w:t>r</w:t>
      </w:r>
      <w:r w:rsidR="00CF2511">
        <w:rPr>
          <w:rFonts w:ascii="Calibri" w:hAnsi="Calibri"/>
          <w:sz w:val="22"/>
        </w:rPr>
        <w:t>terings</w:t>
      </w:r>
      <w:r w:rsidR="009B01E4">
        <w:rPr>
          <w:rFonts w:ascii="Calibri" w:hAnsi="Calibri"/>
          <w:sz w:val="22"/>
        </w:rPr>
        <w:t>skema</w:t>
      </w:r>
      <w:r w:rsidR="00CF2511">
        <w:rPr>
          <w:rFonts w:ascii="Calibri" w:hAnsi="Calibri"/>
          <w:sz w:val="22"/>
        </w:rPr>
        <w:t>et,</w:t>
      </w:r>
      <w:r w:rsidR="009B01E4">
        <w:rPr>
          <w:rFonts w:ascii="Calibri" w:hAnsi="Calibri"/>
          <w:sz w:val="22"/>
        </w:rPr>
        <w:t xml:space="preserve"> ikke er tilgængelig.</w:t>
      </w:r>
    </w:p>
    <w:p w14:paraId="5630D077" w14:textId="77777777" w:rsidR="00F85AB2" w:rsidRPr="00F308AE" w:rsidRDefault="00F85AB2" w:rsidP="007C2727">
      <w:pPr>
        <w:rPr>
          <w:rFonts w:ascii="Calibri" w:hAnsi="Calibri"/>
          <w:b/>
          <w:sz w:val="22"/>
        </w:rPr>
      </w:pPr>
    </w:p>
    <w:p w14:paraId="29BA4F2E" w14:textId="77777777" w:rsidR="00DC5CE8" w:rsidRPr="00A26634" w:rsidRDefault="00DC5CE8" w:rsidP="00DC5CE8">
      <w:pPr>
        <w:pStyle w:val="Listeafsnit"/>
        <w:numPr>
          <w:ilvl w:val="0"/>
          <w:numId w:val="14"/>
        </w:numPr>
        <w:rPr>
          <w:rFonts w:ascii="Calibri" w:hAnsi="Calibri"/>
          <w:i/>
          <w:sz w:val="22"/>
        </w:rPr>
      </w:pPr>
      <w:r w:rsidRPr="00DC5CE8">
        <w:rPr>
          <w:rFonts w:ascii="Calibri" w:hAnsi="Calibri"/>
          <w:b/>
          <w:sz w:val="22"/>
        </w:rPr>
        <w:t>Videre proces for revision af s</w:t>
      </w:r>
      <w:r w:rsidR="007C2727" w:rsidRPr="00DC5CE8">
        <w:rPr>
          <w:rFonts w:ascii="Calibri" w:hAnsi="Calibri"/>
          <w:b/>
          <w:sz w:val="22"/>
        </w:rPr>
        <w:t>tandardværdikataloget</w:t>
      </w:r>
      <w:r w:rsidR="00677DD3" w:rsidRPr="00DC5CE8">
        <w:rPr>
          <w:rFonts w:ascii="Calibri" w:hAnsi="Calibri"/>
          <w:b/>
          <w:sz w:val="22"/>
        </w:rPr>
        <w:t xml:space="preserve"> </w:t>
      </w:r>
    </w:p>
    <w:p w14:paraId="6B7C6B67" w14:textId="77777777" w:rsidR="00003092" w:rsidRDefault="00DC5CE8" w:rsidP="007C2727">
      <w:pPr>
        <w:rPr>
          <w:rFonts w:ascii="Calibri" w:hAnsi="Calibri"/>
          <w:sz w:val="22"/>
        </w:rPr>
      </w:pPr>
      <w:r w:rsidRPr="00003092">
        <w:rPr>
          <w:rFonts w:ascii="Calibri" w:hAnsi="Calibri"/>
          <w:sz w:val="22"/>
        </w:rPr>
        <w:t xml:space="preserve">Vedlagt </w:t>
      </w:r>
      <w:r w:rsidR="00A26634" w:rsidRPr="00003092">
        <w:rPr>
          <w:rFonts w:ascii="Calibri" w:hAnsi="Calibri"/>
          <w:sz w:val="22"/>
        </w:rPr>
        <w:t>Bilag 2.c</w:t>
      </w:r>
      <w:r w:rsidR="00E345BE" w:rsidRPr="00003092">
        <w:rPr>
          <w:rFonts w:ascii="Calibri" w:hAnsi="Calibri"/>
          <w:sz w:val="22"/>
        </w:rPr>
        <w:t>.ii</w:t>
      </w:r>
      <w:r w:rsidR="00A26634" w:rsidRPr="00003092">
        <w:rPr>
          <w:rFonts w:ascii="Calibri" w:hAnsi="Calibri"/>
          <w:sz w:val="22"/>
        </w:rPr>
        <w:t xml:space="preserve"> R</w:t>
      </w:r>
      <w:r w:rsidRPr="00003092">
        <w:rPr>
          <w:rFonts w:ascii="Calibri" w:hAnsi="Calibri"/>
          <w:sz w:val="22"/>
        </w:rPr>
        <w:t>evideret tidsplan for revision af standardværdikataloget</w:t>
      </w:r>
      <w:r w:rsidR="00E345BE" w:rsidRPr="00003092">
        <w:rPr>
          <w:rFonts w:ascii="Calibri" w:hAnsi="Calibri"/>
          <w:sz w:val="22"/>
        </w:rPr>
        <w:t xml:space="preserve"> </w:t>
      </w:r>
      <w:r w:rsidR="000804AF">
        <w:rPr>
          <w:rFonts w:ascii="Calibri" w:hAnsi="Calibri"/>
          <w:sz w:val="22"/>
        </w:rPr>
        <w:t xml:space="preserve">(SVK) </w:t>
      </w:r>
      <w:r w:rsidR="00E345BE" w:rsidRPr="00003092">
        <w:rPr>
          <w:rFonts w:ascii="Calibri" w:hAnsi="Calibri"/>
          <w:sz w:val="22"/>
        </w:rPr>
        <w:t>og Bilag 2.c.ii Revideret tilbud fra TI</w:t>
      </w:r>
    </w:p>
    <w:p w14:paraId="1F314A80" w14:textId="77777777" w:rsidR="00003092" w:rsidRDefault="00003092" w:rsidP="007C2727">
      <w:pPr>
        <w:rPr>
          <w:rFonts w:ascii="Calibri" w:hAnsi="Calibri"/>
          <w:sz w:val="22"/>
        </w:rPr>
      </w:pPr>
    </w:p>
    <w:p w14:paraId="4103E28C" w14:textId="54F080B9" w:rsidR="00003092" w:rsidRDefault="00003092" w:rsidP="007C2727">
      <w:pPr>
        <w:rPr>
          <w:rFonts w:ascii="Calibri" w:hAnsi="Calibri"/>
          <w:sz w:val="22"/>
        </w:rPr>
      </w:pPr>
      <w:r>
        <w:rPr>
          <w:rFonts w:ascii="Calibri" w:hAnsi="Calibri"/>
          <w:sz w:val="22"/>
        </w:rPr>
        <w:t xml:space="preserve">Energistyrelsen orienterede om, at </w:t>
      </w:r>
      <w:r w:rsidR="000804AF">
        <w:rPr>
          <w:rFonts w:ascii="Calibri" w:hAnsi="Calibri"/>
          <w:sz w:val="22"/>
        </w:rPr>
        <w:t xml:space="preserve">SVK efter styrelsens opfattelse er et vigtigt teknisk grundlag for ordningen og for såvel styrelsens som energiselskabernes </w:t>
      </w:r>
      <w:r w:rsidR="00BE62D4">
        <w:rPr>
          <w:rFonts w:ascii="Calibri" w:hAnsi="Calibri"/>
          <w:sz w:val="22"/>
        </w:rPr>
        <w:t>dokumentation</w:t>
      </w:r>
      <w:r w:rsidR="000804AF">
        <w:rPr>
          <w:rFonts w:ascii="Calibri" w:hAnsi="Calibri"/>
          <w:sz w:val="22"/>
        </w:rPr>
        <w:t xml:space="preserve"> og kontrol med de enkelte projekter. ENS ønsker derfor fremover</w:t>
      </w:r>
      <w:r w:rsidR="00CF452D">
        <w:rPr>
          <w:rFonts w:ascii="Calibri" w:hAnsi="Calibri"/>
          <w:sz w:val="22"/>
        </w:rPr>
        <w:t>,</w:t>
      </w:r>
      <w:r w:rsidR="000804AF">
        <w:rPr>
          <w:rFonts w:ascii="Calibri" w:hAnsi="Calibri"/>
          <w:sz w:val="22"/>
        </w:rPr>
        <w:t xml:space="preserve"> at processen med drift og udvikling af SVK placeres som opgave for ENS som led i styrelsens almindelige myndighedsarbejde med ordningen. Ændringer i SV</w:t>
      </w:r>
      <w:r w:rsidR="00CF452D">
        <w:rPr>
          <w:rFonts w:ascii="Calibri" w:hAnsi="Calibri"/>
          <w:sz w:val="22"/>
        </w:rPr>
        <w:t>K skal fortsat godkendes af TAG</w:t>
      </w:r>
      <w:r w:rsidR="000804AF">
        <w:rPr>
          <w:rFonts w:ascii="Calibri" w:hAnsi="Calibri"/>
          <w:sz w:val="22"/>
        </w:rPr>
        <w:t xml:space="preserve">. </w:t>
      </w:r>
      <w:r>
        <w:rPr>
          <w:rFonts w:ascii="Calibri" w:hAnsi="Calibri"/>
          <w:sz w:val="22"/>
        </w:rPr>
        <w:t>Det sædvanlige budget til det årlige almindelige vedl</w:t>
      </w:r>
      <w:r>
        <w:rPr>
          <w:rFonts w:ascii="Calibri" w:hAnsi="Calibri"/>
          <w:sz w:val="22"/>
        </w:rPr>
        <w:t>i</w:t>
      </w:r>
      <w:r>
        <w:rPr>
          <w:rFonts w:ascii="Calibri" w:hAnsi="Calibri"/>
          <w:sz w:val="22"/>
        </w:rPr>
        <w:t xml:space="preserve">gehold af kataloget på 300.000 kr. opretholdes </w:t>
      </w:r>
      <w:r w:rsidR="000804AF">
        <w:rPr>
          <w:rFonts w:ascii="Calibri" w:hAnsi="Calibri"/>
          <w:sz w:val="22"/>
        </w:rPr>
        <w:t xml:space="preserve">i 2017 </w:t>
      </w:r>
      <w:r>
        <w:rPr>
          <w:rFonts w:ascii="Calibri" w:hAnsi="Calibri"/>
          <w:sz w:val="22"/>
        </w:rPr>
        <w:t>og betales af selskaberne</w:t>
      </w:r>
      <w:r w:rsidR="007F0E53">
        <w:rPr>
          <w:rFonts w:ascii="Calibri" w:hAnsi="Calibri"/>
          <w:sz w:val="22"/>
        </w:rPr>
        <w:t xml:space="preserve"> som sædvanligt, gennem betaling til Dansk Energi.</w:t>
      </w:r>
      <w:r>
        <w:rPr>
          <w:rFonts w:ascii="Calibri" w:hAnsi="Calibri"/>
          <w:sz w:val="22"/>
        </w:rPr>
        <w:t xml:space="preserve"> </w:t>
      </w:r>
      <w:r w:rsidR="00CF452D">
        <w:rPr>
          <w:rFonts w:ascii="Calibri" w:hAnsi="Calibri"/>
          <w:sz w:val="22"/>
        </w:rPr>
        <w:t xml:space="preserve"> ENS’</w:t>
      </w:r>
      <w:r w:rsidR="000804AF">
        <w:rPr>
          <w:rFonts w:ascii="Calibri" w:hAnsi="Calibri"/>
          <w:sz w:val="22"/>
        </w:rPr>
        <w:t xml:space="preserve"> udgifter til drift og udvi</w:t>
      </w:r>
      <w:r w:rsidR="000804AF">
        <w:rPr>
          <w:rFonts w:ascii="Calibri" w:hAnsi="Calibri"/>
          <w:sz w:val="22"/>
        </w:rPr>
        <w:t>k</w:t>
      </w:r>
      <w:r w:rsidR="000804AF">
        <w:rPr>
          <w:rFonts w:ascii="Calibri" w:hAnsi="Calibri"/>
          <w:sz w:val="22"/>
        </w:rPr>
        <w:t>ling af SVK indgår i de udgifter, som skal finansieres gennem de årlige gebyro</w:t>
      </w:r>
      <w:r w:rsidR="000804AF">
        <w:rPr>
          <w:rFonts w:ascii="Calibri" w:hAnsi="Calibri"/>
          <w:sz w:val="22"/>
        </w:rPr>
        <w:t>p</w:t>
      </w:r>
      <w:r w:rsidR="000804AF">
        <w:rPr>
          <w:rFonts w:ascii="Calibri" w:hAnsi="Calibri"/>
          <w:sz w:val="22"/>
        </w:rPr>
        <w:t xml:space="preserve">krævninger. </w:t>
      </w:r>
    </w:p>
    <w:p w14:paraId="0337C18F" w14:textId="77777777" w:rsidR="000804AF" w:rsidRDefault="000804AF" w:rsidP="007C2727">
      <w:pPr>
        <w:rPr>
          <w:rFonts w:ascii="Calibri" w:hAnsi="Calibri"/>
          <w:sz w:val="22"/>
        </w:rPr>
      </w:pPr>
    </w:p>
    <w:p w14:paraId="0D093237" w14:textId="15502A22" w:rsidR="000804AF" w:rsidRDefault="000804AF" w:rsidP="007C2727">
      <w:pPr>
        <w:rPr>
          <w:rFonts w:ascii="Calibri" w:hAnsi="Calibri"/>
          <w:sz w:val="22"/>
        </w:rPr>
      </w:pPr>
      <w:r>
        <w:rPr>
          <w:rFonts w:ascii="Calibri" w:hAnsi="Calibri"/>
          <w:sz w:val="22"/>
        </w:rPr>
        <w:t>Håndteringen af olieselskabernes betaling udestår, i det ENS er enig i</w:t>
      </w:r>
      <w:r w:rsidR="00CF452D">
        <w:rPr>
          <w:rFonts w:ascii="Calibri" w:hAnsi="Calibri"/>
          <w:sz w:val="22"/>
        </w:rPr>
        <w:t>,</w:t>
      </w:r>
      <w:r>
        <w:rPr>
          <w:rFonts w:ascii="Calibri" w:hAnsi="Calibri"/>
          <w:sz w:val="22"/>
        </w:rPr>
        <w:t xml:space="preserve"> at den del af udgifterne til SVK som hidtidigt har været finansieret af EOF, ikke kan overvæltes på de øvrige aftaleparter</w:t>
      </w:r>
      <w:r w:rsidR="006C0196">
        <w:rPr>
          <w:rFonts w:ascii="Calibri" w:hAnsi="Calibri"/>
          <w:sz w:val="22"/>
        </w:rPr>
        <w:t xml:space="preserve"> ved at betale hele SVK gennem gebyrerne</w:t>
      </w:r>
      <w:r>
        <w:rPr>
          <w:rFonts w:ascii="Calibri" w:hAnsi="Calibri"/>
          <w:sz w:val="22"/>
        </w:rPr>
        <w:t>.</w:t>
      </w:r>
      <w:r w:rsidR="006C0196">
        <w:rPr>
          <w:rFonts w:ascii="Calibri" w:hAnsi="Calibri"/>
          <w:sz w:val="22"/>
        </w:rPr>
        <w:t xml:space="preserve"> </w:t>
      </w:r>
      <w:r w:rsidR="006C0196">
        <w:t>DFJ, DE og GAS opfordrede Energistyrelsen til at indgå en aftale med EOF, således at oli</w:t>
      </w:r>
      <w:r w:rsidR="006C0196">
        <w:t>e</w:t>
      </w:r>
      <w:r w:rsidR="006C0196">
        <w:t xml:space="preserve">branchen forsat medvirker til at dække omkostningerne på lige fod med de øvrige aftaleparter. </w:t>
      </w:r>
    </w:p>
    <w:p w14:paraId="34D8225A" w14:textId="32C8B60A" w:rsidR="00C65ACF" w:rsidRDefault="00DC62C3" w:rsidP="007C2727">
      <w:pPr>
        <w:rPr>
          <w:rFonts w:ascii="Calibri" w:hAnsi="Calibri"/>
          <w:sz w:val="22"/>
        </w:rPr>
      </w:pPr>
      <w:r>
        <w:rPr>
          <w:rFonts w:ascii="Calibri" w:hAnsi="Calibri"/>
          <w:sz w:val="22"/>
        </w:rPr>
        <w:t>ENS</w:t>
      </w:r>
      <w:r w:rsidR="003859CC">
        <w:rPr>
          <w:rFonts w:ascii="Calibri" w:hAnsi="Calibri"/>
          <w:sz w:val="22"/>
        </w:rPr>
        <w:t xml:space="preserve"> </w:t>
      </w:r>
      <w:r w:rsidR="000804AF">
        <w:rPr>
          <w:rFonts w:ascii="Calibri" w:hAnsi="Calibri"/>
          <w:sz w:val="22"/>
        </w:rPr>
        <w:t xml:space="preserve">vil sikre at </w:t>
      </w:r>
      <w:r w:rsidR="00BE62D4">
        <w:rPr>
          <w:rFonts w:ascii="Calibri" w:hAnsi="Calibri"/>
          <w:sz w:val="22"/>
        </w:rPr>
        <w:t xml:space="preserve">udførelsen af </w:t>
      </w:r>
      <w:r w:rsidR="000804AF">
        <w:rPr>
          <w:rFonts w:ascii="Calibri" w:hAnsi="Calibri"/>
          <w:sz w:val="22"/>
        </w:rPr>
        <w:t xml:space="preserve">opgaven bliver konkurrenceudsat. </w:t>
      </w:r>
      <w:r w:rsidR="00E60877">
        <w:rPr>
          <w:rFonts w:ascii="Calibri" w:hAnsi="Calibri"/>
          <w:sz w:val="22"/>
        </w:rPr>
        <w:t>Dansk Energi p</w:t>
      </w:r>
      <w:r w:rsidR="00E60877">
        <w:rPr>
          <w:rFonts w:ascii="Calibri" w:hAnsi="Calibri"/>
          <w:sz w:val="22"/>
        </w:rPr>
        <w:t>å</w:t>
      </w:r>
      <w:r w:rsidR="00E60877">
        <w:rPr>
          <w:rFonts w:ascii="Calibri" w:hAnsi="Calibri"/>
          <w:sz w:val="22"/>
        </w:rPr>
        <w:t>pegede, at de f</w:t>
      </w:r>
      <w:r w:rsidR="00966C92">
        <w:rPr>
          <w:rFonts w:ascii="Calibri" w:hAnsi="Calibri"/>
          <w:sz w:val="22"/>
        </w:rPr>
        <w:t>remtidige k</w:t>
      </w:r>
      <w:r w:rsidR="00C65ACF">
        <w:rPr>
          <w:rFonts w:ascii="Calibri" w:hAnsi="Calibri"/>
          <w:sz w:val="22"/>
        </w:rPr>
        <w:t>onsulenter</w:t>
      </w:r>
      <w:r>
        <w:rPr>
          <w:rFonts w:ascii="Calibri" w:hAnsi="Calibri"/>
          <w:sz w:val="22"/>
        </w:rPr>
        <w:t xml:space="preserve"> til SVK</w:t>
      </w:r>
      <w:r w:rsidR="00C65ACF">
        <w:rPr>
          <w:rFonts w:ascii="Calibri" w:hAnsi="Calibri"/>
          <w:sz w:val="22"/>
        </w:rPr>
        <w:t xml:space="preserve"> skal være </w:t>
      </w:r>
      <w:r w:rsidR="00E60877">
        <w:rPr>
          <w:rFonts w:ascii="Calibri" w:hAnsi="Calibri"/>
          <w:sz w:val="22"/>
        </w:rPr>
        <w:t>dygtige til detaljer, teknol</w:t>
      </w:r>
      <w:r w:rsidR="00E60877">
        <w:rPr>
          <w:rFonts w:ascii="Calibri" w:hAnsi="Calibri"/>
          <w:sz w:val="22"/>
        </w:rPr>
        <w:t>o</w:t>
      </w:r>
      <w:r w:rsidR="00E60877">
        <w:rPr>
          <w:rFonts w:ascii="Calibri" w:hAnsi="Calibri"/>
          <w:sz w:val="22"/>
        </w:rPr>
        <w:t>gi</w:t>
      </w:r>
      <w:r w:rsidR="00C65ACF">
        <w:rPr>
          <w:rFonts w:ascii="Calibri" w:hAnsi="Calibri"/>
          <w:sz w:val="22"/>
        </w:rPr>
        <w:t>udv</w:t>
      </w:r>
      <w:r w:rsidR="00966C92">
        <w:rPr>
          <w:rFonts w:ascii="Calibri" w:hAnsi="Calibri"/>
          <w:sz w:val="22"/>
        </w:rPr>
        <w:t>ikling</w:t>
      </w:r>
      <w:r w:rsidR="00C65ACF">
        <w:rPr>
          <w:rFonts w:ascii="Calibri" w:hAnsi="Calibri"/>
          <w:sz w:val="22"/>
        </w:rPr>
        <w:t xml:space="preserve"> mv.</w:t>
      </w:r>
      <w:r w:rsidR="00E60877">
        <w:rPr>
          <w:rFonts w:ascii="Calibri" w:hAnsi="Calibri"/>
          <w:sz w:val="22"/>
        </w:rPr>
        <w:t>, og at det også kræver é</w:t>
      </w:r>
      <w:r w:rsidR="00C65ACF">
        <w:rPr>
          <w:rFonts w:ascii="Calibri" w:hAnsi="Calibri"/>
          <w:sz w:val="22"/>
        </w:rPr>
        <w:t xml:space="preserve">n hos </w:t>
      </w:r>
      <w:r w:rsidR="00966C92">
        <w:rPr>
          <w:rFonts w:ascii="Calibri" w:hAnsi="Calibri"/>
          <w:sz w:val="22"/>
        </w:rPr>
        <w:t>ENS</w:t>
      </w:r>
      <w:r>
        <w:rPr>
          <w:rFonts w:ascii="Calibri" w:hAnsi="Calibri"/>
          <w:sz w:val="22"/>
        </w:rPr>
        <w:t>,</w:t>
      </w:r>
      <w:r w:rsidR="00C65ACF">
        <w:rPr>
          <w:rFonts w:ascii="Calibri" w:hAnsi="Calibri"/>
          <w:sz w:val="22"/>
        </w:rPr>
        <w:t xml:space="preserve"> der </w:t>
      </w:r>
      <w:r w:rsidR="00966C92">
        <w:rPr>
          <w:rFonts w:ascii="Calibri" w:hAnsi="Calibri"/>
          <w:sz w:val="22"/>
        </w:rPr>
        <w:t>h</w:t>
      </w:r>
      <w:r w:rsidR="00C65ACF">
        <w:rPr>
          <w:rFonts w:ascii="Calibri" w:hAnsi="Calibri"/>
          <w:sz w:val="22"/>
        </w:rPr>
        <w:t>ar hovedansvar for kat</w:t>
      </w:r>
      <w:r w:rsidR="00966C92">
        <w:rPr>
          <w:rFonts w:ascii="Calibri" w:hAnsi="Calibri"/>
          <w:sz w:val="22"/>
        </w:rPr>
        <w:t>a</w:t>
      </w:r>
      <w:r w:rsidR="00C65ACF">
        <w:rPr>
          <w:rFonts w:ascii="Calibri" w:hAnsi="Calibri"/>
          <w:sz w:val="22"/>
        </w:rPr>
        <w:t>l</w:t>
      </w:r>
      <w:r w:rsidR="00C65ACF">
        <w:rPr>
          <w:rFonts w:ascii="Calibri" w:hAnsi="Calibri"/>
          <w:sz w:val="22"/>
        </w:rPr>
        <w:t>o</w:t>
      </w:r>
      <w:r w:rsidR="00C65ACF">
        <w:rPr>
          <w:rFonts w:ascii="Calibri" w:hAnsi="Calibri"/>
          <w:sz w:val="22"/>
        </w:rPr>
        <w:t>g</w:t>
      </w:r>
      <w:r w:rsidR="00E60877">
        <w:rPr>
          <w:rFonts w:ascii="Calibri" w:hAnsi="Calibri"/>
          <w:sz w:val="22"/>
        </w:rPr>
        <w:t>et</w:t>
      </w:r>
      <w:r w:rsidR="00C65ACF">
        <w:rPr>
          <w:rFonts w:ascii="Calibri" w:hAnsi="Calibri"/>
          <w:sz w:val="22"/>
        </w:rPr>
        <w:t xml:space="preserve">. </w:t>
      </w:r>
    </w:p>
    <w:p w14:paraId="62AAB445" w14:textId="77777777" w:rsidR="007F0E53" w:rsidRDefault="007F0E53" w:rsidP="007C2727">
      <w:pPr>
        <w:rPr>
          <w:rFonts w:ascii="Calibri" w:hAnsi="Calibri"/>
          <w:sz w:val="22"/>
        </w:rPr>
      </w:pPr>
    </w:p>
    <w:p w14:paraId="49D2A700" w14:textId="7A342F63" w:rsidR="007F0E53" w:rsidRDefault="009B01E4" w:rsidP="007C2727">
      <w:pPr>
        <w:rPr>
          <w:rFonts w:ascii="Calibri" w:hAnsi="Calibri"/>
          <w:sz w:val="22"/>
        </w:rPr>
      </w:pPr>
      <w:r>
        <w:rPr>
          <w:rFonts w:ascii="Calibri" w:hAnsi="Calibri"/>
          <w:sz w:val="22"/>
        </w:rPr>
        <w:t>Energistyrelsen anmoder Teknologisk Institut om at fremsende en samlet faktura for udført arbejde fratrukket allerede faktureret arbejde i forbindelse med SV</w:t>
      </w:r>
      <w:r w:rsidR="006C0196">
        <w:rPr>
          <w:rFonts w:ascii="Calibri" w:hAnsi="Calibri"/>
          <w:sz w:val="22"/>
        </w:rPr>
        <w:t>K</w:t>
      </w:r>
      <w:r>
        <w:rPr>
          <w:rFonts w:ascii="Calibri" w:hAnsi="Calibri"/>
          <w:sz w:val="22"/>
        </w:rPr>
        <w:t xml:space="preserve"> til </w:t>
      </w:r>
      <w:r>
        <w:rPr>
          <w:rFonts w:ascii="Calibri" w:hAnsi="Calibri"/>
          <w:sz w:val="22"/>
        </w:rPr>
        <w:lastRenderedPageBreak/>
        <w:t xml:space="preserve">Dansk Energi. Herefter vil Dansk Energi </w:t>
      </w:r>
      <w:r w:rsidR="007F0E53">
        <w:rPr>
          <w:rFonts w:ascii="Calibri" w:hAnsi="Calibri"/>
          <w:sz w:val="22"/>
        </w:rPr>
        <w:t>sender</w:t>
      </w:r>
      <w:r>
        <w:rPr>
          <w:rFonts w:ascii="Calibri" w:hAnsi="Calibri"/>
          <w:sz w:val="22"/>
        </w:rPr>
        <w:t xml:space="preserve"> én samlet</w:t>
      </w:r>
      <w:r w:rsidR="007F0E53">
        <w:rPr>
          <w:rFonts w:ascii="Calibri" w:hAnsi="Calibri"/>
          <w:sz w:val="22"/>
        </w:rPr>
        <w:t xml:space="preserve"> opkrævning til de øvrige samarbejdsorganer</w:t>
      </w:r>
      <w:r>
        <w:rPr>
          <w:rFonts w:ascii="Calibri" w:hAnsi="Calibri"/>
          <w:sz w:val="22"/>
        </w:rPr>
        <w:t xml:space="preserve"> for det samlede budget i TAG 2017.</w:t>
      </w:r>
      <w:r w:rsidR="007F0E53">
        <w:rPr>
          <w:rFonts w:ascii="Calibri" w:hAnsi="Calibri"/>
          <w:sz w:val="22"/>
        </w:rPr>
        <w:t xml:space="preserve"> </w:t>
      </w:r>
    </w:p>
    <w:p w14:paraId="315D8AC2" w14:textId="77777777" w:rsidR="00F308AE" w:rsidRDefault="00F308AE" w:rsidP="00F308AE">
      <w:pPr>
        <w:pStyle w:val="Listeafsnit"/>
        <w:ind w:left="0"/>
        <w:rPr>
          <w:rFonts w:ascii="Calibri" w:hAnsi="Calibri"/>
          <w:b/>
          <w:sz w:val="26"/>
          <w:szCs w:val="26"/>
        </w:rPr>
      </w:pPr>
    </w:p>
    <w:p w14:paraId="6CA1138F" w14:textId="629B0D0B" w:rsidR="00E42956" w:rsidRDefault="00BE62D4" w:rsidP="00966C92">
      <w:pPr>
        <w:pStyle w:val="Listeafsnit"/>
        <w:ind w:left="0"/>
        <w:rPr>
          <w:rFonts w:ascii="Calibri" w:hAnsi="Calibri" w:cstheme="minorBidi"/>
          <w:sz w:val="22"/>
          <w:szCs w:val="22"/>
          <w:lang w:eastAsia="en-US"/>
        </w:rPr>
      </w:pPr>
      <w:r>
        <w:rPr>
          <w:rFonts w:ascii="Calibri" w:hAnsi="Calibri" w:cstheme="minorBidi"/>
          <w:sz w:val="22"/>
          <w:szCs w:val="22"/>
          <w:lang w:eastAsia="en-US"/>
        </w:rPr>
        <w:t xml:space="preserve">I forhold til den igangværende proces for revision af SVK godkendte </w:t>
      </w:r>
      <w:r w:rsidR="007F0E53">
        <w:rPr>
          <w:rFonts w:ascii="Calibri" w:hAnsi="Calibri" w:cstheme="minorBidi"/>
          <w:sz w:val="22"/>
          <w:szCs w:val="22"/>
          <w:lang w:eastAsia="en-US"/>
        </w:rPr>
        <w:t xml:space="preserve">TAG </w:t>
      </w:r>
      <w:r>
        <w:rPr>
          <w:rFonts w:ascii="Calibri" w:hAnsi="Calibri" w:cstheme="minorBidi"/>
          <w:sz w:val="22"/>
          <w:szCs w:val="22"/>
          <w:lang w:eastAsia="en-US"/>
        </w:rPr>
        <w:t>følgende tidsplan:</w:t>
      </w:r>
      <w:r w:rsidR="00966C92">
        <w:rPr>
          <w:rFonts w:ascii="Calibri" w:hAnsi="Calibri" w:cstheme="minorBidi"/>
          <w:sz w:val="22"/>
          <w:szCs w:val="22"/>
          <w:lang w:eastAsia="en-US"/>
        </w:rPr>
        <w:t xml:space="preserve"> Tidsplan </w:t>
      </w:r>
      <w:r w:rsidR="00C65ACF" w:rsidRPr="00C65ACF">
        <w:rPr>
          <w:rFonts w:ascii="Calibri" w:hAnsi="Calibri" w:cstheme="minorBidi"/>
          <w:sz w:val="22"/>
          <w:szCs w:val="22"/>
          <w:lang w:eastAsia="en-US"/>
        </w:rPr>
        <w:t>1</w:t>
      </w:r>
      <w:r w:rsidR="00966C92">
        <w:rPr>
          <w:rFonts w:ascii="Calibri" w:hAnsi="Calibri" w:cstheme="minorBidi"/>
          <w:sz w:val="22"/>
          <w:szCs w:val="22"/>
          <w:lang w:eastAsia="en-US"/>
        </w:rPr>
        <w:t>3/10</w:t>
      </w:r>
      <w:r w:rsidR="00C65ACF" w:rsidRPr="00C65ACF">
        <w:rPr>
          <w:rFonts w:ascii="Calibri" w:hAnsi="Calibri" w:cstheme="minorBidi"/>
          <w:sz w:val="22"/>
          <w:szCs w:val="22"/>
          <w:lang w:eastAsia="en-US"/>
        </w:rPr>
        <w:t xml:space="preserve"> </w:t>
      </w:r>
      <w:r w:rsidR="00966C92">
        <w:rPr>
          <w:rFonts w:ascii="Calibri" w:hAnsi="Calibri" w:cstheme="minorBidi"/>
          <w:sz w:val="22"/>
          <w:szCs w:val="22"/>
          <w:lang w:eastAsia="en-US"/>
        </w:rPr>
        <w:t>i høring</w:t>
      </w:r>
      <w:r w:rsidR="00C65ACF" w:rsidRPr="00C65ACF">
        <w:rPr>
          <w:rFonts w:ascii="Calibri" w:hAnsi="Calibri" w:cstheme="minorBidi"/>
          <w:sz w:val="22"/>
          <w:szCs w:val="22"/>
          <w:lang w:eastAsia="en-US"/>
        </w:rPr>
        <w:t>, 26</w:t>
      </w:r>
      <w:r w:rsidR="00966C92">
        <w:rPr>
          <w:rFonts w:ascii="Calibri" w:hAnsi="Calibri" w:cstheme="minorBidi"/>
          <w:sz w:val="22"/>
          <w:szCs w:val="22"/>
          <w:lang w:eastAsia="en-US"/>
        </w:rPr>
        <w:t>/10</w:t>
      </w:r>
      <w:r w:rsidR="00C65ACF" w:rsidRPr="00C65ACF">
        <w:rPr>
          <w:rFonts w:ascii="Calibri" w:hAnsi="Calibri" w:cstheme="minorBidi"/>
          <w:sz w:val="22"/>
          <w:szCs w:val="22"/>
          <w:lang w:eastAsia="en-US"/>
        </w:rPr>
        <w:t xml:space="preserve"> </w:t>
      </w:r>
      <w:r w:rsidR="00966C92">
        <w:rPr>
          <w:rFonts w:ascii="Calibri" w:hAnsi="Calibri" w:cstheme="minorBidi"/>
          <w:sz w:val="22"/>
          <w:szCs w:val="22"/>
          <w:lang w:eastAsia="en-US"/>
        </w:rPr>
        <w:t>a</w:t>
      </w:r>
      <w:r w:rsidR="00C65ACF" w:rsidRPr="00C65ACF">
        <w:rPr>
          <w:rFonts w:ascii="Calibri" w:hAnsi="Calibri" w:cstheme="minorBidi"/>
          <w:sz w:val="22"/>
          <w:szCs w:val="22"/>
          <w:lang w:eastAsia="en-US"/>
        </w:rPr>
        <w:t>fslutning af høring</w:t>
      </w:r>
      <w:r w:rsidR="00E60877">
        <w:rPr>
          <w:rFonts w:ascii="Calibri" w:hAnsi="Calibri" w:cstheme="minorBidi"/>
          <w:sz w:val="22"/>
          <w:szCs w:val="22"/>
          <w:lang w:eastAsia="en-US"/>
        </w:rPr>
        <w:t>, 1/11</w:t>
      </w:r>
      <w:r w:rsidR="00DC62C3">
        <w:rPr>
          <w:rFonts w:ascii="Calibri" w:hAnsi="Calibri" w:cstheme="minorBidi"/>
          <w:sz w:val="22"/>
          <w:szCs w:val="22"/>
          <w:lang w:eastAsia="en-US"/>
        </w:rPr>
        <w:t xml:space="preserve"> </w:t>
      </w:r>
      <w:r w:rsidR="00E60877">
        <w:rPr>
          <w:rFonts w:ascii="Calibri" w:hAnsi="Calibri" w:cstheme="minorBidi"/>
          <w:sz w:val="22"/>
          <w:szCs w:val="22"/>
          <w:lang w:eastAsia="en-US"/>
        </w:rPr>
        <w:t>o</w:t>
      </w:r>
      <w:r w:rsidR="00DC62C3">
        <w:rPr>
          <w:rFonts w:ascii="Calibri" w:hAnsi="Calibri" w:cstheme="minorBidi"/>
          <w:sz w:val="22"/>
          <w:szCs w:val="22"/>
          <w:lang w:eastAsia="en-US"/>
        </w:rPr>
        <w:t>ffentliggørelse</w:t>
      </w:r>
      <w:r w:rsidR="00E60877">
        <w:rPr>
          <w:rFonts w:ascii="Calibri" w:hAnsi="Calibri" w:cstheme="minorBidi"/>
          <w:sz w:val="22"/>
          <w:szCs w:val="22"/>
          <w:lang w:eastAsia="en-US"/>
        </w:rPr>
        <w:t xml:space="preserve">, 1/1 2018 ikrafttrædelse. </w:t>
      </w:r>
      <w:r w:rsidR="007F0E53">
        <w:rPr>
          <w:rFonts w:ascii="Calibri" w:hAnsi="Calibri" w:cstheme="minorBidi"/>
          <w:sz w:val="22"/>
          <w:szCs w:val="22"/>
          <w:lang w:eastAsia="en-US"/>
        </w:rPr>
        <w:br/>
      </w:r>
      <w:r w:rsidR="00E60877">
        <w:rPr>
          <w:rFonts w:ascii="Calibri" w:hAnsi="Calibri" w:cstheme="minorBidi"/>
          <w:sz w:val="22"/>
          <w:szCs w:val="22"/>
          <w:lang w:eastAsia="en-US"/>
        </w:rPr>
        <w:t xml:space="preserve">Kommentarer modtages meget gerne så tidligt som muligt i forløbet, da </w:t>
      </w:r>
      <w:r>
        <w:rPr>
          <w:rFonts w:ascii="Calibri" w:hAnsi="Calibri" w:cstheme="minorBidi"/>
          <w:sz w:val="22"/>
          <w:szCs w:val="22"/>
          <w:lang w:eastAsia="en-US"/>
        </w:rPr>
        <w:t>ENS har kort tid til behandling af høringssvar.</w:t>
      </w:r>
      <w:r w:rsidR="0034632D">
        <w:rPr>
          <w:rFonts w:ascii="Calibri" w:hAnsi="Calibri" w:cstheme="minorBidi"/>
          <w:sz w:val="22"/>
          <w:szCs w:val="22"/>
          <w:lang w:eastAsia="en-US"/>
        </w:rPr>
        <w:br/>
        <w:t>Det blev besluttet at TAG godkender det reviderede i en meget kort skriftlig pr</w:t>
      </w:r>
      <w:r w:rsidR="0034632D">
        <w:rPr>
          <w:rFonts w:ascii="Calibri" w:hAnsi="Calibri" w:cstheme="minorBidi"/>
          <w:sz w:val="22"/>
          <w:szCs w:val="22"/>
          <w:lang w:eastAsia="en-US"/>
        </w:rPr>
        <w:t>o</w:t>
      </w:r>
      <w:r w:rsidR="0034632D">
        <w:rPr>
          <w:rFonts w:ascii="Calibri" w:hAnsi="Calibri" w:cstheme="minorBidi"/>
          <w:sz w:val="22"/>
          <w:szCs w:val="22"/>
          <w:lang w:eastAsia="en-US"/>
        </w:rPr>
        <w:t>ces efter endt tilretning efter høring. Til TAG-mødet den 24. oktober bliver eve</w:t>
      </w:r>
      <w:r w:rsidR="0034632D">
        <w:rPr>
          <w:rFonts w:ascii="Calibri" w:hAnsi="Calibri" w:cstheme="minorBidi"/>
          <w:sz w:val="22"/>
          <w:szCs w:val="22"/>
          <w:lang w:eastAsia="en-US"/>
        </w:rPr>
        <w:t>n</w:t>
      </w:r>
      <w:r w:rsidR="0034632D">
        <w:rPr>
          <w:rFonts w:ascii="Calibri" w:hAnsi="Calibri" w:cstheme="minorBidi"/>
          <w:sz w:val="22"/>
          <w:szCs w:val="22"/>
          <w:lang w:eastAsia="en-US"/>
        </w:rPr>
        <w:t>tuelt indkomne principielle emner drøftet.</w:t>
      </w:r>
    </w:p>
    <w:p w14:paraId="7A78420B" w14:textId="77777777" w:rsidR="00966C92" w:rsidRDefault="00966C92" w:rsidP="00966C92">
      <w:pPr>
        <w:pStyle w:val="Listeafsnit"/>
        <w:ind w:left="0"/>
        <w:rPr>
          <w:rFonts w:ascii="Calibri" w:hAnsi="Calibri"/>
          <w:sz w:val="22"/>
        </w:rPr>
      </w:pPr>
    </w:p>
    <w:p w14:paraId="728A8BD1" w14:textId="77777777" w:rsidR="00C65ACF" w:rsidRDefault="00DC62C3" w:rsidP="007C2727">
      <w:pPr>
        <w:rPr>
          <w:rFonts w:ascii="Calibri" w:hAnsi="Calibri"/>
          <w:sz w:val="22"/>
        </w:rPr>
      </w:pPr>
      <w:r>
        <w:rPr>
          <w:rFonts w:ascii="Calibri" w:hAnsi="Calibri"/>
          <w:sz w:val="22"/>
        </w:rPr>
        <w:t>ENS</w:t>
      </w:r>
      <w:r w:rsidR="00003092">
        <w:rPr>
          <w:rFonts w:ascii="Calibri" w:hAnsi="Calibri"/>
          <w:sz w:val="22"/>
        </w:rPr>
        <w:t xml:space="preserve"> udsender</w:t>
      </w:r>
      <w:r w:rsidR="00966C92">
        <w:rPr>
          <w:rFonts w:ascii="Calibri" w:hAnsi="Calibri"/>
          <w:sz w:val="22"/>
        </w:rPr>
        <w:t xml:space="preserve"> </w:t>
      </w:r>
      <w:r w:rsidR="00003092">
        <w:rPr>
          <w:rFonts w:ascii="Calibri" w:hAnsi="Calibri"/>
          <w:sz w:val="22"/>
        </w:rPr>
        <w:t xml:space="preserve">d. </w:t>
      </w:r>
      <w:r w:rsidR="00966C92">
        <w:rPr>
          <w:rFonts w:ascii="Calibri" w:hAnsi="Calibri"/>
          <w:sz w:val="22"/>
        </w:rPr>
        <w:t>6/10 n</w:t>
      </w:r>
      <w:r w:rsidR="00C65ACF">
        <w:rPr>
          <w:rFonts w:ascii="Calibri" w:hAnsi="Calibri"/>
          <w:sz w:val="22"/>
        </w:rPr>
        <w:t>yhedsbrev med info om høringsproces mv.</w:t>
      </w:r>
    </w:p>
    <w:p w14:paraId="4822B973" w14:textId="77777777" w:rsidR="00C65ACF" w:rsidRDefault="00E60877" w:rsidP="007C2727">
      <w:pPr>
        <w:rPr>
          <w:rFonts w:ascii="Calibri" w:hAnsi="Calibri"/>
          <w:sz w:val="22"/>
        </w:rPr>
      </w:pPr>
      <w:r>
        <w:rPr>
          <w:rFonts w:ascii="Calibri" w:hAnsi="Calibri"/>
          <w:sz w:val="22"/>
        </w:rPr>
        <w:t>Følgegruppe</w:t>
      </w:r>
      <w:r w:rsidR="007F0E53">
        <w:rPr>
          <w:rFonts w:ascii="Calibri" w:hAnsi="Calibri"/>
          <w:sz w:val="22"/>
        </w:rPr>
        <w:t>n</w:t>
      </w:r>
      <w:r>
        <w:rPr>
          <w:rFonts w:ascii="Calibri" w:hAnsi="Calibri"/>
          <w:sz w:val="22"/>
        </w:rPr>
        <w:t xml:space="preserve"> bliver </w:t>
      </w:r>
      <w:r w:rsidR="00966C92">
        <w:rPr>
          <w:rFonts w:ascii="Calibri" w:hAnsi="Calibri"/>
          <w:sz w:val="22"/>
        </w:rPr>
        <w:t xml:space="preserve">også </w:t>
      </w:r>
      <w:r w:rsidR="00C65ACF">
        <w:rPr>
          <w:rFonts w:ascii="Calibri" w:hAnsi="Calibri"/>
          <w:sz w:val="22"/>
        </w:rPr>
        <w:t>orienter</w:t>
      </w:r>
      <w:r>
        <w:rPr>
          <w:rFonts w:ascii="Calibri" w:hAnsi="Calibri"/>
          <w:sz w:val="22"/>
        </w:rPr>
        <w:t>et.</w:t>
      </w:r>
    </w:p>
    <w:p w14:paraId="77315999" w14:textId="77777777" w:rsidR="00003092" w:rsidRDefault="00003092" w:rsidP="007C2727">
      <w:pPr>
        <w:rPr>
          <w:rFonts w:ascii="Calibri" w:hAnsi="Calibri"/>
          <w:sz w:val="22"/>
        </w:rPr>
      </w:pPr>
    </w:p>
    <w:p w14:paraId="65000D7D" w14:textId="77777777" w:rsidR="00E42956" w:rsidRPr="00512DC4" w:rsidRDefault="00512DC4" w:rsidP="003B7289">
      <w:pPr>
        <w:pStyle w:val="Listeafsnit"/>
        <w:numPr>
          <w:ilvl w:val="0"/>
          <w:numId w:val="14"/>
        </w:numPr>
        <w:rPr>
          <w:rFonts w:ascii="Calibri" w:hAnsi="Calibri"/>
          <w:b/>
          <w:sz w:val="22"/>
        </w:rPr>
      </w:pPr>
      <w:r w:rsidRPr="00512DC4">
        <w:rPr>
          <w:rFonts w:ascii="Calibri" w:hAnsi="Calibri"/>
          <w:b/>
          <w:sz w:val="22"/>
        </w:rPr>
        <w:t>Reviderede retningslinjer om g</w:t>
      </w:r>
      <w:r w:rsidR="00E42956" w:rsidRPr="00512DC4">
        <w:rPr>
          <w:rFonts w:ascii="Calibri" w:hAnsi="Calibri"/>
          <w:b/>
          <w:sz w:val="22"/>
        </w:rPr>
        <w:t>årdbiogas</w:t>
      </w:r>
      <w:r w:rsidR="008D794C" w:rsidRPr="00512DC4">
        <w:rPr>
          <w:rFonts w:ascii="Calibri" w:hAnsi="Calibri"/>
          <w:b/>
          <w:sz w:val="22"/>
        </w:rPr>
        <w:t xml:space="preserve"> </w:t>
      </w:r>
    </w:p>
    <w:p w14:paraId="4E125691" w14:textId="5A64F589" w:rsidR="00C65ACF" w:rsidRPr="00C65ACF" w:rsidRDefault="004D61A3" w:rsidP="007C2727">
      <w:pPr>
        <w:rPr>
          <w:rFonts w:ascii="Calibri" w:hAnsi="Calibri"/>
          <w:sz w:val="22"/>
        </w:rPr>
      </w:pPr>
      <w:r>
        <w:rPr>
          <w:rFonts w:ascii="Calibri" w:hAnsi="Calibri"/>
          <w:sz w:val="22"/>
        </w:rPr>
        <w:t>TAG ønsker at få vejledningen om gårdbiogas ud så hurtigt som muligt. Der er ikke i aftaleregiet en deadline, men der kan være en frist i de enkelte projektaftaler, der gør, at afklaringen haster. Desuden får</w:t>
      </w:r>
      <w:r w:rsidR="00966C92">
        <w:rPr>
          <w:rFonts w:ascii="Calibri" w:hAnsi="Calibri"/>
          <w:sz w:val="22"/>
        </w:rPr>
        <w:t xml:space="preserve"> gårdbiogas </w:t>
      </w:r>
      <w:r w:rsidR="00015CEB">
        <w:rPr>
          <w:rFonts w:ascii="Calibri" w:hAnsi="Calibri"/>
          <w:sz w:val="22"/>
        </w:rPr>
        <w:t>med den nuværende or</w:t>
      </w:r>
      <w:r w:rsidR="00015CEB">
        <w:rPr>
          <w:rFonts w:ascii="Calibri" w:hAnsi="Calibri"/>
          <w:sz w:val="22"/>
        </w:rPr>
        <w:t>d</w:t>
      </w:r>
      <w:r w:rsidR="00015CEB">
        <w:rPr>
          <w:rFonts w:ascii="Calibri" w:hAnsi="Calibri"/>
          <w:sz w:val="22"/>
        </w:rPr>
        <w:t xml:space="preserve">ning </w:t>
      </w:r>
      <w:r w:rsidR="00852D43">
        <w:rPr>
          <w:rFonts w:ascii="Calibri" w:hAnsi="Calibri"/>
          <w:sz w:val="22"/>
        </w:rPr>
        <w:t>dri</w:t>
      </w:r>
      <w:r w:rsidR="00966C92">
        <w:rPr>
          <w:rFonts w:ascii="Calibri" w:hAnsi="Calibri"/>
          <w:sz w:val="22"/>
        </w:rPr>
        <w:t>f</w:t>
      </w:r>
      <w:r w:rsidR="00852D43">
        <w:rPr>
          <w:rFonts w:ascii="Calibri" w:hAnsi="Calibri"/>
          <w:sz w:val="22"/>
        </w:rPr>
        <w:t>tstilskud indtil 2023, så</w:t>
      </w:r>
      <w:r w:rsidR="00966C92">
        <w:rPr>
          <w:rFonts w:ascii="Calibri" w:hAnsi="Calibri"/>
          <w:sz w:val="22"/>
        </w:rPr>
        <w:t xml:space="preserve"> det</w:t>
      </w:r>
      <w:r w:rsidR="00852D43">
        <w:rPr>
          <w:rFonts w:ascii="Calibri" w:hAnsi="Calibri"/>
          <w:sz w:val="22"/>
        </w:rPr>
        <w:t xml:space="preserve"> has</w:t>
      </w:r>
      <w:r w:rsidR="00966C92">
        <w:rPr>
          <w:rFonts w:ascii="Calibri" w:hAnsi="Calibri"/>
          <w:sz w:val="22"/>
        </w:rPr>
        <w:t>t</w:t>
      </w:r>
      <w:r w:rsidR="00852D43">
        <w:rPr>
          <w:rFonts w:ascii="Calibri" w:hAnsi="Calibri"/>
          <w:sz w:val="22"/>
        </w:rPr>
        <w:t>er i forhold til</w:t>
      </w:r>
      <w:r w:rsidR="00966C92">
        <w:rPr>
          <w:rFonts w:ascii="Calibri" w:hAnsi="Calibri"/>
          <w:sz w:val="22"/>
        </w:rPr>
        <w:t>,</w:t>
      </w:r>
      <w:r w:rsidR="00852D43">
        <w:rPr>
          <w:rFonts w:ascii="Calibri" w:hAnsi="Calibri"/>
          <w:sz w:val="22"/>
        </w:rPr>
        <w:t xml:space="preserve"> at projekter</w:t>
      </w:r>
      <w:r w:rsidR="00966C92">
        <w:rPr>
          <w:rFonts w:ascii="Calibri" w:hAnsi="Calibri"/>
          <w:sz w:val="22"/>
        </w:rPr>
        <w:t>ne stadig er</w:t>
      </w:r>
      <w:r w:rsidR="00852D43">
        <w:rPr>
          <w:rFonts w:ascii="Calibri" w:hAnsi="Calibri"/>
          <w:sz w:val="22"/>
        </w:rPr>
        <w:t xml:space="preserve"> rentab</w:t>
      </w:r>
      <w:r w:rsidR="00966C92">
        <w:rPr>
          <w:rFonts w:ascii="Calibri" w:hAnsi="Calibri"/>
          <w:sz w:val="22"/>
        </w:rPr>
        <w:t>le</w:t>
      </w:r>
      <w:r w:rsidR="00852D43">
        <w:rPr>
          <w:rFonts w:ascii="Calibri" w:hAnsi="Calibri"/>
          <w:sz w:val="22"/>
        </w:rPr>
        <w:t xml:space="preserve">. </w:t>
      </w:r>
    </w:p>
    <w:p w14:paraId="308FD091" w14:textId="77777777" w:rsidR="00C65ACF" w:rsidRDefault="00C65ACF" w:rsidP="007C2727">
      <w:pPr>
        <w:rPr>
          <w:rFonts w:ascii="Calibri" w:hAnsi="Calibri"/>
          <w:i/>
          <w:sz w:val="22"/>
        </w:rPr>
      </w:pPr>
    </w:p>
    <w:p w14:paraId="184126FD" w14:textId="77777777" w:rsidR="00E42956" w:rsidRPr="00E345BE" w:rsidRDefault="00E42956" w:rsidP="003B7289">
      <w:pPr>
        <w:pStyle w:val="Listeafsnit"/>
        <w:numPr>
          <w:ilvl w:val="0"/>
          <w:numId w:val="14"/>
        </w:numPr>
        <w:rPr>
          <w:rFonts w:ascii="Calibri" w:hAnsi="Calibri"/>
          <w:b/>
          <w:sz w:val="22"/>
        </w:rPr>
      </w:pPr>
      <w:r w:rsidRPr="00E345BE">
        <w:rPr>
          <w:rFonts w:ascii="Calibri" w:hAnsi="Calibri"/>
          <w:b/>
          <w:sz w:val="22"/>
        </w:rPr>
        <w:t>Reglern</w:t>
      </w:r>
      <w:r w:rsidR="00E345BE">
        <w:rPr>
          <w:rFonts w:ascii="Calibri" w:hAnsi="Calibri"/>
          <w:b/>
          <w:sz w:val="22"/>
        </w:rPr>
        <w:t>e for leasing</w:t>
      </w:r>
      <w:r w:rsidR="00F308AE" w:rsidRPr="00E345BE">
        <w:rPr>
          <w:rFonts w:ascii="Calibri" w:hAnsi="Calibri"/>
          <w:b/>
          <w:sz w:val="22"/>
        </w:rPr>
        <w:t xml:space="preserve"> </w:t>
      </w:r>
    </w:p>
    <w:p w14:paraId="1681895C" w14:textId="77777777" w:rsidR="00BA3D89" w:rsidRPr="004D61A3" w:rsidRDefault="004D61A3" w:rsidP="007C2727">
      <w:pPr>
        <w:rPr>
          <w:rFonts w:ascii="Calibri" w:hAnsi="Calibri"/>
          <w:sz w:val="26"/>
          <w:szCs w:val="26"/>
        </w:rPr>
      </w:pPr>
      <w:r>
        <w:rPr>
          <w:rFonts w:ascii="Calibri" w:hAnsi="Calibri"/>
          <w:sz w:val="22"/>
        </w:rPr>
        <w:t xml:space="preserve">Vedlagt </w:t>
      </w:r>
      <w:r w:rsidR="003841A5" w:rsidRPr="004D61A3">
        <w:rPr>
          <w:rFonts w:ascii="Calibri" w:hAnsi="Calibri"/>
          <w:sz w:val="22"/>
        </w:rPr>
        <w:t>Bilag 2.e Spørgsmål til drøftelse vedr. tolkning af reglerne vedr. leasing</w:t>
      </w:r>
      <w:r>
        <w:rPr>
          <w:rFonts w:ascii="Calibri" w:hAnsi="Calibri"/>
          <w:sz w:val="22"/>
        </w:rPr>
        <w:t>.</w:t>
      </w:r>
    </w:p>
    <w:p w14:paraId="027F52E9" w14:textId="77777777" w:rsidR="004D61A3" w:rsidRDefault="004D61A3" w:rsidP="007C2727">
      <w:pPr>
        <w:rPr>
          <w:rFonts w:ascii="Calibri" w:hAnsi="Calibri"/>
          <w:sz w:val="22"/>
        </w:rPr>
      </w:pPr>
      <w:r>
        <w:rPr>
          <w:rFonts w:ascii="Calibri" w:hAnsi="Calibri"/>
          <w:sz w:val="22"/>
        </w:rPr>
        <w:t xml:space="preserve">Problemstillingen blev kort vendt, og det blev aftalt, at Dansk Energi udarbejder et notat ud fra TAG skriftlige kommentarer til </w:t>
      </w:r>
      <w:r w:rsidR="00AB518A">
        <w:rPr>
          <w:rFonts w:ascii="Calibri" w:hAnsi="Calibri"/>
          <w:sz w:val="22"/>
        </w:rPr>
        <w:t>mailen fra Energi- og olieforum</w:t>
      </w:r>
      <w:r>
        <w:rPr>
          <w:rFonts w:ascii="Calibri" w:hAnsi="Calibri"/>
          <w:sz w:val="22"/>
        </w:rPr>
        <w:t>.</w:t>
      </w:r>
    </w:p>
    <w:p w14:paraId="699C68DE" w14:textId="77777777" w:rsidR="00966C92" w:rsidRDefault="00966C92" w:rsidP="007C2727">
      <w:pPr>
        <w:rPr>
          <w:rFonts w:ascii="Calibri" w:hAnsi="Calibri"/>
          <w:sz w:val="22"/>
        </w:rPr>
      </w:pPr>
      <w:r>
        <w:rPr>
          <w:rFonts w:ascii="Calibri" w:hAnsi="Calibri"/>
          <w:sz w:val="22"/>
        </w:rPr>
        <w:t>TAG sender kommentar på udsendte no</w:t>
      </w:r>
      <w:r w:rsidR="004D61A3">
        <w:rPr>
          <w:rFonts w:ascii="Calibri" w:hAnsi="Calibri"/>
          <w:sz w:val="22"/>
        </w:rPr>
        <w:t>tat til DE inden onsdag d. 11/10</w:t>
      </w:r>
      <w:r w:rsidR="00852D43">
        <w:rPr>
          <w:rFonts w:ascii="Calibri" w:hAnsi="Calibri"/>
          <w:sz w:val="22"/>
        </w:rPr>
        <w:t xml:space="preserve">. </w:t>
      </w:r>
    </w:p>
    <w:p w14:paraId="306FFDA5" w14:textId="77777777" w:rsidR="004D61A3" w:rsidRDefault="004D61A3" w:rsidP="007C2727">
      <w:pPr>
        <w:rPr>
          <w:rFonts w:ascii="Calibri" w:hAnsi="Calibri"/>
          <w:sz w:val="22"/>
        </w:rPr>
      </w:pPr>
    </w:p>
    <w:p w14:paraId="53626A1F" w14:textId="77777777" w:rsidR="004E5376" w:rsidRDefault="004E5376" w:rsidP="004E5376">
      <w:pPr>
        <w:pStyle w:val="Listeafsnit"/>
        <w:numPr>
          <w:ilvl w:val="0"/>
          <w:numId w:val="14"/>
        </w:numPr>
        <w:rPr>
          <w:rFonts w:ascii="Calibri" w:hAnsi="Calibri"/>
          <w:b/>
          <w:sz w:val="22"/>
        </w:rPr>
      </w:pPr>
      <w:r w:rsidRPr="004E5376">
        <w:rPr>
          <w:rFonts w:ascii="Calibri" w:hAnsi="Calibri"/>
          <w:b/>
          <w:sz w:val="22"/>
        </w:rPr>
        <w:t>Proces for</w:t>
      </w:r>
      <w:r>
        <w:rPr>
          <w:rFonts w:ascii="Calibri" w:hAnsi="Calibri"/>
          <w:b/>
          <w:sz w:val="22"/>
        </w:rPr>
        <w:t xml:space="preserve"> revision af uddybningskolonnen </w:t>
      </w:r>
    </w:p>
    <w:p w14:paraId="018E1689" w14:textId="77777777" w:rsidR="003841A5" w:rsidRDefault="007D7CD2" w:rsidP="007C2727">
      <w:pPr>
        <w:rPr>
          <w:rFonts w:ascii="Calibri" w:hAnsi="Calibri"/>
          <w:sz w:val="22"/>
        </w:rPr>
      </w:pPr>
      <w:r>
        <w:rPr>
          <w:rFonts w:ascii="Calibri" w:hAnsi="Calibri"/>
          <w:sz w:val="22"/>
        </w:rPr>
        <w:t>Der udestår stadig kommentarer fra dele af TAG. Ny frist aftalt til fredag d. 13/10.</w:t>
      </w:r>
    </w:p>
    <w:p w14:paraId="43032F21" w14:textId="77777777" w:rsidR="00966C92" w:rsidRDefault="007D7CD2" w:rsidP="007C2727">
      <w:pPr>
        <w:rPr>
          <w:rFonts w:ascii="Calibri" w:hAnsi="Calibri"/>
          <w:sz w:val="22"/>
        </w:rPr>
      </w:pPr>
      <w:r>
        <w:rPr>
          <w:rFonts w:ascii="Calibri" w:hAnsi="Calibri"/>
          <w:sz w:val="22"/>
        </w:rPr>
        <w:t xml:space="preserve">Det blev besluttet, at </w:t>
      </w:r>
      <w:r w:rsidR="003B4FA4" w:rsidRPr="00966C92">
        <w:rPr>
          <w:rFonts w:ascii="Calibri" w:hAnsi="Calibri"/>
          <w:sz w:val="22"/>
        </w:rPr>
        <w:t>uddybni</w:t>
      </w:r>
      <w:r>
        <w:rPr>
          <w:rFonts w:ascii="Calibri" w:hAnsi="Calibri"/>
          <w:sz w:val="22"/>
        </w:rPr>
        <w:t>ngskolonne offentligøres 1/11. Det blev også beslu</w:t>
      </w:r>
      <w:r>
        <w:rPr>
          <w:rFonts w:ascii="Calibri" w:hAnsi="Calibri"/>
          <w:sz w:val="22"/>
        </w:rPr>
        <w:t>t</w:t>
      </w:r>
      <w:r>
        <w:rPr>
          <w:rFonts w:ascii="Calibri" w:hAnsi="Calibri"/>
          <w:sz w:val="22"/>
        </w:rPr>
        <w:t>tet, at ENS udarbejder forslag til et separat skema til indrapportering af korrekti</w:t>
      </w:r>
      <w:r>
        <w:rPr>
          <w:rFonts w:ascii="Calibri" w:hAnsi="Calibri"/>
          <w:sz w:val="22"/>
        </w:rPr>
        <w:t>o</w:t>
      </w:r>
      <w:r>
        <w:rPr>
          <w:rFonts w:ascii="Calibri" w:hAnsi="Calibri"/>
          <w:sz w:val="22"/>
        </w:rPr>
        <w:t>ner, hvor samarbejdsorganet så kan indsende et skema for hvert selskab. Udse</w:t>
      </w:r>
      <w:r>
        <w:rPr>
          <w:rFonts w:ascii="Calibri" w:hAnsi="Calibri"/>
          <w:sz w:val="22"/>
        </w:rPr>
        <w:t>n</w:t>
      </w:r>
      <w:r>
        <w:rPr>
          <w:rFonts w:ascii="Calibri" w:hAnsi="Calibri"/>
          <w:sz w:val="22"/>
        </w:rPr>
        <w:t>des sammen med referatet.</w:t>
      </w:r>
    </w:p>
    <w:p w14:paraId="6C33E904" w14:textId="77777777" w:rsidR="007D7CD2" w:rsidRDefault="007D7CD2" w:rsidP="007C2727">
      <w:pPr>
        <w:rPr>
          <w:rFonts w:ascii="Calibri" w:hAnsi="Calibri"/>
          <w:sz w:val="22"/>
        </w:rPr>
      </w:pPr>
    </w:p>
    <w:p w14:paraId="1E7F3691" w14:textId="77777777" w:rsidR="007D7CD2" w:rsidRDefault="00B209D1" w:rsidP="007C2727">
      <w:pPr>
        <w:rPr>
          <w:rFonts w:ascii="Calibri" w:hAnsi="Calibri"/>
          <w:sz w:val="22"/>
        </w:rPr>
      </w:pPr>
      <w:r w:rsidRPr="00015CEB">
        <w:rPr>
          <w:rFonts w:ascii="Calibri" w:hAnsi="Calibri"/>
          <w:sz w:val="22"/>
        </w:rPr>
        <w:t xml:space="preserve">Efter aftale opsummeres her punkterne i </w:t>
      </w:r>
      <w:proofErr w:type="spellStart"/>
      <w:r w:rsidRPr="00015CEB">
        <w:rPr>
          <w:rFonts w:ascii="Calibri" w:hAnsi="Calibri"/>
          <w:sz w:val="22"/>
        </w:rPr>
        <w:t>energispare</w:t>
      </w:r>
      <w:r w:rsidR="007D7CD2" w:rsidRPr="00015CEB">
        <w:rPr>
          <w:rFonts w:ascii="Calibri" w:hAnsi="Calibri"/>
          <w:sz w:val="22"/>
        </w:rPr>
        <w:t>aftale</w:t>
      </w:r>
      <w:r w:rsidRPr="00015CEB">
        <w:rPr>
          <w:rFonts w:ascii="Calibri" w:hAnsi="Calibri"/>
          <w:sz w:val="22"/>
        </w:rPr>
        <w:t>n</w:t>
      </w:r>
      <w:proofErr w:type="spellEnd"/>
      <w:r w:rsidR="007D7CD2" w:rsidRPr="00015CEB">
        <w:rPr>
          <w:rFonts w:ascii="Calibri" w:hAnsi="Calibri"/>
          <w:sz w:val="22"/>
        </w:rPr>
        <w:t xml:space="preserve"> og bekendtgørelse:</w:t>
      </w:r>
    </w:p>
    <w:p w14:paraId="115D12C0" w14:textId="77777777" w:rsidR="00B209D1" w:rsidRPr="00B209D1" w:rsidRDefault="00B209D1" w:rsidP="00B209D1">
      <w:pPr>
        <w:pStyle w:val="Default"/>
        <w:spacing w:line="276" w:lineRule="auto"/>
        <w:rPr>
          <w:rFonts w:cstheme="minorBidi"/>
          <w:color w:val="auto"/>
          <w:sz w:val="20"/>
          <w:szCs w:val="20"/>
        </w:rPr>
      </w:pPr>
      <w:r>
        <w:rPr>
          <w:rFonts w:cstheme="minorBidi"/>
          <w:color w:val="auto"/>
          <w:sz w:val="20"/>
          <w:szCs w:val="20"/>
        </w:rPr>
        <w:t xml:space="preserve">Pkt. 13.5 i </w:t>
      </w:r>
      <w:proofErr w:type="spellStart"/>
      <w:r>
        <w:rPr>
          <w:rFonts w:cstheme="minorBidi"/>
          <w:color w:val="auto"/>
          <w:sz w:val="20"/>
          <w:szCs w:val="20"/>
        </w:rPr>
        <w:t>energispareaftalen</w:t>
      </w:r>
      <w:proofErr w:type="spellEnd"/>
      <w:r>
        <w:rPr>
          <w:rFonts w:cstheme="minorBidi"/>
          <w:color w:val="auto"/>
          <w:sz w:val="20"/>
          <w:szCs w:val="20"/>
        </w:rPr>
        <w:t>: ”</w:t>
      </w:r>
      <w:r w:rsidRPr="00DB539F">
        <w:rPr>
          <w:rFonts w:cstheme="minorBidi"/>
          <w:i/>
          <w:color w:val="auto"/>
          <w:sz w:val="20"/>
          <w:szCs w:val="20"/>
        </w:rPr>
        <w:t>I tilfælde af, at kvalitetskontrol, audit eller Energist</w:t>
      </w:r>
      <w:r w:rsidRPr="00DB539F">
        <w:rPr>
          <w:rFonts w:cstheme="minorBidi"/>
          <w:i/>
          <w:color w:val="auto"/>
          <w:sz w:val="20"/>
          <w:szCs w:val="20"/>
        </w:rPr>
        <w:t>y</w:t>
      </w:r>
      <w:r w:rsidRPr="00DB539F">
        <w:rPr>
          <w:rFonts w:cstheme="minorBidi"/>
          <w:i/>
          <w:color w:val="auto"/>
          <w:sz w:val="20"/>
          <w:szCs w:val="20"/>
        </w:rPr>
        <w:t>relsens stikprøve eller kontrol jf. afsnit 12 giver anledning til korrektioner af indb</w:t>
      </w:r>
      <w:r w:rsidRPr="00DB539F">
        <w:rPr>
          <w:rFonts w:cstheme="minorBidi"/>
          <w:i/>
          <w:color w:val="auto"/>
          <w:sz w:val="20"/>
          <w:szCs w:val="20"/>
        </w:rPr>
        <w:t>e</w:t>
      </w:r>
      <w:r w:rsidRPr="00DB539F">
        <w:rPr>
          <w:rFonts w:cstheme="minorBidi"/>
          <w:i/>
          <w:color w:val="auto"/>
          <w:sz w:val="20"/>
          <w:szCs w:val="20"/>
        </w:rPr>
        <w:t>rettede energibesparelser, skal disse korrektioner foretages i forbindelse med den næstkommende indberetning. Korrektioner af indberettede energibesparelser for et givet år skal fremgå særskilt af indberetningerne for det følgende år, jf. indbere</w:t>
      </w:r>
      <w:r w:rsidRPr="00DB539F">
        <w:rPr>
          <w:rFonts w:cstheme="minorBidi"/>
          <w:i/>
          <w:color w:val="auto"/>
          <w:sz w:val="20"/>
          <w:szCs w:val="20"/>
        </w:rPr>
        <w:t>t</w:t>
      </w:r>
      <w:r w:rsidRPr="00DB539F">
        <w:rPr>
          <w:rFonts w:cstheme="minorBidi"/>
          <w:i/>
          <w:color w:val="auto"/>
          <w:sz w:val="20"/>
          <w:szCs w:val="20"/>
        </w:rPr>
        <w:t>ningsskemaerne som fastsat i bilag 5. ”</w:t>
      </w:r>
    </w:p>
    <w:p w14:paraId="3AA4FA76" w14:textId="77777777" w:rsidR="00B209D1" w:rsidRDefault="00B209D1" w:rsidP="00B209D1">
      <w:pPr>
        <w:pStyle w:val="Default"/>
        <w:spacing w:line="276" w:lineRule="auto"/>
        <w:rPr>
          <w:rFonts w:cstheme="minorBidi"/>
          <w:i/>
          <w:color w:val="auto"/>
          <w:sz w:val="20"/>
          <w:szCs w:val="20"/>
        </w:rPr>
      </w:pPr>
    </w:p>
    <w:p w14:paraId="662948DF" w14:textId="77777777" w:rsidR="00B209D1" w:rsidRDefault="00B209D1" w:rsidP="00B209D1">
      <w:pPr>
        <w:pStyle w:val="Default"/>
        <w:spacing w:line="276" w:lineRule="auto"/>
        <w:rPr>
          <w:rFonts w:cstheme="minorBidi"/>
          <w:color w:val="auto"/>
          <w:sz w:val="20"/>
          <w:szCs w:val="20"/>
        </w:rPr>
      </w:pPr>
      <w:r>
        <w:rPr>
          <w:rFonts w:cstheme="minorBidi"/>
          <w:color w:val="auto"/>
          <w:sz w:val="20"/>
          <w:szCs w:val="20"/>
        </w:rPr>
        <w:t xml:space="preserve">Punkt 13.5 foreskriver altså, at korrektionerne skal angives særskilt for det år, de angår. Derudover står der i beskrivelsen af skema 1 i bilag 5 i </w:t>
      </w:r>
      <w:proofErr w:type="spellStart"/>
      <w:r>
        <w:rPr>
          <w:rFonts w:cstheme="minorBidi"/>
          <w:color w:val="auto"/>
          <w:sz w:val="20"/>
          <w:szCs w:val="20"/>
        </w:rPr>
        <w:t>energispareaftalen</w:t>
      </w:r>
      <w:proofErr w:type="spellEnd"/>
      <w:r>
        <w:rPr>
          <w:rFonts w:cstheme="minorBidi"/>
          <w:color w:val="auto"/>
          <w:sz w:val="20"/>
          <w:szCs w:val="20"/>
        </w:rPr>
        <w:t xml:space="preserve">: </w:t>
      </w:r>
    </w:p>
    <w:p w14:paraId="58DD8234" w14:textId="77777777" w:rsidR="00B209D1" w:rsidRDefault="00B209D1" w:rsidP="00B209D1">
      <w:pPr>
        <w:pStyle w:val="Default"/>
        <w:spacing w:line="276" w:lineRule="auto"/>
        <w:rPr>
          <w:sz w:val="22"/>
          <w:szCs w:val="22"/>
        </w:rPr>
      </w:pPr>
    </w:p>
    <w:p w14:paraId="44D8F402" w14:textId="77777777" w:rsidR="00B209D1" w:rsidRPr="00113AA3" w:rsidRDefault="00B209D1" w:rsidP="00B209D1">
      <w:pPr>
        <w:pStyle w:val="Default"/>
        <w:spacing w:line="276" w:lineRule="auto"/>
        <w:rPr>
          <w:rFonts w:cstheme="minorBidi"/>
          <w:i/>
          <w:color w:val="auto"/>
          <w:sz w:val="20"/>
          <w:szCs w:val="20"/>
        </w:rPr>
      </w:pPr>
      <w:r w:rsidRPr="00113AA3">
        <w:rPr>
          <w:rFonts w:cstheme="minorBidi"/>
          <w:i/>
          <w:color w:val="auto"/>
          <w:sz w:val="20"/>
          <w:szCs w:val="20"/>
        </w:rPr>
        <w:t>”Brancheorganisationerne skal sammen med indberetning af energibesparelserne levere en opsplitning af korrektionerne angivet i linje 10 i tabel. Korrektionerne skal opsplittes på de enkelte net- og distributionsselskaber, og på korrektioner, som følge af fejl fundet i stikprøver, og øvrige korrektioner.”</w:t>
      </w:r>
    </w:p>
    <w:p w14:paraId="5215D8E0" w14:textId="77777777" w:rsidR="00B209D1" w:rsidRDefault="00B209D1" w:rsidP="00B209D1">
      <w:pPr>
        <w:pStyle w:val="Default"/>
        <w:spacing w:line="276" w:lineRule="auto"/>
        <w:rPr>
          <w:rFonts w:cstheme="minorBidi"/>
          <w:color w:val="auto"/>
          <w:sz w:val="20"/>
          <w:szCs w:val="20"/>
        </w:rPr>
      </w:pPr>
    </w:p>
    <w:p w14:paraId="2B2DF5A6" w14:textId="77777777" w:rsidR="00F563DF" w:rsidRDefault="001E3A94" w:rsidP="00B209D1">
      <w:pPr>
        <w:pStyle w:val="Default"/>
        <w:spacing w:line="276" w:lineRule="auto"/>
        <w:rPr>
          <w:rFonts w:cstheme="minorBidi"/>
          <w:color w:val="auto"/>
          <w:sz w:val="20"/>
          <w:szCs w:val="20"/>
        </w:rPr>
      </w:pPr>
      <w:r w:rsidRPr="00F563DF">
        <w:rPr>
          <w:rFonts w:cstheme="minorBidi"/>
          <w:color w:val="auto"/>
          <w:sz w:val="20"/>
          <w:szCs w:val="20"/>
        </w:rPr>
        <w:t xml:space="preserve">Dertil er der en </w:t>
      </w:r>
      <w:r w:rsidR="00B209D1" w:rsidRPr="00F563DF">
        <w:rPr>
          <w:rFonts w:cstheme="minorBidi"/>
          <w:color w:val="auto"/>
          <w:sz w:val="20"/>
          <w:szCs w:val="20"/>
        </w:rPr>
        <w:t>tilføjelse i bekendtgørelsens § 7, stk. 6</w:t>
      </w:r>
      <w:r w:rsidR="007A2AA1" w:rsidRPr="00F563DF">
        <w:rPr>
          <w:rFonts w:cstheme="minorBidi"/>
          <w:color w:val="auto"/>
          <w:sz w:val="20"/>
          <w:szCs w:val="20"/>
        </w:rPr>
        <w:t>, hvor der udover ovenståe</w:t>
      </w:r>
      <w:r w:rsidR="007A2AA1" w:rsidRPr="00F563DF">
        <w:rPr>
          <w:rFonts w:cstheme="minorBidi"/>
          <w:color w:val="auto"/>
          <w:sz w:val="20"/>
          <w:szCs w:val="20"/>
        </w:rPr>
        <w:t>n</w:t>
      </w:r>
      <w:r w:rsidR="007A2AA1" w:rsidRPr="00F563DF">
        <w:rPr>
          <w:rFonts w:cstheme="minorBidi"/>
          <w:color w:val="auto"/>
          <w:sz w:val="20"/>
          <w:szCs w:val="20"/>
        </w:rPr>
        <w:t xml:space="preserve">de også står, at det skal angives, hvilket </w:t>
      </w:r>
      <w:proofErr w:type="spellStart"/>
      <w:r w:rsidR="00B209D1" w:rsidRPr="00F563DF">
        <w:rPr>
          <w:rFonts w:cstheme="minorBidi"/>
          <w:color w:val="auto"/>
          <w:sz w:val="20"/>
          <w:szCs w:val="20"/>
        </w:rPr>
        <w:t>energispareprojekt</w:t>
      </w:r>
      <w:proofErr w:type="spellEnd"/>
      <w:r w:rsidR="00B209D1" w:rsidRPr="00F563DF">
        <w:rPr>
          <w:rFonts w:cstheme="minorBidi"/>
          <w:color w:val="auto"/>
          <w:sz w:val="20"/>
          <w:szCs w:val="20"/>
        </w:rPr>
        <w:t xml:space="preserve"> </w:t>
      </w:r>
      <w:r w:rsidR="007A2AA1" w:rsidRPr="00F563DF">
        <w:rPr>
          <w:rFonts w:cstheme="minorBidi"/>
          <w:color w:val="auto"/>
          <w:sz w:val="20"/>
          <w:szCs w:val="20"/>
        </w:rPr>
        <w:t xml:space="preserve">korrektionen </w:t>
      </w:r>
      <w:r w:rsidR="00B209D1" w:rsidRPr="00F563DF">
        <w:rPr>
          <w:rFonts w:cstheme="minorBidi"/>
          <w:color w:val="auto"/>
          <w:sz w:val="20"/>
          <w:szCs w:val="20"/>
        </w:rPr>
        <w:t xml:space="preserve">vedrører. </w:t>
      </w:r>
      <w:r w:rsidR="00914F01" w:rsidRPr="00F563DF">
        <w:rPr>
          <w:rFonts w:cstheme="minorBidi"/>
          <w:color w:val="auto"/>
          <w:sz w:val="20"/>
          <w:szCs w:val="20"/>
        </w:rPr>
        <w:br/>
        <w:t xml:space="preserve">Dette er indført </w:t>
      </w:r>
      <w:r w:rsidR="001968C8" w:rsidRPr="00F563DF">
        <w:rPr>
          <w:rFonts w:cstheme="minorBidi"/>
          <w:color w:val="auto"/>
          <w:sz w:val="20"/>
          <w:szCs w:val="20"/>
        </w:rPr>
        <w:t>af hensyn til opfølgning på Energistyrelsens afgørelser vedr. korre</w:t>
      </w:r>
      <w:r w:rsidR="001968C8" w:rsidRPr="00F563DF">
        <w:rPr>
          <w:rFonts w:cstheme="minorBidi"/>
          <w:color w:val="auto"/>
          <w:sz w:val="20"/>
          <w:szCs w:val="20"/>
        </w:rPr>
        <w:t>k</w:t>
      </w:r>
      <w:r w:rsidR="001968C8" w:rsidRPr="00F563DF">
        <w:rPr>
          <w:rFonts w:cstheme="minorBidi"/>
          <w:color w:val="auto"/>
          <w:sz w:val="20"/>
          <w:szCs w:val="20"/>
        </w:rPr>
        <w:t xml:space="preserve">tioner </w:t>
      </w:r>
      <w:r w:rsidR="00F563DF" w:rsidRPr="00F563DF">
        <w:rPr>
          <w:rFonts w:cstheme="minorBidi"/>
          <w:color w:val="auto"/>
          <w:sz w:val="20"/>
          <w:szCs w:val="20"/>
        </w:rPr>
        <w:t xml:space="preserve">i forbindelse med stikprøver, samt opfølgning på selskabernes indberettede resultater af audit og kvalitetssikring. </w:t>
      </w:r>
      <w:r w:rsidR="001968C8">
        <w:rPr>
          <w:rFonts w:cstheme="minorBidi"/>
          <w:color w:val="auto"/>
          <w:sz w:val="20"/>
          <w:szCs w:val="20"/>
          <w:highlight w:val="yellow"/>
        </w:rPr>
        <w:br/>
      </w:r>
    </w:p>
    <w:p w14:paraId="1D35A6D7" w14:textId="77777777" w:rsidR="00B209D1" w:rsidRDefault="007A2AA1" w:rsidP="00B209D1">
      <w:pPr>
        <w:pStyle w:val="Default"/>
        <w:spacing w:line="276" w:lineRule="auto"/>
        <w:rPr>
          <w:rFonts w:cstheme="minorBidi"/>
          <w:color w:val="auto"/>
          <w:sz w:val="20"/>
          <w:szCs w:val="20"/>
        </w:rPr>
      </w:pPr>
      <w:r>
        <w:rPr>
          <w:rFonts w:cstheme="minorBidi"/>
          <w:color w:val="auto"/>
          <w:sz w:val="20"/>
          <w:szCs w:val="20"/>
        </w:rPr>
        <w:t xml:space="preserve">Det blev aftalt, at ENS udarbejder et særskilt </w:t>
      </w:r>
      <w:proofErr w:type="spellStart"/>
      <w:r>
        <w:rPr>
          <w:rFonts w:cstheme="minorBidi"/>
          <w:color w:val="auto"/>
          <w:sz w:val="20"/>
          <w:szCs w:val="20"/>
        </w:rPr>
        <w:t>excelark</w:t>
      </w:r>
      <w:proofErr w:type="spellEnd"/>
      <w:r>
        <w:rPr>
          <w:rFonts w:cstheme="minorBidi"/>
          <w:color w:val="auto"/>
          <w:sz w:val="20"/>
          <w:szCs w:val="20"/>
        </w:rPr>
        <w:t>, som skal benyttes for hvert net- og distributionsselskab, og at det er summen af korrektionerne, der skal fre</w:t>
      </w:r>
      <w:r>
        <w:rPr>
          <w:rFonts w:cstheme="minorBidi"/>
          <w:color w:val="auto"/>
          <w:sz w:val="20"/>
          <w:szCs w:val="20"/>
        </w:rPr>
        <w:t>m</w:t>
      </w:r>
      <w:r>
        <w:rPr>
          <w:rFonts w:cstheme="minorBidi"/>
          <w:color w:val="auto"/>
          <w:sz w:val="20"/>
          <w:szCs w:val="20"/>
        </w:rPr>
        <w:t xml:space="preserve">gå af </w:t>
      </w:r>
      <w:r w:rsidR="001E3A94">
        <w:rPr>
          <w:rFonts w:cstheme="minorBidi"/>
          <w:color w:val="auto"/>
          <w:sz w:val="20"/>
          <w:szCs w:val="20"/>
        </w:rPr>
        <w:t xml:space="preserve">det nuværende </w:t>
      </w:r>
      <w:r>
        <w:rPr>
          <w:rFonts w:cstheme="minorBidi"/>
          <w:color w:val="auto"/>
          <w:sz w:val="20"/>
          <w:szCs w:val="20"/>
        </w:rPr>
        <w:t xml:space="preserve">skema 1. </w:t>
      </w:r>
    </w:p>
    <w:p w14:paraId="2E4E4F29" w14:textId="77777777" w:rsidR="007D7CD2" w:rsidRDefault="007D7CD2" w:rsidP="007C2727">
      <w:pPr>
        <w:rPr>
          <w:rFonts w:ascii="Calibri" w:hAnsi="Calibri"/>
          <w:sz w:val="22"/>
        </w:rPr>
      </w:pPr>
    </w:p>
    <w:p w14:paraId="0D3FB58F" w14:textId="77777777" w:rsidR="003B4FA4" w:rsidRDefault="003B4FA4" w:rsidP="007C2727">
      <w:pPr>
        <w:rPr>
          <w:rFonts w:ascii="Calibri" w:hAnsi="Calibri"/>
          <w:b/>
          <w:sz w:val="26"/>
          <w:szCs w:val="26"/>
        </w:rPr>
      </w:pPr>
    </w:p>
    <w:p w14:paraId="6024E45F" w14:textId="77777777" w:rsidR="00731D41" w:rsidRPr="00731D41" w:rsidRDefault="00731D41" w:rsidP="00731D41">
      <w:pPr>
        <w:pStyle w:val="Listeafsnit"/>
        <w:numPr>
          <w:ilvl w:val="0"/>
          <w:numId w:val="1"/>
        </w:numPr>
        <w:ind w:left="0"/>
        <w:rPr>
          <w:rFonts w:ascii="Calibri" w:hAnsi="Calibri"/>
          <w:b/>
          <w:sz w:val="22"/>
        </w:rPr>
      </w:pPr>
      <w:r w:rsidRPr="00731D41">
        <w:rPr>
          <w:rFonts w:ascii="Calibri" w:hAnsi="Calibri"/>
          <w:b/>
          <w:sz w:val="26"/>
          <w:szCs w:val="26"/>
        </w:rPr>
        <w:t>Beslutninger</w:t>
      </w:r>
      <w:r w:rsidR="004E5376">
        <w:rPr>
          <w:rFonts w:ascii="Calibri" w:hAnsi="Calibri"/>
          <w:b/>
          <w:sz w:val="26"/>
          <w:szCs w:val="26"/>
        </w:rPr>
        <w:t xml:space="preserve"> </w:t>
      </w:r>
    </w:p>
    <w:p w14:paraId="0259FDE9" w14:textId="77777777" w:rsidR="00512DC4" w:rsidRPr="003B7289" w:rsidRDefault="00512DC4" w:rsidP="003B7289">
      <w:pPr>
        <w:pStyle w:val="Listeafsnit"/>
        <w:numPr>
          <w:ilvl w:val="0"/>
          <w:numId w:val="19"/>
        </w:numPr>
        <w:rPr>
          <w:rFonts w:ascii="Calibri" w:hAnsi="Calibri"/>
          <w:b/>
          <w:sz w:val="22"/>
        </w:rPr>
      </w:pPr>
      <w:r w:rsidRPr="003B7289">
        <w:rPr>
          <w:rFonts w:ascii="Calibri" w:hAnsi="Calibri"/>
          <w:b/>
          <w:sz w:val="22"/>
        </w:rPr>
        <w:t xml:space="preserve">Graddagekalkulator </w:t>
      </w:r>
    </w:p>
    <w:p w14:paraId="516E8E9D" w14:textId="77777777" w:rsidR="00512DC4" w:rsidRPr="00AB518A" w:rsidRDefault="00512DC4" w:rsidP="00512DC4">
      <w:pPr>
        <w:rPr>
          <w:rFonts w:ascii="Calibri" w:hAnsi="Calibri"/>
          <w:sz w:val="22"/>
        </w:rPr>
      </w:pPr>
      <w:r w:rsidRPr="00AB518A">
        <w:rPr>
          <w:rFonts w:ascii="Calibri" w:hAnsi="Calibri"/>
          <w:sz w:val="22"/>
        </w:rPr>
        <w:t>Vedlagt Bilag 2.d Beslutningsoplæg graddagekorrektion</w:t>
      </w:r>
      <w:r w:rsidR="00AB518A">
        <w:rPr>
          <w:rFonts w:ascii="Calibri" w:hAnsi="Calibri"/>
          <w:sz w:val="22"/>
        </w:rPr>
        <w:t xml:space="preserve">. </w:t>
      </w:r>
    </w:p>
    <w:p w14:paraId="1961F502" w14:textId="77777777" w:rsidR="00AB518A" w:rsidRDefault="00AB518A" w:rsidP="004E5376">
      <w:pPr>
        <w:rPr>
          <w:rFonts w:ascii="Calibri" w:hAnsi="Calibri"/>
          <w:sz w:val="22"/>
        </w:rPr>
      </w:pPr>
    </w:p>
    <w:p w14:paraId="5E00FB48" w14:textId="32EE5229" w:rsidR="00BC6A39" w:rsidRDefault="00AB518A" w:rsidP="00F308AE">
      <w:pPr>
        <w:rPr>
          <w:rFonts w:ascii="Calibri" w:hAnsi="Calibri"/>
          <w:sz w:val="22"/>
        </w:rPr>
      </w:pPr>
      <w:r>
        <w:rPr>
          <w:rFonts w:ascii="Calibri" w:hAnsi="Calibri"/>
          <w:sz w:val="22"/>
        </w:rPr>
        <w:t xml:space="preserve">Energi- og olieforum og Dansk Energi </w:t>
      </w:r>
      <w:r w:rsidR="00BC6A39">
        <w:rPr>
          <w:rFonts w:ascii="Calibri" w:hAnsi="Calibri"/>
          <w:sz w:val="22"/>
        </w:rPr>
        <w:t>mener, at de</w:t>
      </w:r>
      <w:r w:rsidR="002128CD">
        <w:rPr>
          <w:rFonts w:ascii="Calibri" w:hAnsi="Calibri"/>
          <w:sz w:val="22"/>
        </w:rPr>
        <w:t>t</w:t>
      </w:r>
      <w:r w:rsidR="00BC6A39">
        <w:rPr>
          <w:rFonts w:ascii="Calibri" w:hAnsi="Calibri"/>
          <w:sz w:val="22"/>
        </w:rPr>
        <w:t xml:space="preserve"> forslåede </w:t>
      </w:r>
      <w:r w:rsidR="002128CD">
        <w:rPr>
          <w:rFonts w:ascii="Calibri" w:hAnsi="Calibri"/>
          <w:sz w:val="22"/>
        </w:rPr>
        <w:t xml:space="preserve">datagrundlag </w:t>
      </w:r>
      <w:r w:rsidR="00BC6A39">
        <w:rPr>
          <w:rFonts w:ascii="Calibri" w:hAnsi="Calibri"/>
          <w:sz w:val="22"/>
        </w:rPr>
        <w:t>er</w:t>
      </w:r>
      <w:r>
        <w:rPr>
          <w:rFonts w:ascii="Calibri" w:hAnsi="Calibri"/>
          <w:sz w:val="22"/>
        </w:rPr>
        <w:t xml:space="preserve"> unødigt</w:t>
      </w:r>
      <w:r w:rsidR="00BC6A39">
        <w:rPr>
          <w:rFonts w:ascii="Calibri" w:hAnsi="Calibri"/>
          <w:sz w:val="22"/>
        </w:rPr>
        <w:t xml:space="preserve"> deltaljeret</w:t>
      </w:r>
      <w:r w:rsidR="005312FD">
        <w:rPr>
          <w:rFonts w:ascii="Calibri" w:hAnsi="Calibri"/>
          <w:sz w:val="22"/>
        </w:rPr>
        <w:t>,</w:t>
      </w:r>
      <w:r w:rsidR="00BC6A39">
        <w:rPr>
          <w:rFonts w:ascii="Calibri" w:hAnsi="Calibri"/>
          <w:sz w:val="22"/>
        </w:rPr>
        <w:t xml:space="preserve"> og</w:t>
      </w:r>
      <w:r w:rsidR="005312FD">
        <w:rPr>
          <w:rFonts w:ascii="Calibri" w:hAnsi="Calibri"/>
          <w:sz w:val="22"/>
        </w:rPr>
        <w:t xml:space="preserve"> de</w:t>
      </w:r>
      <w:r w:rsidR="00BC6A39">
        <w:rPr>
          <w:rFonts w:ascii="Calibri" w:hAnsi="Calibri"/>
          <w:sz w:val="22"/>
        </w:rPr>
        <w:t xml:space="preserve"> ønsker ikke at medvirke til finansiering. Det</w:t>
      </w:r>
      <w:r w:rsidR="00953A11">
        <w:rPr>
          <w:rFonts w:ascii="Calibri" w:hAnsi="Calibri"/>
          <w:sz w:val="22"/>
        </w:rPr>
        <w:t>,</w:t>
      </w:r>
      <w:r w:rsidR="00BC6A39">
        <w:rPr>
          <w:rFonts w:ascii="Calibri" w:hAnsi="Calibri"/>
          <w:sz w:val="22"/>
        </w:rPr>
        <w:t xml:space="preserve"> der er b</w:t>
      </w:r>
      <w:r w:rsidR="00BC6A39">
        <w:rPr>
          <w:rFonts w:ascii="Calibri" w:hAnsi="Calibri"/>
          <w:sz w:val="22"/>
        </w:rPr>
        <w:t>e</w:t>
      </w:r>
      <w:r w:rsidR="00BC6A39">
        <w:rPr>
          <w:rFonts w:ascii="Calibri" w:hAnsi="Calibri"/>
          <w:sz w:val="22"/>
        </w:rPr>
        <w:t>hov for</w:t>
      </w:r>
      <w:r w:rsidR="00953A11">
        <w:rPr>
          <w:rFonts w:ascii="Calibri" w:hAnsi="Calibri"/>
          <w:sz w:val="22"/>
        </w:rPr>
        <w:t>,</w:t>
      </w:r>
      <w:r w:rsidR="00BC6A39">
        <w:rPr>
          <w:rFonts w:ascii="Calibri" w:hAnsi="Calibri"/>
          <w:sz w:val="22"/>
        </w:rPr>
        <w:t xml:space="preserve"> er en specifikation (reference år og kilde), så det sikres</w:t>
      </w:r>
      <w:r w:rsidR="00953A11">
        <w:rPr>
          <w:rFonts w:ascii="Calibri" w:hAnsi="Calibri"/>
          <w:sz w:val="22"/>
        </w:rPr>
        <w:t>,</w:t>
      </w:r>
      <w:r w:rsidR="00BC6A39">
        <w:rPr>
          <w:rFonts w:ascii="Calibri" w:hAnsi="Calibri"/>
          <w:sz w:val="22"/>
        </w:rPr>
        <w:t xml:space="preserve"> at graddage a</w:t>
      </w:r>
      <w:r w:rsidR="00BC6A39">
        <w:rPr>
          <w:rFonts w:ascii="Calibri" w:hAnsi="Calibri"/>
          <w:sz w:val="22"/>
        </w:rPr>
        <w:t>n</w:t>
      </w:r>
      <w:r w:rsidR="00BC6A39">
        <w:rPr>
          <w:rFonts w:ascii="Calibri" w:hAnsi="Calibri"/>
          <w:sz w:val="22"/>
        </w:rPr>
        <w:t xml:space="preserve">vendes ensartet. </w:t>
      </w:r>
      <w:r w:rsidR="00BA7FF4">
        <w:rPr>
          <w:rFonts w:ascii="Calibri" w:hAnsi="Calibri"/>
          <w:sz w:val="22"/>
        </w:rPr>
        <w:br/>
      </w:r>
    </w:p>
    <w:p w14:paraId="4F057517" w14:textId="77777777" w:rsidR="002128CD" w:rsidRDefault="00BA7FF4" w:rsidP="00BA7FF4">
      <w:pPr>
        <w:rPr>
          <w:rFonts w:ascii="Calibri" w:hAnsi="Calibri"/>
          <w:sz w:val="22"/>
        </w:rPr>
      </w:pPr>
      <w:r>
        <w:rPr>
          <w:rFonts w:ascii="Calibri" w:hAnsi="Calibri"/>
          <w:sz w:val="22"/>
        </w:rPr>
        <w:t>Det blev besluttet, at graddagekalkulatoren</w:t>
      </w:r>
      <w:r w:rsidR="002128CD">
        <w:rPr>
          <w:rFonts w:ascii="Calibri" w:hAnsi="Calibri"/>
          <w:sz w:val="22"/>
        </w:rPr>
        <w:t xml:space="preserve"> med det foreslåede detaljeringsniveau af data bag</w:t>
      </w:r>
      <w:r>
        <w:rPr>
          <w:rFonts w:ascii="Calibri" w:hAnsi="Calibri"/>
          <w:sz w:val="22"/>
        </w:rPr>
        <w:t xml:space="preserve"> ikke skal udvikles. </w:t>
      </w:r>
      <w:r w:rsidR="002128CD">
        <w:rPr>
          <w:rFonts w:ascii="Calibri" w:hAnsi="Calibri"/>
          <w:sz w:val="22"/>
        </w:rPr>
        <w:t>Dansk Fjernvarme overvejer, om selve kalkulatoren fortsat skal udvikles, uden det detaljerede datagrundlag.</w:t>
      </w:r>
    </w:p>
    <w:p w14:paraId="66B4E3C7" w14:textId="7BD2C85B" w:rsidR="00BC6A39" w:rsidRPr="00BC6A39" w:rsidRDefault="00BA7FF4" w:rsidP="00BA7FF4">
      <w:pPr>
        <w:rPr>
          <w:rFonts w:ascii="Calibri" w:hAnsi="Calibri"/>
          <w:sz w:val="22"/>
        </w:rPr>
      </w:pPr>
      <w:r>
        <w:rPr>
          <w:rFonts w:ascii="Calibri" w:hAnsi="Calibri"/>
          <w:sz w:val="22"/>
        </w:rPr>
        <w:t xml:space="preserve">Energistyrelsen </w:t>
      </w:r>
      <w:r w:rsidR="002128CD">
        <w:rPr>
          <w:rFonts w:ascii="Calibri" w:hAnsi="Calibri"/>
          <w:sz w:val="22"/>
        </w:rPr>
        <w:t xml:space="preserve">skal </w:t>
      </w:r>
      <w:r>
        <w:rPr>
          <w:rFonts w:ascii="Calibri" w:hAnsi="Calibri"/>
          <w:sz w:val="22"/>
        </w:rPr>
        <w:t xml:space="preserve">stille krav om, at referenceperioden ved graddagekorrigering er årene </w:t>
      </w:r>
      <w:r w:rsidR="00BC6A39">
        <w:rPr>
          <w:rFonts w:ascii="Calibri" w:hAnsi="Calibri"/>
          <w:sz w:val="22"/>
        </w:rPr>
        <w:t>2006-2015</w:t>
      </w:r>
      <w:r>
        <w:rPr>
          <w:rFonts w:ascii="Calibri" w:hAnsi="Calibri"/>
          <w:sz w:val="22"/>
        </w:rPr>
        <w:t>, og at der skal bruges l</w:t>
      </w:r>
      <w:r w:rsidR="00BC6A39">
        <w:rPr>
          <w:rFonts w:ascii="Calibri" w:hAnsi="Calibri"/>
          <w:sz w:val="22"/>
        </w:rPr>
        <w:t>andsgennemsnit</w:t>
      </w:r>
      <w:r>
        <w:rPr>
          <w:rFonts w:ascii="Calibri" w:hAnsi="Calibri"/>
          <w:sz w:val="22"/>
        </w:rPr>
        <w:t xml:space="preserve"> for graddage</w:t>
      </w:r>
      <w:r w:rsidR="00BC6A39">
        <w:rPr>
          <w:rFonts w:ascii="Calibri" w:hAnsi="Calibri"/>
          <w:sz w:val="22"/>
        </w:rPr>
        <w:t>. Tal</w:t>
      </w:r>
      <w:r>
        <w:rPr>
          <w:rFonts w:ascii="Calibri" w:hAnsi="Calibri"/>
          <w:sz w:val="22"/>
        </w:rPr>
        <w:t>lene skal</w:t>
      </w:r>
      <w:r w:rsidR="00BC6A39">
        <w:rPr>
          <w:rFonts w:ascii="Calibri" w:hAnsi="Calibri"/>
          <w:sz w:val="22"/>
        </w:rPr>
        <w:t xml:space="preserve"> hentes fra DMI’s hjemmeside. </w:t>
      </w:r>
      <w:r>
        <w:rPr>
          <w:rFonts w:ascii="Calibri" w:hAnsi="Calibri"/>
          <w:sz w:val="22"/>
        </w:rPr>
        <w:t xml:space="preserve">Det blev besluttet, at dette skal uddybes i </w:t>
      </w:r>
      <w:proofErr w:type="spellStart"/>
      <w:r>
        <w:rPr>
          <w:rFonts w:ascii="Calibri" w:hAnsi="Calibri"/>
          <w:sz w:val="22"/>
        </w:rPr>
        <w:t>FAQ’en</w:t>
      </w:r>
      <w:proofErr w:type="spellEnd"/>
      <w:r>
        <w:rPr>
          <w:rFonts w:ascii="Calibri" w:hAnsi="Calibri"/>
          <w:sz w:val="22"/>
        </w:rPr>
        <w:t xml:space="preserve"> og at ENS </w:t>
      </w:r>
      <w:r w:rsidR="00BC6A39">
        <w:rPr>
          <w:rFonts w:ascii="Calibri" w:hAnsi="Calibri"/>
          <w:sz w:val="22"/>
        </w:rPr>
        <w:t>udarbejder udkast.</w:t>
      </w:r>
      <w:r w:rsidR="00BC6A39" w:rsidRPr="00BC6A39">
        <w:rPr>
          <w:rFonts w:ascii="Calibri" w:hAnsi="Calibri"/>
          <w:sz w:val="22"/>
        </w:rPr>
        <w:t xml:space="preserve"> </w:t>
      </w:r>
    </w:p>
    <w:p w14:paraId="44933557" w14:textId="77777777" w:rsidR="00BC6A39" w:rsidRDefault="00BC6A39" w:rsidP="00F308AE">
      <w:pPr>
        <w:rPr>
          <w:rFonts w:ascii="Calibri" w:hAnsi="Calibri"/>
          <w:b/>
          <w:sz w:val="26"/>
          <w:szCs w:val="26"/>
        </w:rPr>
      </w:pPr>
    </w:p>
    <w:p w14:paraId="5E722198" w14:textId="77777777" w:rsidR="00BC6A39" w:rsidRPr="00F308AE" w:rsidRDefault="00BC6A39" w:rsidP="00F308AE">
      <w:pPr>
        <w:rPr>
          <w:rFonts w:ascii="Calibri" w:hAnsi="Calibri"/>
          <w:b/>
          <w:sz w:val="26"/>
          <w:szCs w:val="26"/>
        </w:rPr>
      </w:pPr>
    </w:p>
    <w:p w14:paraId="5B7FC000" w14:textId="77777777" w:rsidR="00A4671B" w:rsidRPr="00F308AE" w:rsidRDefault="00A4671B" w:rsidP="00A4671B">
      <w:pPr>
        <w:pStyle w:val="Listeafsnit"/>
        <w:numPr>
          <w:ilvl w:val="0"/>
          <w:numId w:val="1"/>
        </w:numPr>
        <w:ind w:left="0"/>
        <w:rPr>
          <w:rFonts w:ascii="Calibri" w:hAnsi="Calibri"/>
          <w:b/>
          <w:sz w:val="26"/>
          <w:szCs w:val="26"/>
        </w:rPr>
      </w:pPr>
      <w:r w:rsidRPr="00F308AE">
        <w:rPr>
          <w:rFonts w:ascii="Calibri" w:hAnsi="Calibri"/>
          <w:b/>
          <w:sz w:val="26"/>
          <w:szCs w:val="26"/>
        </w:rPr>
        <w:t>Orientering</w:t>
      </w:r>
      <w:r w:rsidR="00ED5FC2" w:rsidRPr="00F308AE">
        <w:rPr>
          <w:rFonts w:ascii="Calibri" w:hAnsi="Calibri"/>
          <w:b/>
          <w:sz w:val="26"/>
          <w:szCs w:val="26"/>
        </w:rPr>
        <w:t xml:space="preserve"> </w:t>
      </w:r>
    </w:p>
    <w:p w14:paraId="4EF59C89" w14:textId="77777777" w:rsidR="00A4671B" w:rsidRPr="00914F01" w:rsidRDefault="00A4671B" w:rsidP="00A4671B">
      <w:pPr>
        <w:pStyle w:val="Listeafsnit"/>
        <w:ind w:left="0"/>
        <w:rPr>
          <w:rFonts w:ascii="Calibri" w:hAnsi="Calibri"/>
          <w:sz w:val="20"/>
          <w:szCs w:val="26"/>
        </w:rPr>
      </w:pPr>
    </w:p>
    <w:p w14:paraId="3F831A1F" w14:textId="77777777" w:rsidR="00914F01" w:rsidRDefault="00B4412C" w:rsidP="00914F01">
      <w:pPr>
        <w:pStyle w:val="Listeafsnit"/>
        <w:numPr>
          <w:ilvl w:val="0"/>
          <w:numId w:val="20"/>
        </w:numPr>
        <w:rPr>
          <w:rFonts w:ascii="Calibri" w:hAnsi="Calibri"/>
          <w:sz w:val="22"/>
        </w:rPr>
      </w:pPr>
      <w:r w:rsidRPr="00914F01">
        <w:rPr>
          <w:rFonts w:ascii="Calibri" w:hAnsi="Calibri"/>
          <w:sz w:val="22"/>
        </w:rPr>
        <w:t>Fastsættelse af</w:t>
      </w:r>
      <w:r w:rsidR="00914F01" w:rsidRPr="00914F01">
        <w:rPr>
          <w:rFonts w:ascii="Calibri" w:hAnsi="Calibri"/>
          <w:sz w:val="22"/>
        </w:rPr>
        <w:t xml:space="preserve"> </w:t>
      </w:r>
      <w:proofErr w:type="spellStart"/>
      <w:r w:rsidR="00914F01">
        <w:rPr>
          <w:rFonts w:ascii="Calibri" w:hAnsi="Calibri"/>
          <w:sz w:val="22"/>
        </w:rPr>
        <w:t>energisparemål</w:t>
      </w:r>
      <w:proofErr w:type="spellEnd"/>
      <w:r w:rsidR="00914F01">
        <w:rPr>
          <w:rFonts w:ascii="Calibri" w:hAnsi="Calibri"/>
          <w:sz w:val="22"/>
        </w:rPr>
        <w:t xml:space="preserve"> i </w:t>
      </w:r>
      <w:proofErr w:type="spellStart"/>
      <w:r w:rsidR="00914F01">
        <w:rPr>
          <w:rFonts w:ascii="Calibri" w:hAnsi="Calibri"/>
          <w:sz w:val="22"/>
        </w:rPr>
        <w:t>energisparebekendtgørelsen</w:t>
      </w:r>
      <w:proofErr w:type="spellEnd"/>
      <w:r w:rsidR="00914F01">
        <w:rPr>
          <w:rFonts w:ascii="Calibri" w:hAnsi="Calibri"/>
          <w:sz w:val="22"/>
        </w:rPr>
        <w:t>, der er under revision og træder i kraft 1.1.2018</w:t>
      </w:r>
    </w:p>
    <w:p w14:paraId="238DF5C0" w14:textId="02C79E1F" w:rsidR="00914F01" w:rsidRDefault="00914F01" w:rsidP="00914F01">
      <w:pPr>
        <w:pStyle w:val="Listeafsnit"/>
        <w:ind w:left="360"/>
        <w:rPr>
          <w:rFonts w:ascii="Calibri" w:hAnsi="Calibri"/>
          <w:sz w:val="22"/>
        </w:rPr>
      </w:pPr>
      <w:proofErr w:type="spellStart"/>
      <w:r>
        <w:rPr>
          <w:rFonts w:ascii="Calibri" w:hAnsi="Calibri"/>
          <w:sz w:val="22"/>
        </w:rPr>
        <w:t>Energisparemålene</w:t>
      </w:r>
      <w:proofErr w:type="spellEnd"/>
      <w:r>
        <w:rPr>
          <w:rFonts w:ascii="Calibri" w:hAnsi="Calibri"/>
          <w:sz w:val="22"/>
        </w:rPr>
        <w:t xml:space="preserve"> skal baseres på energistatistikken, men Energistatistik 2016 bliver først færdig omkring 1. december. Derfor kan slutenergiforbruget i 2016 ikke ligge til grund for </w:t>
      </w:r>
      <w:r w:rsidR="00D34AF1">
        <w:rPr>
          <w:rFonts w:ascii="Calibri" w:hAnsi="Calibri"/>
          <w:sz w:val="22"/>
        </w:rPr>
        <w:t xml:space="preserve">beregningen af </w:t>
      </w:r>
      <w:proofErr w:type="spellStart"/>
      <w:r w:rsidR="00D34AF1">
        <w:rPr>
          <w:rFonts w:ascii="Calibri" w:hAnsi="Calibri"/>
          <w:sz w:val="22"/>
        </w:rPr>
        <w:t>energisparemål</w:t>
      </w:r>
      <w:proofErr w:type="spellEnd"/>
      <w:r w:rsidR="00D34AF1">
        <w:rPr>
          <w:rFonts w:ascii="Calibri" w:hAnsi="Calibri"/>
          <w:sz w:val="22"/>
        </w:rPr>
        <w:t xml:space="preserve"> og gebyrer i h</w:t>
      </w:r>
      <w:r w:rsidR="00D34AF1">
        <w:rPr>
          <w:rFonts w:ascii="Calibri" w:hAnsi="Calibri"/>
          <w:sz w:val="22"/>
        </w:rPr>
        <w:t>ø</w:t>
      </w:r>
      <w:r w:rsidR="00D34AF1">
        <w:rPr>
          <w:rFonts w:ascii="Calibri" w:hAnsi="Calibri"/>
          <w:sz w:val="22"/>
        </w:rPr>
        <w:t>ringsmaterialet, som bliver sendt ud i uge 41</w:t>
      </w:r>
      <w:r w:rsidR="009E7796">
        <w:rPr>
          <w:rFonts w:ascii="Calibri" w:hAnsi="Calibri"/>
          <w:sz w:val="22"/>
        </w:rPr>
        <w:t>-42</w:t>
      </w:r>
      <w:r w:rsidR="00D34AF1">
        <w:rPr>
          <w:rFonts w:ascii="Calibri" w:hAnsi="Calibri"/>
          <w:sz w:val="22"/>
        </w:rPr>
        <w:t>.</w:t>
      </w:r>
    </w:p>
    <w:p w14:paraId="18197C1A" w14:textId="77777777" w:rsidR="00DB388D" w:rsidRPr="00F308AE" w:rsidRDefault="00D34AF1" w:rsidP="00D34AF1">
      <w:pPr>
        <w:pStyle w:val="Listeafsnit"/>
        <w:ind w:left="360"/>
        <w:rPr>
          <w:rFonts w:ascii="Calibri" w:hAnsi="Calibri"/>
          <w:sz w:val="22"/>
          <w:szCs w:val="26"/>
        </w:rPr>
      </w:pPr>
      <w:r>
        <w:rPr>
          <w:rFonts w:ascii="Calibri" w:hAnsi="Calibri"/>
          <w:sz w:val="22"/>
        </w:rPr>
        <w:lastRenderedPageBreak/>
        <w:t xml:space="preserve">TAG angav, at de foretrak, at bekendtgørelsen blev sendt i høring uden </w:t>
      </w:r>
      <w:proofErr w:type="spellStart"/>
      <w:r>
        <w:rPr>
          <w:rFonts w:ascii="Calibri" w:hAnsi="Calibri"/>
          <w:sz w:val="22"/>
        </w:rPr>
        <w:t>sp</w:t>
      </w:r>
      <w:r>
        <w:rPr>
          <w:rFonts w:ascii="Calibri" w:hAnsi="Calibri"/>
          <w:sz w:val="22"/>
        </w:rPr>
        <w:t>a</w:t>
      </w:r>
      <w:r>
        <w:rPr>
          <w:rFonts w:ascii="Calibri" w:hAnsi="Calibri"/>
          <w:sz w:val="22"/>
        </w:rPr>
        <w:t>remål</w:t>
      </w:r>
      <w:proofErr w:type="spellEnd"/>
      <w:r>
        <w:rPr>
          <w:rFonts w:ascii="Calibri" w:hAnsi="Calibri"/>
          <w:sz w:val="22"/>
        </w:rPr>
        <w:t xml:space="preserve">, som så efterfølgende kan </w:t>
      </w:r>
      <w:r w:rsidR="00B4412C">
        <w:rPr>
          <w:rFonts w:ascii="Calibri" w:hAnsi="Calibri"/>
          <w:sz w:val="22"/>
          <w:szCs w:val="26"/>
        </w:rPr>
        <w:t>tilføje</w:t>
      </w:r>
      <w:r>
        <w:rPr>
          <w:rFonts w:ascii="Calibri" w:hAnsi="Calibri"/>
          <w:sz w:val="22"/>
          <w:szCs w:val="26"/>
        </w:rPr>
        <w:t>s inden ikrafttrædelsen</w:t>
      </w:r>
      <w:r w:rsidR="00953A11">
        <w:rPr>
          <w:rFonts w:ascii="Calibri" w:hAnsi="Calibri"/>
          <w:sz w:val="22"/>
          <w:szCs w:val="26"/>
        </w:rPr>
        <w:t>,</w:t>
      </w:r>
      <w:r w:rsidR="00B4412C">
        <w:rPr>
          <w:rFonts w:ascii="Calibri" w:hAnsi="Calibri"/>
          <w:sz w:val="22"/>
          <w:szCs w:val="26"/>
        </w:rPr>
        <w:t xml:space="preserve"> når </w:t>
      </w:r>
      <w:r>
        <w:rPr>
          <w:rFonts w:ascii="Calibri" w:hAnsi="Calibri"/>
          <w:sz w:val="22"/>
          <w:szCs w:val="26"/>
        </w:rPr>
        <w:t>Energi</w:t>
      </w:r>
      <w:r w:rsidR="00B4412C">
        <w:rPr>
          <w:rFonts w:ascii="Calibri" w:hAnsi="Calibri"/>
          <w:sz w:val="22"/>
          <w:szCs w:val="26"/>
        </w:rPr>
        <w:t>stat</w:t>
      </w:r>
      <w:r w:rsidR="00B4412C">
        <w:rPr>
          <w:rFonts w:ascii="Calibri" w:hAnsi="Calibri"/>
          <w:sz w:val="22"/>
          <w:szCs w:val="26"/>
        </w:rPr>
        <w:t>i</w:t>
      </w:r>
      <w:r w:rsidR="00B4412C">
        <w:rPr>
          <w:rFonts w:ascii="Calibri" w:hAnsi="Calibri"/>
          <w:sz w:val="22"/>
          <w:szCs w:val="26"/>
        </w:rPr>
        <w:t xml:space="preserve">stik 2016 </w:t>
      </w:r>
      <w:r>
        <w:rPr>
          <w:rFonts w:ascii="Calibri" w:hAnsi="Calibri"/>
          <w:sz w:val="22"/>
          <w:szCs w:val="26"/>
        </w:rPr>
        <w:t>er offentliggjort. Dansk Energi</w:t>
      </w:r>
      <w:r w:rsidR="00B4412C">
        <w:rPr>
          <w:rFonts w:ascii="Calibri" w:hAnsi="Calibri"/>
          <w:sz w:val="22"/>
          <w:szCs w:val="26"/>
        </w:rPr>
        <w:t xml:space="preserve"> ville dog gerne have de to muligheder udsendt for endelig </w:t>
      </w:r>
      <w:r>
        <w:rPr>
          <w:rFonts w:ascii="Calibri" w:hAnsi="Calibri"/>
          <w:sz w:val="22"/>
          <w:szCs w:val="26"/>
        </w:rPr>
        <w:t>stillingstagen.</w:t>
      </w:r>
      <w:r w:rsidR="00B4412C">
        <w:rPr>
          <w:rFonts w:ascii="Calibri" w:hAnsi="Calibri"/>
          <w:sz w:val="22"/>
          <w:szCs w:val="26"/>
        </w:rPr>
        <w:t xml:space="preserve"> </w:t>
      </w:r>
      <w:r w:rsidR="00BE62D4">
        <w:rPr>
          <w:rFonts w:ascii="Calibri" w:hAnsi="Calibri"/>
          <w:sz w:val="22"/>
          <w:szCs w:val="26"/>
        </w:rPr>
        <w:t xml:space="preserve"> ENS takkede for input, som styrelsen vil inddrage i udarbejdelsen af høringsmaterialet.</w:t>
      </w:r>
    </w:p>
    <w:p w14:paraId="24BAB183" w14:textId="77777777" w:rsidR="003A72BD" w:rsidRPr="00F308AE" w:rsidRDefault="003A72BD" w:rsidP="003A72BD">
      <w:pPr>
        <w:pStyle w:val="Listeafsnit"/>
        <w:ind w:left="360"/>
        <w:rPr>
          <w:rFonts w:ascii="Calibri" w:hAnsi="Calibri"/>
          <w:i/>
          <w:iCs/>
          <w:sz w:val="22"/>
        </w:rPr>
      </w:pPr>
    </w:p>
    <w:p w14:paraId="2938ADAE" w14:textId="77777777" w:rsidR="000D1CB2" w:rsidRPr="00F308AE" w:rsidRDefault="0063149F" w:rsidP="008C0971">
      <w:pPr>
        <w:pStyle w:val="Listeafsnit"/>
        <w:numPr>
          <w:ilvl w:val="0"/>
          <w:numId w:val="1"/>
        </w:numPr>
        <w:ind w:left="0"/>
        <w:rPr>
          <w:rFonts w:ascii="Calibri" w:hAnsi="Calibri"/>
          <w:b/>
        </w:rPr>
      </w:pPr>
      <w:r w:rsidRPr="00F308AE">
        <w:rPr>
          <w:rFonts w:ascii="Calibri" w:hAnsi="Calibri"/>
          <w:b/>
          <w:sz w:val="26"/>
          <w:szCs w:val="26"/>
        </w:rPr>
        <w:t>Næste møde</w:t>
      </w:r>
      <w:r w:rsidR="004F3BA2" w:rsidRPr="00F308AE">
        <w:rPr>
          <w:rFonts w:ascii="Calibri" w:hAnsi="Calibri"/>
          <w:b/>
          <w:sz w:val="26"/>
          <w:szCs w:val="26"/>
        </w:rPr>
        <w:t xml:space="preserve"> og evt.</w:t>
      </w:r>
      <w:r w:rsidR="00A4671B" w:rsidRPr="00F308AE">
        <w:rPr>
          <w:rFonts w:ascii="Calibri" w:hAnsi="Calibri"/>
          <w:b/>
          <w:sz w:val="26"/>
          <w:szCs w:val="26"/>
        </w:rPr>
        <w:t xml:space="preserve"> </w:t>
      </w:r>
    </w:p>
    <w:p w14:paraId="7E6BC3CC" w14:textId="77777777" w:rsidR="00F308AE" w:rsidRPr="001748AC" w:rsidRDefault="00F308AE" w:rsidP="00F308AE">
      <w:pPr>
        <w:rPr>
          <w:rFonts w:ascii="Calibri" w:hAnsi="Calibri"/>
          <w:sz w:val="22"/>
        </w:rPr>
      </w:pPr>
      <w:r w:rsidRPr="00F308AE">
        <w:rPr>
          <w:rFonts w:ascii="Calibri" w:hAnsi="Calibri"/>
          <w:sz w:val="22"/>
        </w:rPr>
        <w:t>Næste mø</w:t>
      </w:r>
      <w:r w:rsidR="001748AC">
        <w:rPr>
          <w:rFonts w:ascii="Calibri" w:hAnsi="Calibri"/>
          <w:sz w:val="22"/>
        </w:rPr>
        <w:t xml:space="preserve">de er 24. oktober kl. 10-12.30, og udsendelsesfristerne er som vanligt. </w:t>
      </w:r>
    </w:p>
    <w:p w14:paraId="07437647" w14:textId="77777777" w:rsidR="001748AC" w:rsidRDefault="001748AC" w:rsidP="00B4412C">
      <w:pPr>
        <w:rPr>
          <w:rFonts w:ascii="Calibri" w:hAnsi="Calibri"/>
          <w:sz w:val="22"/>
        </w:rPr>
      </w:pPr>
    </w:p>
    <w:p w14:paraId="421D3D5C" w14:textId="77777777" w:rsidR="001748AC" w:rsidRPr="001748AC" w:rsidRDefault="001748AC" w:rsidP="001748AC">
      <w:pPr>
        <w:pStyle w:val="Listeafsnit"/>
        <w:numPr>
          <w:ilvl w:val="0"/>
          <w:numId w:val="21"/>
        </w:numPr>
        <w:rPr>
          <w:rFonts w:ascii="Calibri" w:hAnsi="Calibri"/>
          <w:sz w:val="22"/>
        </w:rPr>
      </w:pPr>
      <w:r w:rsidRPr="001748AC">
        <w:rPr>
          <w:rFonts w:ascii="Calibri" w:hAnsi="Calibri"/>
          <w:sz w:val="22"/>
        </w:rPr>
        <w:t>I</w:t>
      </w:r>
      <w:r w:rsidR="00B4412C" w:rsidRPr="001748AC">
        <w:rPr>
          <w:rFonts w:ascii="Calibri" w:hAnsi="Calibri"/>
          <w:sz w:val="22"/>
        </w:rPr>
        <w:t xml:space="preserve">ndeksering </w:t>
      </w:r>
      <w:r w:rsidRPr="001748AC">
        <w:rPr>
          <w:rFonts w:ascii="Calibri" w:hAnsi="Calibri"/>
          <w:sz w:val="22"/>
        </w:rPr>
        <w:t xml:space="preserve">af </w:t>
      </w:r>
      <w:proofErr w:type="spellStart"/>
      <w:r w:rsidRPr="001748AC">
        <w:rPr>
          <w:rFonts w:ascii="Calibri" w:hAnsi="Calibri"/>
          <w:sz w:val="22"/>
        </w:rPr>
        <w:t>energisparemål</w:t>
      </w:r>
      <w:proofErr w:type="spellEnd"/>
      <w:r w:rsidRPr="001748AC">
        <w:rPr>
          <w:rFonts w:ascii="Calibri" w:hAnsi="Calibri"/>
          <w:sz w:val="22"/>
        </w:rPr>
        <w:t xml:space="preserve"> </w:t>
      </w:r>
      <w:r w:rsidR="00B4412C" w:rsidRPr="001748AC">
        <w:rPr>
          <w:rFonts w:ascii="Calibri" w:hAnsi="Calibri"/>
          <w:sz w:val="22"/>
        </w:rPr>
        <w:t>for olie</w:t>
      </w:r>
      <w:r w:rsidRPr="001748AC">
        <w:rPr>
          <w:rFonts w:ascii="Calibri" w:hAnsi="Calibri"/>
          <w:sz w:val="22"/>
        </w:rPr>
        <w:t>selskaberne</w:t>
      </w:r>
      <w:r w:rsidR="00B4412C" w:rsidRPr="001748AC">
        <w:rPr>
          <w:rFonts w:ascii="Calibri" w:hAnsi="Calibri"/>
          <w:sz w:val="22"/>
        </w:rPr>
        <w:t xml:space="preserve">: </w:t>
      </w:r>
    </w:p>
    <w:p w14:paraId="76C7DBC5" w14:textId="28CB8EBD" w:rsidR="001748AC" w:rsidRDefault="00BE62D4" w:rsidP="001748AC">
      <w:pPr>
        <w:pStyle w:val="Listeafsnit"/>
        <w:ind w:left="360"/>
        <w:rPr>
          <w:rFonts w:ascii="Calibri" w:hAnsi="Calibri"/>
          <w:sz w:val="22"/>
          <w:szCs w:val="26"/>
        </w:rPr>
      </w:pPr>
      <w:r>
        <w:rPr>
          <w:rFonts w:ascii="Calibri" w:hAnsi="Calibri"/>
          <w:sz w:val="22"/>
          <w:szCs w:val="26"/>
        </w:rPr>
        <w:t xml:space="preserve">EOF knyttede en kommentar til det udsendte papir om indeksering af oliens </w:t>
      </w:r>
      <w:proofErr w:type="spellStart"/>
      <w:r>
        <w:rPr>
          <w:rFonts w:ascii="Calibri" w:hAnsi="Calibri"/>
          <w:sz w:val="22"/>
          <w:szCs w:val="26"/>
        </w:rPr>
        <w:t>sparemål</w:t>
      </w:r>
      <w:proofErr w:type="spellEnd"/>
      <w:r>
        <w:rPr>
          <w:rFonts w:ascii="Calibri" w:hAnsi="Calibri"/>
          <w:sz w:val="22"/>
          <w:szCs w:val="26"/>
        </w:rPr>
        <w:t xml:space="preserve"> og der var en kort drøftelse heraf. DE fremførte</w:t>
      </w:r>
      <w:r w:rsidR="00015CEB">
        <w:rPr>
          <w:rFonts w:ascii="Calibri" w:hAnsi="Calibri"/>
          <w:sz w:val="22"/>
          <w:szCs w:val="26"/>
        </w:rPr>
        <w:t>,</w:t>
      </w:r>
      <w:r>
        <w:rPr>
          <w:rFonts w:ascii="Calibri" w:hAnsi="Calibri"/>
          <w:sz w:val="22"/>
          <w:szCs w:val="26"/>
        </w:rPr>
        <w:t xml:space="preserve"> at de umiddelbart ikke kunne støtte tiltag, der havde som konsekvens af </w:t>
      </w:r>
      <w:proofErr w:type="spellStart"/>
      <w:r>
        <w:rPr>
          <w:rFonts w:ascii="Calibri" w:hAnsi="Calibri"/>
          <w:sz w:val="22"/>
          <w:szCs w:val="26"/>
        </w:rPr>
        <w:t>EOF’s</w:t>
      </w:r>
      <w:proofErr w:type="spellEnd"/>
      <w:r>
        <w:rPr>
          <w:rFonts w:ascii="Calibri" w:hAnsi="Calibri"/>
          <w:sz w:val="22"/>
          <w:szCs w:val="26"/>
        </w:rPr>
        <w:t xml:space="preserve"> </w:t>
      </w:r>
      <w:proofErr w:type="spellStart"/>
      <w:r>
        <w:rPr>
          <w:rFonts w:ascii="Calibri" w:hAnsi="Calibri"/>
          <w:sz w:val="22"/>
          <w:szCs w:val="26"/>
        </w:rPr>
        <w:t>sparemål</w:t>
      </w:r>
      <w:proofErr w:type="spellEnd"/>
      <w:r>
        <w:rPr>
          <w:rFonts w:ascii="Calibri" w:hAnsi="Calibri"/>
          <w:sz w:val="22"/>
          <w:szCs w:val="26"/>
        </w:rPr>
        <w:t xml:space="preserve"> de facto blev reduceret. Det blev besluttet at TAG svarer skriftligt på det</w:t>
      </w:r>
      <w:r w:rsidR="001748AC">
        <w:rPr>
          <w:rFonts w:ascii="Calibri" w:hAnsi="Calibri"/>
          <w:sz w:val="22"/>
          <w:szCs w:val="26"/>
        </w:rPr>
        <w:t xml:space="preserve"> udsendte b</w:t>
      </w:r>
      <w:r w:rsidR="001748AC">
        <w:rPr>
          <w:rFonts w:ascii="Calibri" w:hAnsi="Calibri"/>
          <w:sz w:val="22"/>
          <w:szCs w:val="26"/>
        </w:rPr>
        <w:t>e</w:t>
      </w:r>
      <w:r w:rsidR="001748AC">
        <w:rPr>
          <w:rFonts w:ascii="Calibri" w:hAnsi="Calibri"/>
          <w:sz w:val="22"/>
          <w:szCs w:val="26"/>
        </w:rPr>
        <w:t>slutningsoplæg</w:t>
      </w:r>
      <w:r>
        <w:rPr>
          <w:rFonts w:ascii="Calibri" w:hAnsi="Calibri"/>
          <w:sz w:val="22"/>
          <w:szCs w:val="26"/>
        </w:rPr>
        <w:t>, hvorefter punktet vil blive diskuteret på næste TAG</w:t>
      </w:r>
      <w:r w:rsidR="001748AC">
        <w:rPr>
          <w:rFonts w:ascii="Calibri" w:hAnsi="Calibri"/>
          <w:sz w:val="22"/>
          <w:szCs w:val="26"/>
        </w:rPr>
        <w:t xml:space="preserve">. TAG har frist til 12. oktober til at kommentere skriftligt. </w:t>
      </w:r>
      <w:r w:rsidR="001748AC">
        <w:rPr>
          <w:rFonts w:ascii="Calibri" w:hAnsi="Calibri"/>
          <w:sz w:val="22"/>
          <w:szCs w:val="26"/>
        </w:rPr>
        <w:br/>
      </w:r>
    </w:p>
    <w:p w14:paraId="6C46FD3D" w14:textId="77777777" w:rsidR="00B4412C" w:rsidRPr="001748AC" w:rsidRDefault="00B4412C" w:rsidP="001748AC">
      <w:pPr>
        <w:pStyle w:val="Listeafsnit"/>
        <w:numPr>
          <w:ilvl w:val="0"/>
          <w:numId w:val="21"/>
        </w:numPr>
        <w:rPr>
          <w:rFonts w:ascii="Calibri" w:hAnsi="Calibri"/>
          <w:sz w:val="22"/>
        </w:rPr>
      </w:pPr>
      <w:r w:rsidRPr="001748AC">
        <w:rPr>
          <w:rFonts w:ascii="Calibri" w:hAnsi="Calibri"/>
          <w:sz w:val="22"/>
        </w:rPr>
        <w:t>Nøgletal</w:t>
      </w:r>
      <w:r w:rsidR="001748AC">
        <w:rPr>
          <w:rFonts w:ascii="Calibri" w:hAnsi="Calibri"/>
          <w:sz w:val="22"/>
        </w:rPr>
        <w:t xml:space="preserve"> i aftalens pkt. 10.4.9:</w:t>
      </w:r>
    </w:p>
    <w:p w14:paraId="69994AD3" w14:textId="363BADAF" w:rsidR="001748AC" w:rsidRDefault="00BC6A39" w:rsidP="00F308AE">
      <w:pPr>
        <w:rPr>
          <w:rFonts w:ascii="Calibri" w:hAnsi="Calibri"/>
          <w:sz w:val="22"/>
        </w:rPr>
      </w:pPr>
      <w:r>
        <w:rPr>
          <w:rFonts w:ascii="Calibri" w:hAnsi="Calibri"/>
          <w:sz w:val="22"/>
        </w:rPr>
        <w:t>TAG vil gerne have</w:t>
      </w:r>
      <w:r w:rsidR="00953A11">
        <w:rPr>
          <w:rFonts w:ascii="Calibri" w:hAnsi="Calibri"/>
          <w:sz w:val="22"/>
        </w:rPr>
        <w:t>,</w:t>
      </w:r>
      <w:r>
        <w:rPr>
          <w:rFonts w:ascii="Calibri" w:hAnsi="Calibri"/>
          <w:sz w:val="22"/>
        </w:rPr>
        <w:t xml:space="preserve"> at </w:t>
      </w:r>
      <w:r w:rsidR="00953A11">
        <w:rPr>
          <w:rFonts w:ascii="Calibri" w:hAnsi="Calibri"/>
          <w:sz w:val="22"/>
        </w:rPr>
        <w:t>ENS</w:t>
      </w:r>
      <w:r>
        <w:rPr>
          <w:rFonts w:ascii="Calibri" w:hAnsi="Calibri"/>
          <w:sz w:val="22"/>
        </w:rPr>
        <w:t xml:space="preserve"> </w:t>
      </w:r>
      <w:r w:rsidR="00BE62D4">
        <w:rPr>
          <w:rFonts w:ascii="Calibri" w:hAnsi="Calibri"/>
          <w:sz w:val="22"/>
        </w:rPr>
        <w:t>giver eksempler på, hvilke</w:t>
      </w:r>
      <w:r>
        <w:rPr>
          <w:rFonts w:ascii="Calibri" w:hAnsi="Calibri"/>
          <w:sz w:val="22"/>
        </w:rPr>
        <w:t xml:space="preserve"> konkrete kilder, </w:t>
      </w:r>
      <w:r w:rsidR="00BE62D4">
        <w:rPr>
          <w:rFonts w:ascii="Calibri" w:hAnsi="Calibri"/>
          <w:sz w:val="22"/>
        </w:rPr>
        <w:t>det typisk vil være ok</w:t>
      </w:r>
      <w:r>
        <w:rPr>
          <w:rFonts w:ascii="Calibri" w:hAnsi="Calibri"/>
          <w:sz w:val="22"/>
        </w:rPr>
        <w:t xml:space="preserve"> at benytte. Benytter man egne nøgle tal</w:t>
      </w:r>
      <w:r w:rsidR="00953A11">
        <w:rPr>
          <w:rFonts w:ascii="Calibri" w:hAnsi="Calibri"/>
          <w:sz w:val="22"/>
        </w:rPr>
        <w:t>,</w:t>
      </w:r>
      <w:r>
        <w:rPr>
          <w:rFonts w:ascii="Calibri" w:hAnsi="Calibri"/>
          <w:sz w:val="22"/>
        </w:rPr>
        <w:t xml:space="preserve"> er det eget ansvar at dokume</w:t>
      </w:r>
      <w:r>
        <w:rPr>
          <w:rFonts w:ascii="Calibri" w:hAnsi="Calibri"/>
          <w:sz w:val="22"/>
        </w:rPr>
        <w:t>n</w:t>
      </w:r>
      <w:r>
        <w:rPr>
          <w:rFonts w:ascii="Calibri" w:hAnsi="Calibri"/>
          <w:sz w:val="22"/>
        </w:rPr>
        <w:t>tere. TAG vender med bagland</w:t>
      </w:r>
      <w:r w:rsidR="00953A11">
        <w:rPr>
          <w:rFonts w:ascii="Calibri" w:hAnsi="Calibri"/>
          <w:sz w:val="22"/>
        </w:rPr>
        <w:t>,</w:t>
      </w:r>
      <w:r>
        <w:rPr>
          <w:rFonts w:ascii="Calibri" w:hAnsi="Calibri"/>
          <w:sz w:val="22"/>
        </w:rPr>
        <w:t xml:space="preserve"> hvilke </w:t>
      </w:r>
      <w:r w:rsidR="00F846E0">
        <w:rPr>
          <w:rFonts w:ascii="Calibri" w:hAnsi="Calibri"/>
          <w:sz w:val="22"/>
        </w:rPr>
        <w:t>kilder</w:t>
      </w:r>
      <w:r w:rsidR="00015CEB">
        <w:rPr>
          <w:rFonts w:ascii="Calibri" w:hAnsi="Calibri"/>
          <w:sz w:val="22"/>
        </w:rPr>
        <w:t>,</w:t>
      </w:r>
      <w:r w:rsidR="00796110">
        <w:rPr>
          <w:rFonts w:ascii="Calibri" w:hAnsi="Calibri"/>
          <w:sz w:val="22"/>
        </w:rPr>
        <w:t xml:space="preserve"> de ge</w:t>
      </w:r>
      <w:r w:rsidR="00015CEB">
        <w:rPr>
          <w:rFonts w:ascii="Calibri" w:hAnsi="Calibri"/>
          <w:sz w:val="22"/>
        </w:rPr>
        <w:t>rn</w:t>
      </w:r>
      <w:r w:rsidR="00796110">
        <w:rPr>
          <w:rFonts w:ascii="Calibri" w:hAnsi="Calibri"/>
          <w:sz w:val="22"/>
        </w:rPr>
        <w:t>e anvender</w:t>
      </w:r>
      <w:r w:rsidR="00015CEB">
        <w:rPr>
          <w:rFonts w:ascii="Calibri" w:hAnsi="Calibri"/>
          <w:sz w:val="22"/>
        </w:rPr>
        <w:t>,</w:t>
      </w:r>
      <w:r w:rsidR="00796110">
        <w:rPr>
          <w:rFonts w:ascii="Calibri" w:hAnsi="Calibri"/>
          <w:sz w:val="22"/>
        </w:rPr>
        <w:t xml:space="preserve"> og </w:t>
      </w:r>
      <w:r w:rsidR="00015CEB">
        <w:rPr>
          <w:rFonts w:ascii="Calibri" w:hAnsi="Calibri"/>
          <w:sz w:val="22"/>
        </w:rPr>
        <w:t xml:space="preserve">som de </w:t>
      </w:r>
      <w:r w:rsidR="00796110">
        <w:rPr>
          <w:rFonts w:ascii="Calibri" w:hAnsi="Calibri"/>
          <w:sz w:val="22"/>
        </w:rPr>
        <w:t>m</w:t>
      </w:r>
      <w:r w:rsidR="00796110">
        <w:rPr>
          <w:rFonts w:ascii="Calibri" w:hAnsi="Calibri"/>
          <w:sz w:val="22"/>
        </w:rPr>
        <w:t>e</w:t>
      </w:r>
      <w:r w:rsidR="00796110">
        <w:rPr>
          <w:rFonts w:ascii="Calibri" w:hAnsi="Calibri"/>
          <w:sz w:val="22"/>
        </w:rPr>
        <w:t>ner</w:t>
      </w:r>
      <w:r w:rsidR="00015CEB">
        <w:rPr>
          <w:rFonts w:ascii="Calibri" w:hAnsi="Calibri"/>
          <w:sz w:val="22"/>
        </w:rPr>
        <w:t>,</w:t>
      </w:r>
      <w:r>
        <w:rPr>
          <w:rFonts w:ascii="Calibri" w:hAnsi="Calibri"/>
          <w:sz w:val="22"/>
        </w:rPr>
        <w:t xml:space="preserve"> er aktuelle</w:t>
      </w:r>
      <w:r w:rsidR="00796110">
        <w:rPr>
          <w:rFonts w:ascii="Calibri" w:hAnsi="Calibri"/>
          <w:sz w:val="22"/>
        </w:rPr>
        <w:t xml:space="preserve"> som eksempler på troværdige kilder</w:t>
      </w:r>
      <w:r>
        <w:rPr>
          <w:rFonts w:ascii="Calibri" w:hAnsi="Calibri"/>
          <w:sz w:val="22"/>
        </w:rPr>
        <w:t>.</w:t>
      </w:r>
      <w:r w:rsidR="00796110">
        <w:rPr>
          <w:rFonts w:ascii="Calibri" w:hAnsi="Calibri"/>
          <w:sz w:val="22"/>
        </w:rPr>
        <w:t xml:space="preserve"> </w:t>
      </w:r>
    </w:p>
    <w:p w14:paraId="6324F6A1" w14:textId="537826C2" w:rsidR="00D71AC9" w:rsidRPr="0020047C" w:rsidRDefault="001748AC" w:rsidP="00F308AE">
      <w:pPr>
        <w:pStyle w:val="Listeafsnit"/>
        <w:numPr>
          <w:ilvl w:val="0"/>
          <w:numId w:val="21"/>
        </w:numPr>
        <w:rPr>
          <w:rFonts w:ascii="Calibri" w:hAnsi="Calibri"/>
          <w:sz w:val="22"/>
        </w:rPr>
      </w:pPr>
      <w:r w:rsidRPr="0020047C">
        <w:rPr>
          <w:rFonts w:ascii="Calibri" w:hAnsi="Calibri"/>
          <w:sz w:val="22"/>
        </w:rPr>
        <w:t>TAG vil gerne orienteres, når Energistyrelsen lancerer relevante</w:t>
      </w:r>
      <w:r w:rsidR="00BC6A39" w:rsidRPr="0020047C">
        <w:rPr>
          <w:rFonts w:ascii="Calibri" w:hAnsi="Calibri"/>
          <w:sz w:val="22"/>
        </w:rPr>
        <w:t xml:space="preserve"> kampagner</w:t>
      </w:r>
      <w:r w:rsidRPr="0020047C">
        <w:rPr>
          <w:rFonts w:ascii="Calibri" w:hAnsi="Calibri"/>
          <w:sz w:val="22"/>
        </w:rPr>
        <w:t xml:space="preserve">, som f.eks. </w:t>
      </w:r>
      <w:r w:rsidR="00BC6A39" w:rsidRPr="0020047C">
        <w:rPr>
          <w:rFonts w:ascii="Calibri" w:hAnsi="Calibri"/>
          <w:sz w:val="22"/>
        </w:rPr>
        <w:t>landbrugs</w:t>
      </w:r>
      <w:r w:rsidRPr="0020047C">
        <w:rPr>
          <w:rFonts w:ascii="Calibri" w:hAnsi="Calibri"/>
          <w:sz w:val="22"/>
        </w:rPr>
        <w:t>kampagnen, der kører pt</w:t>
      </w:r>
    </w:p>
    <w:p w14:paraId="1C165C3A" w14:textId="77777777" w:rsidR="00D71AC9" w:rsidRDefault="001748AC" w:rsidP="001748AC">
      <w:pPr>
        <w:pStyle w:val="Listeafsnit"/>
        <w:numPr>
          <w:ilvl w:val="0"/>
          <w:numId w:val="21"/>
        </w:numPr>
        <w:rPr>
          <w:rFonts w:ascii="Calibri" w:hAnsi="Calibri"/>
          <w:sz w:val="22"/>
        </w:rPr>
      </w:pPr>
      <w:r>
        <w:rPr>
          <w:rFonts w:ascii="Calibri" w:hAnsi="Calibri"/>
          <w:sz w:val="22"/>
        </w:rPr>
        <w:t>Notat om kornafrens, som Dansk Energi udarbejder frem mod næste møde, bliver formentligt med et lidt bredere fokus på affaldsprodukter. Dansk Energi drøfter med de øvrige. TAG sender forslag til, hvordan andre, f.eks. EU, defin</w:t>
      </w:r>
      <w:r>
        <w:rPr>
          <w:rFonts w:ascii="Calibri" w:hAnsi="Calibri"/>
          <w:sz w:val="22"/>
        </w:rPr>
        <w:t>e</w:t>
      </w:r>
      <w:r>
        <w:rPr>
          <w:rFonts w:ascii="Calibri" w:hAnsi="Calibri"/>
          <w:sz w:val="22"/>
        </w:rPr>
        <w:t>rer det.</w:t>
      </w:r>
    </w:p>
    <w:p w14:paraId="20DCD977" w14:textId="77777777" w:rsidR="00D34AF1" w:rsidRPr="00B4412C" w:rsidRDefault="00D34AF1" w:rsidP="00F308AE">
      <w:pPr>
        <w:rPr>
          <w:rFonts w:ascii="Calibri" w:hAnsi="Calibri"/>
          <w:sz w:val="22"/>
        </w:rPr>
      </w:pPr>
    </w:p>
    <w:sectPr w:rsidR="00D34AF1" w:rsidRPr="00B4412C" w:rsidSect="000A08E2">
      <w:headerReference w:type="even" r:id="rId9"/>
      <w:headerReference w:type="default" r:id="rId10"/>
      <w:footerReference w:type="even" r:id="rId11"/>
      <w:footerReference w:type="default" r:id="rId12"/>
      <w:headerReference w:type="first" r:id="rId13"/>
      <w:footerReference w:type="first" r:id="rId14"/>
      <w:pgSz w:w="11906" w:h="16838" w:code="9"/>
      <w:pgMar w:top="2767" w:right="3260" w:bottom="1701" w:left="1247"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A3A9AC" w15:done="0"/>
  <w15:commentEx w15:paraId="65D1105B" w15:paraIdParent="21A3A9AC" w15:done="0"/>
  <w15:commentEx w15:paraId="0BAAB395" w15:done="0"/>
  <w15:commentEx w15:paraId="4867BED1" w15:done="0"/>
  <w15:commentEx w15:paraId="089F9A61" w15:done="0"/>
  <w15:commentEx w15:paraId="57E9FCD3" w15:done="0"/>
  <w15:commentEx w15:paraId="7D33A926" w15:done="0"/>
  <w15:commentEx w15:paraId="479E6D55" w15:paraIdParent="7D33A926" w15:done="0"/>
  <w15:commentEx w15:paraId="74E083C1" w15:done="0"/>
  <w15:commentEx w15:paraId="3D11C2FF" w15:paraIdParent="74E083C1" w15:done="0"/>
  <w15:commentEx w15:paraId="02A21850" w15:done="0"/>
  <w15:commentEx w15:paraId="789FAC2D" w15:paraIdParent="02A218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A3A9AC" w16cid:durableId="1D919CD2"/>
  <w16cid:commentId w16cid:paraId="65D1105B" w16cid:durableId="1D9300AD"/>
  <w16cid:commentId w16cid:paraId="0BAAB395" w16cid:durableId="1D919D17"/>
  <w16cid:commentId w16cid:paraId="4867BED1" w16cid:durableId="1D930107"/>
  <w16cid:commentId w16cid:paraId="089F9A61" w16cid:durableId="1D930164"/>
  <w16cid:commentId w16cid:paraId="57E9FCD3" w16cid:durableId="1D919DAD"/>
  <w16cid:commentId w16cid:paraId="7D33A926" w16cid:durableId="1D919DD6"/>
  <w16cid:commentId w16cid:paraId="479E6D55" w16cid:durableId="1D9302D1"/>
  <w16cid:commentId w16cid:paraId="74E083C1" w16cid:durableId="1D92F5FD"/>
  <w16cid:commentId w16cid:paraId="3D11C2FF" w16cid:durableId="1D930381"/>
  <w16cid:commentId w16cid:paraId="02A21850" w16cid:durableId="1D92F700"/>
  <w16cid:commentId w16cid:paraId="789FAC2D" w16cid:durableId="1D9304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F6483" w14:textId="77777777" w:rsidR="00EA08B6" w:rsidRDefault="00EA08B6" w:rsidP="008969C1">
      <w:pPr>
        <w:spacing w:line="240" w:lineRule="auto"/>
      </w:pPr>
      <w:r>
        <w:separator/>
      </w:r>
    </w:p>
  </w:endnote>
  <w:endnote w:type="continuationSeparator" w:id="0">
    <w:p w14:paraId="632E9238" w14:textId="77777777" w:rsidR="00EA08B6" w:rsidRDefault="00EA08B6" w:rsidP="008969C1">
      <w:pPr>
        <w:spacing w:line="240" w:lineRule="auto"/>
      </w:pPr>
      <w:r>
        <w:continuationSeparator/>
      </w:r>
    </w:p>
  </w:endnote>
  <w:endnote w:type="continuationNotice" w:id="1">
    <w:p w14:paraId="4BC99D2C" w14:textId="77777777" w:rsidR="00EA08B6" w:rsidRDefault="00EA08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6EA06" w14:textId="77777777" w:rsidR="009B01E4" w:rsidRDefault="009B01E4">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45415" w14:textId="75106D04" w:rsidR="009B01E4" w:rsidRPr="002A4EDA" w:rsidRDefault="009B01E4">
    <w:pPr>
      <w:pStyle w:val="Sidefod"/>
    </w:pPr>
    <w:r w:rsidRPr="002A4EDA">
      <w:t xml:space="preserve">Side </w:t>
    </w:r>
    <w:r w:rsidRPr="002A4EDA">
      <w:fldChar w:fldCharType="begin"/>
    </w:r>
    <w:r w:rsidRPr="002A4EDA">
      <w:instrText xml:space="preserve"> PAGE </w:instrText>
    </w:r>
    <w:r w:rsidRPr="002A4EDA">
      <w:fldChar w:fldCharType="separate"/>
    </w:r>
    <w:r w:rsidR="00491EF8">
      <w:rPr>
        <w:noProof/>
      </w:rPr>
      <w:t>2</w:t>
    </w:r>
    <w:r w:rsidRPr="002A4EDA">
      <w:fldChar w:fldCharType="end"/>
    </w:r>
    <w:r w:rsidRPr="002A4EDA">
      <w:t>/</w:t>
    </w:r>
    <w:fldSimple w:instr=" NUMPAGES ">
      <w:r w:rsidR="00491EF8">
        <w:rPr>
          <w:noProof/>
        </w:rPr>
        <w:t>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A8DB3" w14:textId="32F1BFC7" w:rsidR="009B01E4" w:rsidRPr="002A4EDA" w:rsidRDefault="009B01E4">
    <w:pPr>
      <w:pStyle w:val="Sidefod"/>
    </w:pPr>
    <w:r w:rsidRPr="002A4EDA">
      <w:rPr>
        <w:noProof/>
        <w:lang w:eastAsia="da-DK"/>
      </w:rPr>
      <mc:AlternateContent>
        <mc:Choice Requires="wps">
          <w:drawing>
            <wp:anchor distT="0" distB="0" distL="114300" distR="114300" simplePos="0" relativeHeight="251656704" behindDoc="0" locked="0" layoutInCell="1" allowOverlap="1" wp14:anchorId="0D2F53F0" wp14:editId="6BB3E392">
              <wp:simplePos x="0" y="0"/>
              <wp:positionH relativeFrom="page">
                <wp:posOffset>5614988</wp:posOffset>
              </wp:positionH>
              <wp:positionV relativeFrom="page">
                <wp:posOffset>8943975</wp:posOffset>
              </wp:positionV>
              <wp:extent cx="1747520" cy="1433513"/>
              <wp:effectExtent l="0" t="0" r="0" b="0"/>
              <wp:wrapNone/>
              <wp:docPr id="2" name="Tekstboks 2"/>
              <wp:cNvGraphicFramePr/>
              <a:graphic xmlns:a="http://schemas.openxmlformats.org/drawingml/2006/main">
                <a:graphicData uri="http://schemas.microsoft.com/office/word/2010/wordprocessingShape">
                  <wps:wsp>
                    <wps:cNvSpPr txBox="1"/>
                    <wps:spPr>
                      <a:xfrm>
                        <a:off x="0" y="0"/>
                        <a:ext cx="1747520" cy="1433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F558AD" w14:textId="77777777" w:rsidR="009B01E4" w:rsidRDefault="009B01E4" w:rsidP="003B7D18">
                          <w:pPr>
                            <w:spacing w:line="192" w:lineRule="atLeast"/>
                            <w:rPr>
                              <w:b/>
                              <w:sz w:val="16"/>
                              <w:szCs w:val="16"/>
                            </w:rPr>
                          </w:pPr>
                          <w:r w:rsidRPr="00110084">
                            <w:rPr>
                              <w:b/>
                              <w:sz w:val="16"/>
                              <w:szCs w:val="16"/>
                            </w:rPr>
                            <w:t>Energistyrelsen</w:t>
                          </w:r>
                        </w:p>
                        <w:p w14:paraId="0557E0C8" w14:textId="77777777" w:rsidR="009B01E4" w:rsidRPr="00AB4885" w:rsidRDefault="009B01E4" w:rsidP="00F714AB">
                          <w:pPr>
                            <w:spacing w:line="192" w:lineRule="atLeast"/>
                            <w:rPr>
                              <w:sz w:val="16"/>
                              <w:szCs w:val="16"/>
                            </w:rPr>
                          </w:pPr>
                        </w:p>
                        <w:p w14:paraId="17571CC5" w14:textId="77777777" w:rsidR="009B01E4" w:rsidRPr="00110084" w:rsidRDefault="009B01E4" w:rsidP="00110084">
                          <w:pPr>
                            <w:spacing w:line="192" w:lineRule="atLeast"/>
                            <w:rPr>
                              <w:sz w:val="16"/>
                              <w:szCs w:val="16"/>
                            </w:rPr>
                          </w:pPr>
                          <w:r w:rsidRPr="00110084">
                            <w:rPr>
                              <w:sz w:val="16"/>
                              <w:szCs w:val="16"/>
                            </w:rPr>
                            <w:t>Amaliegade 44</w:t>
                          </w:r>
                        </w:p>
                        <w:p w14:paraId="03F76951" w14:textId="77777777" w:rsidR="009B01E4" w:rsidRDefault="009B01E4" w:rsidP="00110084">
                          <w:pPr>
                            <w:spacing w:line="192" w:lineRule="atLeast"/>
                            <w:rPr>
                              <w:sz w:val="16"/>
                              <w:szCs w:val="16"/>
                            </w:rPr>
                          </w:pPr>
                          <w:r w:rsidRPr="00110084">
                            <w:rPr>
                              <w:sz w:val="16"/>
                              <w:szCs w:val="16"/>
                            </w:rPr>
                            <w:t>1256 København K</w:t>
                          </w:r>
                        </w:p>
                        <w:p w14:paraId="4590014C" w14:textId="77777777" w:rsidR="009B01E4" w:rsidRPr="00F714AB" w:rsidRDefault="009B01E4" w:rsidP="00F714AB">
                          <w:pPr>
                            <w:spacing w:line="192" w:lineRule="atLeast"/>
                            <w:rPr>
                              <w:sz w:val="16"/>
                              <w:szCs w:val="16"/>
                            </w:rPr>
                          </w:pPr>
                        </w:p>
                        <w:p w14:paraId="408E9547" w14:textId="77777777" w:rsidR="009B01E4" w:rsidRPr="00110084" w:rsidRDefault="009B01E4" w:rsidP="00110084">
                          <w:pPr>
                            <w:spacing w:line="192" w:lineRule="atLeast"/>
                            <w:rPr>
                              <w:sz w:val="16"/>
                              <w:szCs w:val="16"/>
                            </w:rPr>
                          </w:pPr>
                          <w:r w:rsidRPr="00110084">
                            <w:rPr>
                              <w:sz w:val="16"/>
                              <w:szCs w:val="16"/>
                            </w:rPr>
                            <w:t>T: +45 3392 6700</w:t>
                          </w:r>
                        </w:p>
                        <w:p w14:paraId="3901A860" w14:textId="77777777" w:rsidR="009B01E4" w:rsidRDefault="009B01E4" w:rsidP="00110084">
                          <w:pPr>
                            <w:spacing w:line="192" w:lineRule="atLeast"/>
                            <w:rPr>
                              <w:sz w:val="16"/>
                              <w:szCs w:val="16"/>
                            </w:rPr>
                          </w:pPr>
                          <w:r w:rsidRPr="00110084">
                            <w:rPr>
                              <w:sz w:val="16"/>
                              <w:szCs w:val="16"/>
                            </w:rPr>
                            <w:t>E: ens@ens.dk</w:t>
                          </w:r>
                        </w:p>
                        <w:p w14:paraId="0FA52DB7" w14:textId="77777777" w:rsidR="009B01E4" w:rsidRPr="00F714AB" w:rsidRDefault="009B01E4" w:rsidP="00F714AB">
                          <w:pPr>
                            <w:spacing w:line="192" w:lineRule="atLeast"/>
                            <w:rPr>
                              <w:sz w:val="16"/>
                              <w:szCs w:val="16"/>
                            </w:rPr>
                          </w:pPr>
                        </w:p>
                        <w:p w14:paraId="4ED779DB" w14:textId="77777777" w:rsidR="009B01E4" w:rsidRPr="00F714AB" w:rsidRDefault="009B01E4" w:rsidP="00F714AB">
                          <w:pPr>
                            <w:spacing w:line="192" w:lineRule="atLeast"/>
                            <w:rPr>
                              <w:sz w:val="16"/>
                              <w:szCs w:val="16"/>
                            </w:rPr>
                          </w:pPr>
                          <w:r>
                            <w:rPr>
                              <w:sz w:val="16"/>
                              <w:szCs w:val="16"/>
                            </w:rPr>
                            <w:t>www.ens</w:t>
                          </w:r>
                          <w:r w:rsidRPr="00F714AB">
                            <w:rPr>
                              <w:sz w:val="16"/>
                              <w:szCs w:val="16"/>
                            </w:rPr>
                            <w:t>.dk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D2F53F0" id="_x0000_t202" coordsize="21600,21600" o:spt="202" path="m,l,21600r21600,l21600,xe">
              <v:stroke joinstyle="miter"/>
              <v:path gradientshapeok="t" o:connecttype="rect"/>
            </v:shapetype>
            <v:shape id="Tekstboks 2" o:spid="_x0000_s1026" type="#_x0000_t202" style="position:absolute;margin-left:442.15pt;margin-top:704.25pt;width:137.6pt;height:112.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" filled="f" stroked="f" strokeweight=".5pt">
              <v:textbox>
                <w:txbxContent>
                  <w:p w14:paraId="5EF558AD" w14:textId="77777777" w:rsidR="00DA7419" w:rsidRDefault="00110084" w:rsidP="003B7D18">
                    <w:pPr>
                      <w:spacing w:line="192" w:lineRule="atLeast"/>
                      <w:rPr>
                        <w:b/>
                        <w:sz w:val="16"/>
                        <w:szCs w:val="16"/>
                      </w:rPr>
                    </w:pPr>
                    <w:r w:rsidRPr="00110084">
                      <w:rPr>
                        <w:b/>
                        <w:sz w:val="16"/>
                        <w:szCs w:val="16"/>
                      </w:rPr>
                      <w:t>Energistyrelsen</w:t>
                    </w:r>
                  </w:p>
                  <w:p w14:paraId="0557E0C8" w14:textId="77777777" w:rsidR="00AB4885" w:rsidRPr="00AB4885" w:rsidRDefault="00AB4885" w:rsidP="00F714AB">
                    <w:pPr>
                      <w:spacing w:line="192" w:lineRule="atLeast"/>
                      <w:rPr>
                        <w:sz w:val="16"/>
                        <w:szCs w:val="16"/>
                      </w:rPr>
                    </w:pPr>
                  </w:p>
                  <w:p w14:paraId="17571CC5" w14:textId="77777777" w:rsidR="00110084" w:rsidRPr="00110084" w:rsidRDefault="00110084" w:rsidP="00110084">
                    <w:pPr>
                      <w:spacing w:line="192" w:lineRule="atLeast"/>
                      <w:rPr>
                        <w:sz w:val="16"/>
                        <w:szCs w:val="16"/>
                      </w:rPr>
                    </w:pPr>
                    <w:r w:rsidRPr="00110084">
                      <w:rPr>
                        <w:sz w:val="16"/>
                        <w:szCs w:val="16"/>
                      </w:rPr>
                      <w:t>Amaliegade 44</w:t>
                    </w:r>
                  </w:p>
                  <w:p w14:paraId="03F76951" w14:textId="77777777" w:rsidR="00DA7419" w:rsidRDefault="00110084" w:rsidP="00110084">
                    <w:pPr>
                      <w:spacing w:line="192" w:lineRule="atLeast"/>
                      <w:rPr>
                        <w:sz w:val="16"/>
                        <w:szCs w:val="16"/>
                      </w:rPr>
                    </w:pPr>
                    <w:r w:rsidRPr="00110084">
                      <w:rPr>
                        <w:sz w:val="16"/>
                        <w:szCs w:val="16"/>
                      </w:rPr>
                      <w:t>1256 København K</w:t>
                    </w:r>
                  </w:p>
                  <w:p w14:paraId="4590014C" w14:textId="77777777" w:rsidR="00AB4885" w:rsidRPr="00F714AB" w:rsidRDefault="00AB4885" w:rsidP="00F714AB">
                    <w:pPr>
                      <w:spacing w:line="192" w:lineRule="atLeast"/>
                      <w:rPr>
                        <w:sz w:val="16"/>
                        <w:szCs w:val="16"/>
                      </w:rPr>
                    </w:pPr>
                  </w:p>
                  <w:p w14:paraId="408E9547" w14:textId="77777777" w:rsidR="00110084" w:rsidRPr="00110084" w:rsidRDefault="00110084" w:rsidP="00110084">
                    <w:pPr>
                      <w:spacing w:line="192" w:lineRule="atLeast"/>
                      <w:rPr>
                        <w:sz w:val="16"/>
                        <w:szCs w:val="16"/>
                      </w:rPr>
                    </w:pPr>
                    <w:r w:rsidRPr="00110084">
                      <w:rPr>
                        <w:sz w:val="16"/>
                        <w:szCs w:val="16"/>
                      </w:rPr>
                      <w:t>T: +45 3392 6700</w:t>
                    </w:r>
                  </w:p>
                  <w:p w14:paraId="3901A860" w14:textId="77777777" w:rsidR="00DA7419" w:rsidRDefault="00110084" w:rsidP="00110084">
                    <w:pPr>
                      <w:spacing w:line="192" w:lineRule="atLeast"/>
                      <w:rPr>
                        <w:sz w:val="16"/>
                        <w:szCs w:val="16"/>
                      </w:rPr>
                    </w:pPr>
                    <w:r w:rsidRPr="00110084">
                      <w:rPr>
                        <w:sz w:val="16"/>
                        <w:szCs w:val="16"/>
                      </w:rPr>
                      <w:t>E: ens@ens.dk</w:t>
                    </w:r>
                  </w:p>
                  <w:p w14:paraId="0FA52DB7" w14:textId="77777777" w:rsidR="00AB4885" w:rsidRPr="00F714AB" w:rsidRDefault="00AB4885" w:rsidP="00F714AB">
                    <w:pPr>
                      <w:spacing w:line="192" w:lineRule="atLeast"/>
                      <w:rPr>
                        <w:sz w:val="16"/>
                        <w:szCs w:val="16"/>
                      </w:rPr>
                    </w:pPr>
                  </w:p>
                  <w:p w14:paraId="4ED779DB" w14:textId="77777777" w:rsidR="00DA7419" w:rsidRPr="00F714AB" w:rsidRDefault="005340A7" w:rsidP="00F714AB">
                    <w:pPr>
                      <w:spacing w:line="192" w:lineRule="atLeast"/>
                      <w:rPr>
                        <w:sz w:val="16"/>
                        <w:szCs w:val="16"/>
                      </w:rPr>
                    </w:pPr>
                    <w:r>
                      <w:rPr>
                        <w:sz w:val="16"/>
                        <w:szCs w:val="16"/>
                      </w:rPr>
                      <w:t>www.</w:t>
                    </w:r>
                    <w:r w:rsidR="00110084">
                      <w:rPr>
                        <w:sz w:val="16"/>
                        <w:szCs w:val="16"/>
                      </w:rPr>
                      <w:t>ens</w:t>
                    </w:r>
                    <w:r w:rsidR="00DA7419" w:rsidRPr="00F714AB">
                      <w:rPr>
                        <w:sz w:val="16"/>
                        <w:szCs w:val="16"/>
                      </w:rPr>
                      <w:t>.dk</w:t>
                    </w:r>
                  </w:p>
                </w:txbxContent>
              </v:textbox>
              <w10:wrap anchorx="page" anchory="page"/>
            </v:shape>
          </w:pict>
        </mc:Fallback>
      </mc:AlternateContent>
    </w:r>
    <w:r w:rsidRPr="002A4EDA">
      <w:t xml:space="preserve">Side </w:t>
    </w:r>
    <w:r w:rsidRPr="002A4EDA">
      <w:fldChar w:fldCharType="begin"/>
    </w:r>
    <w:r w:rsidRPr="002A4EDA">
      <w:instrText xml:space="preserve"> PAGE </w:instrText>
    </w:r>
    <w:r w:rsidRPr="002A4EDA">
      <w:fldChar w:fldCharType="separate"/>
    </w:r>
    <w:r w:rsidR="00491EF8">
      <w:rPr>
        <w:noProof/>
      </w:rPr>
      <w:t>1</w:t>
    </w:r>
    <w:r w:rsidRPr="002A4EDA">
      <w:fldChar w:fldCharType="end"/>
    </w:r>
    <w:r w:rsidRPr="002A4EDA">
      <w:t>/</w:t>
    </w:r>
    <w:fldSimple w:instr=" NUMPAGES ">
      <w:r w:rsidR="00491EF8">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44E8C" w14:textId="77777777" w:rsidR="00EA08B6" w:rsidRDefault="00EA08B6" w:rsidP="008969C1">
      <w:pPr>
        <w:spacing w:line="240" w:lineRule="auto"/>
      </w:pPr>
      <w:r>
        <w:separator/>
      </w:r>
    </w:p>
  </w:footnote>
  <w:footnote w:type="continuationSeparator" w:id="0">
    <w:p w14:paraId="4A5DCAC4" w14:textId="77777777" w:rsidR="00EA08B6" w:rsidRDefault="00EA08B6" w:rsidP="008969C1">
      <w:pPr>
        <w:spacing w:line="240" w:lineRule="auto"/>
      </w:pPr>
      <w:r>
        <w:continuationSeparator/>
      </w:r>
    </w:p>
  </w:footnote>
  <w:footnote w:type="continuationNotice" w:id="1">
    <w:p w14:paraId="146494E6" w14:textId="77777777" w:rsidR="00EA08B6" w:rsidRDefault="00EA08B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75CEE" w14:textId="77777777" w:rsidR="009B01E4" w:rsidRDefault="009B01E4">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989EB" w14:textId="2C9C0E96" w:rsidR="0026782B" w:rsidRDefault="0026782B" w:rsidP="0026782B">
    <w:pPr>
      <w:pStyle w:val="Sidehoved"/>
    </w:pPr>
    <w:r>
      <w:rPr>
        <w:rFonts w:cs="Arial"/>
      </w:rPr>
      <w:t>TAG 23. november 2017 │Bilag 1.c</w:t>
    </w:r>
  </w:p>
  <w:p w14:paraId="1092BA26" w14:textId="2B41E7E2" w:rsidR="009B01E4" w:rsidRPr="0026782B" w:rsidRDefault="009B01E4" w:rsidP="0026782B">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4A267" w14:textId="02EA128D" w:rsidR="009B01E4" w:rsidRDefault="009B01E4">
    <w:pPr>
      <w:pStyle w:val="Sidehoved"/>
    </w:pPr>
    <w:r>
      <w:rPr>
        <w:rFonts w:cs="Arial"/>
      </w:rPr>
      <w:t>TAG 2</w:t>
    </w:r>
    <w:r w:rsidR="0026782B">
      <w:rPr>
        <w:rFonts w:cs="Arial"/>
      </w:rPr>
      <w:t>3. november</w:t>
    </w:r>
    <w:r>
      <w:rPr>
        <w:rFonts w:cs="Arial"/>
      </w:rPr>
      <w:t xml:space="preserve"> 2017 │Bilag </w:t>
    </w:r>
    <w:r>
      <w:rPr>
        <w:noProof/>
        <w:lang w:eastAsia="da-DK"/>
      </w:rPr>
      <w:drawing>
        <wp:anchor distT="0" distB="0" distL="114300" distR="114300" simplePos="0" relativeHeight="251657728" behindDoc="0" locked="0" layoutInCell="1" allowOverlap="1" wp14:anchorId="622EA59E" wp14:editId="32948ABF">
          <wp:simplePos x="0" y="0"/>
          <wp:positionH relativeFrom="page">
            <wp:posOffset>4842510</wp:posOffset>
          </wp:positionH>
          <wp:positionV relativeFrom="page">
            <wp:posOffset>396875</wp:posOffset>
          </wp:positionV>
          <wp:extent cx="2041200" cy="694800"/>
          <wp:effectExtent l="0" t="0" r="0" b="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41200" cy="694800"/>
                  </a:xfrm>
                  <a:prstGeom prst="rect">
                    <a:avLst/>
                  </a:prstGeom>
                </pic:spPr>
              </pic:pic>
            </a:graphicData>
          </a:graphic>
          <wp14:sizeRelH relativeFrom="margin">
            <wp14:pctWidth>0</wp14:pctWidth>
          </wp14:sizeRelH>
          <wp14:sizeRelV relativeFrom="margin">
            <wp14:pctHeight>0</wp14:pctHeight>
          </wp14:sizeRelV>
        </wp:anchor>
      </w:drawing>
    </w:r>
    <w:r>
      <w:rPr>
        <w:rFonts w:cs="Arial"/>
      </w:rPr>
      <w:t>1.</w:t>
    </w:r>
    <w:r w:rsidR="0026782B">
      <w:rPr>
        <w:rFonts w:cs="Arial"/>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194EE3E"/>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5E24EFC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285586B"/>
    <w:multiLevelType w:val="hybridMultilevel"/>
    <w:tmpl w:val="73AC2DD8"/>
    <w:lvl w:ilvl="0" w:tplc="3A94A54A">
      <w:start w:val="1"/>
      <w:numFmt w:val="decimal"/>
      <w:lvlText w:val="%1."/>
      <w:lvlJc w:val="left"/>
      <w:pPr>
        <w:ind w:left="720" w:hanging="360"/>
      </w:pPr>
      <w:rPr>
        <w:b/>
        <w:sz w:val="26"/>
        <w:szCs w:val="26"/>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1376B64"/>
    <w:multiLevelType w:val="multilevel"/>
    <w:tmpl w:val="644C570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5765114"/>
    <w:multiLevelType w:val="hybridMultilevel"/>
    <w:tmpl w:val="44946DB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7FD54B9"/>
    <w:multiLevelType w:val="hybridMultilevel"/>
    <w:tmpl w:val="44946DB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F3F3E65"/>
    <w:multiLevelType w:val="multilevel"/>
    <w:tmpl w:val="D94A64B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6256CDB"/>
    <w:multiLevelType w:val="hybridMultilevel"/>
    <w:tmpl w:val="97423E8C"/>
    <w:lvl w:ilvl="0" w:tplc="F22629DA">
      <w:start w:val="1"/>
      <w:numFmt w:val="lowerLetter"/>
      <w:lvlText w:val="%1."/>
      <w:lvlJc w:val="left"/>
      <w:pPr>
        <w:ind w:left="360" w:hanging="360"/>
      </w:pPr>
      <w:rPr>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nsid w:val="36B02DEA"/>
    <w:multiLevelType w:val="hybridMultilevel"/>
    <w:tmpl w:val="ADF072F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49E52684"/>
    <w:multiLevelType w:val="multilevel"/>
    <w:tmpl w:val="A29224A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A9C0148"/>
    <w:multiLevelType w:val="hybridMultilevel"/>
    <w:tmpl w:val="B34AA64C"/>
    <w:lvl w:ilvl="0" w:tplc="04060019">
      <w:start w:val="1"/>
      <w:numFmt w:val="lowerLetter"/>
      <w:lvlText w:val="%1."/>
      <w:lvlJc w:val="left"/>
      <w:pPr>
        <w:ind w:left="360" w:hanging="360"/>
      </w:pPr>
      <w:rPr>
        <w:b/>
        <w:sz w:val="26"/>
        <w:szCs w:val="26"/>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nsid w:val="4BD32377"/>
    <w:multiLevelType w:val="multilevel"/>
    <w:tmpl w:val="96083AF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4DE0BA2"/>
    <w:multiLevelType w:val="hybridMultilevel"/>
    <w:tmpl w:val="23CCBF92"/>
    <w:lvl w:ilvl="0" w:tplc="B52CDE84">
      <w:start w:val="1"/>
      <w:numFmt w:val="lowerLetter"/>
      <w:lvlText w:val="%1."/>
      <w:lvlJc w:val="left"/>
      <w:pPr>
        <w:ind w:left="360" w:hanging="360"/>
      </w:pPr>
      <w:rPr>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nsid w:val="58684361"/>
    <w:multiLevelType w:val="hybridMultilevel"/>
    <w:tmpl w:val="44946DB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5AD73575"/>
    <w:multiLevelType w:val="hybridMultilevel"/>
    <w:tmpl w:val="55168C4A"/>
    <w:lvl w:ilvl="0" w:tplc="04060019">
      <w:start w:val="2"/>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5DBA6F13"/>
    <w:multiLevelType w:val="hybridMultilevel"/>
    <w:tmpl w:val="3190DACC"/>
    <w:lvl w:ilvl="0" w:tplc="04060019">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nsid w:val="5FB32CB1"/>
    <w:multiLevelType w:val="hybridMultilevel"/>
    <w:tmpl w:val="A91065D2"/>
    <w:lvl w:ilvl="0" w:tplc="04060019">
      <w:start w:val="2"/>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6DEA7FDB"/>
    <w:multiLevelType w:val="multilevel"/>
    <w:tmpl w:val="42E6C9D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F5C620D"/>
    <w:multiLevelType w:val="hybridMultilevel"/>
    <w:tmpl w:val="872E87B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789F4151"/>
    <w:multiLevelType w:val="hybridMultilevel"/>
    <w:tmpl w:val="23CCBF92"/>
    <w:lvl w:ilvl="0" w:tplc="B52CDE84">
      <w:start w:val="1"/>
      <w:numFmt w:val="lowerLetter"/>
      <w:lvlText w:val="%1."/>
      <w:lvlJc w:val="left"/>
      <w:pPr>
        <w:ind w:left="360" w:hanging="360"/>
      </w:pPr>
      <w:rPr>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nsid w:val="799D528B"/>
    <w:multiLevelType w:val="hybridMultilevel"/>
    <w:tmpl w:val="38EC3606"/>
    <w:lvl w:ilvl="0" w:tplc="FE38642A">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7B6D4AFC"/>
    <w:multiLevelType w:val="hybridMultilevel"/>
    <w:tmpl w:val="A8BCCAB4"/>
    <w:lvl w:ilvl="0" w:tplc="01824D30">
      <w:start w:val="10"/>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1"/>
  </w:num>
  <w:num w:numId="4">
    <w:abstractNumId w:val="15"/>
  </w:num>
  <w:num w:numId="5">
    <w:abstractNumId w:val="13"/>
  </w:num>
  <w:num w:numId="6">
    <w:abstractNumId w:val="8"/>
  </w:num>
  <w:num w:numId="7">
    <w:abstractNumId w:val="20"/>
  </w:num>
  <w:num w:numId="8">
    <w:abstractNumId w:val="5"/>
  </w:num>
  <w:num w:numId="9">
    <w:abstractNumId w:val="14"/>
  </w:num>
  <w:num w:numId="10">
    <w:abstractNumId w:val="4"/>
  </w:num>
  <w:num w:numId="11">
    <w:abstractNumId w:val="1"/>
  </w:num>
  <w:num w:numId="12">
    <w:abstractNumId w:val="6"/>
  </w:num>
  <w:num w:numId="13">
    <w:abstractNumId w:val="17"/>
  </w:num>
  <w:num w:numId="14">
    <w:abstractNumId w:val="12"/>
  </w:num>
  <w:num w:numId="15">
    <w:abstractNumId w:val="0"/>
  </w:num>
  <w:num w:numId="16">
    <w:abstractNumId w:val="10"/>
  </w:num>
  <w:num w:numId="17">
    <w:abstractNumId w:val="18"/>
  </w:num>
  <w:num w:numId="18">
    <w:abstractNumId w:val="16"/>
  </w:num>
  <w:num w:numId="19">
    <w:abstractNumId w:val="19"/>
  </w:num>
  <w:num w:numId="20">
    <w:abstractNumId w:val="9"/>
  </w:num>
  <w:num w:numId="21">
    <w:abstractNumId w:val="3"/>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 Jensen">
    <w15:presenceInfo w15:providerId="AD" w15:userId="S-1-5-21-582562739-2495481756-4247096647-3569"/>
  </w15:person>
  <w15:person w15:author="Nikolaj Nørregård Rasmussen">
    <w15:presenceInfo w15:providerId="None" w15:userId="Nikolaj Nørregård Rasmus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autoHyphenation/>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71"/>
    <w:rsid w:val="00002673"/>
    <w:rsid w:val="00002C0C"/>
    <w:rsid w:val="00003092"/>
    <w:rsid w:val="00015CEB"/>
    <w:rsid w:val="00016C00"/>
    <w:rsid w:val="00022817"/>
    <w:rsid w:val="00022B82"/>
    <w:rsid w:val="00027878"/>
    <w:rsid w:val="00036061"/>
    <w:rsid w:val="00037304"/>
    <w:rsid w:val="000600CF"/>
    <w:rsid w:val="00064D0F"/>
    <w:rsid w:val="00065C74"/>
    <w:rsid w:val="00071490"/>
    <w:rsid w:val="000744CD"/>
    <w:rsid w:val="00080219"/>
    <w:rsid w:val="000804AF"/>
    <w:rsid w:val="00085C23"/>
    <w:rsid w:val="00086163"/>
    <w:rsid w:val="000A08E2"/>
    <w:rsid w:val="000D1CB2"/>
    <w:rsid w:val="000D32ED"/>
    <w:rsid w:val="000E081D"/>
    <w:rsid w:val="00103237"/>
    <w:rsid w:val="00110084"/>
    <w:rsid w:val="00123493"/>
    <w:rsid w:val="00140C61"/>
    <w:rsid w:val="00141249"/>
    <w:rsid w:val="001462E8"/>
    <w:rsid w:val="00156B10"/>
    <w:rsid w:val="001748AC"/>
    <w:rsid w:val="0017694F"/>
    <w:rsid w:val="001807A1"/>
    <w:rsid w:val="0018617A"/>
    <w:rsid w:val="001968C8"/>
    <w:rsid w:val="00197231"/>
    <w:rsid w:val="001A0CE1"/>
    <w:rsid w:val="001C3175"/>
    <w:rsid w:val="001C7B8C"/>
    <w:rsid w:val="001E3A94"/>
    <w:rsid w:val="001E56D7"/>
    <w:rsid w:val="001F5654"/>
    <w:rsid w:val="0020047C"/>
    <w:rsid w:val="002128CD"/>
    <w:rsid w:val="00231467"/>
    <w:rsid w:val="00251949"/>
    <w:rsid w:val="002611C9"/>
    <w:rsid w:val="0026782B"/>
    <w:rsid w:val="0027768F"/>
    <w:rsid w:val="002861AB"/>
    <w:rsid w:val="00287D11"/>
    <w:rsid w:val="00296E6F"/>
    <w:rsid w:val="002A4EDA"/>
    <w:rsid w:val="002A6CB7"/>
    <w:rsid w:val="002A7838"/>
    <w:rsid w:val="002B3BF0"/>
    <w:rsid w:val="002C135B"/>
    <w:rsid w:val="002D1F59"/>
    <w:rsid w:val="00300DDE"/>
    <w:rsid w:val="00302989"/>
    <w:rsid w:val="00303A1D"/>
    <w:rsid w:val="00310F1F"/>
    <w:rsid w:val="00320CD0"/>
    <w:rsid w:val="003302A1"/>
    <w:rsid w:val="00335F2F"/>
    <w:rsid w:val="0034007A"/>
    <w:rsid w:val="0034632D"/>
    <w:rsid w:val="00346A53"/>
    <w:rsid w:val="00347BCC"/>
    <w:rsid w:val="00352DBE"/>
    <w:rsid w:val="0036034D"/>
    <w:rsid w:val="00381363"/>
    <w:rsid w:val="003841A5"/>
    <w:rsid w:val="003859CC"/>
    <w:rsid w:val="003A6AF9"/>
    <w:rsid w:val="003A72BD"/>
    <w:rsid w:val="003A7961"/>
    <w:rsid w:val="003B31EC"/>
    <w:rsid w:val="003B4FA4"/>
    <w:rsid w:val="003B5DBB"/>
    <w:rsid w:val="003B7289"/>
    <w:rsid w:val="003B7D18"/>
    <w:rsid w:val="003E1B02"/>
    <w:rsid w:val="003F502E"/>
    <w:rsid w:val="004129C4"/>
    <w:rsid w:val="0041433B"/>
    <w:rsid w:val="004329C6"/>
    <w:rsid w:val="00432C91"/>
    <w:rsid w:val="004456A7"/>
    <w:rsid w:val="004704DA"/>
    <w:rsid w:val="0047059E"/>
    <w:rsid w:val="00480943"/>
    <w:rsid w:val="00491EF8"/>
    <w:rsid w:val="004B445E"/>
    <w:rsid w:val="004D0931"/>
    <w:rsid w:val="004D5CFB"/>
    <w:rsid w:val="004D61A3"/>
    <w:rsid w:val="004E5376"/>
    <w:rsid w:val="004E6047"/>
    <w:rsid w:val="004F15B9"/>
    <w:rsid w:val="004F34FD"/>
    <w:rsid w:val="004F3BA2"/>
    <w:rsid w:val="004F5C81"/>
    <w:rsid w:val="00500AF6"/>
    <w:rsid w:val="005076A2"/>
    <w:rsid w:val="00512DC4"/>
    <w:rsid w:val="00517A3B"/>
    <w:rsid w:val="00527652"/>
    <w:rsid w:val="005312FD"/>
    <w:rsid w:val="005340A7"/>
    <w:rsid w:val="005A06EC"/>
    <w:rsid w:val="005C388D"/>
    <w:rsid w:val="005F338A"/>
    <w:rsid w:val="006003AE"/>
    <w:rsid w:val="00605C1E"/>
    <w:rsid w:val="006202F5"/>
    <w:rsid w:val="006277D4"/>
    <w:rsid w:val="006310E9"/>
    <w:rsid w:val="0063149F"/>
    <w:rsid w:val="00644162"/>
    <w:rsid w:val="00655758"/>
    <w:rsid w:val="00660732"/>
    <w:rsid w:val="00665F29"/>
    <w:rsid w:val="00666C8A"/>
    <w:rsid w:val="00667FF1"/>
    <w:rsid w:val="00677DD3"/>
    <w:rsid w:val="006803EB"/>
    <w:rsid w:val="00690326"/>
    <w:rsid w:val="006A404E"/>
    <w:rsid w:val="006A492A"/>
    <w:rsid w:val="006A6ED4"/>
    <w:rsid w:val="006C0196"/>
    <w:rsid w:val="006C3306"/>
    <w:rsid w:val="006D6210"/>
    <w:rsid w:val="006E691D"/>
    <w:rsid w:val="006E7156"/>
    <w:rsid w:val="00712D9F"/>
    <w:rsid w:val="00721870"/>
    <w:rsid w:val="00721A17"/>
    <w:rsid w:val="00731D41"/>
    <w:rsid w:val="0073212E"/>
    <w:rsid w:val="007563CD"/>
    <w:rsid w:val="007636C2"/>
    <w:rsid w:val="007861A4"/>
    <w:rsid w:val="00796110"/>
    <w:rsid w:val="007963FC"/>
    <w:rsid w:val="007A2AA1"/>
    <w:rsid w:val="007A71BA"/>
    <w:rsid w:val="007B72AD"/>
    <w:rsid w:val="007B75E6"/>
    <w:rsid w:val="007C2727"/>
    <w:rsid w:val="007C5576"/>
    <w:rsid w:val="007D7CD2"/>
    <w:rsid w:val="007F0E53"/>
    <w:rsid w:val="00800E2B"/>
    <w:rsid w:val="00802C9E"/>
    <w:rsid w:val="00804D82"/>
    <w:rsid w:val="0081408C"/>
    <w:rsid w:val="008176EC"/>
    <w:rsid w:val="0082708C"/>
    <w:rsid w:val="00837C01"/>
    <w:rsid w:val="00852D43"/>
    <w:rsid w:val="00864B45"/>
    <w:rsid w:val="00870603"/>
    <w:rsid w:val="00874DB4"/>
    <w:rsid w:val="00882D66"/>
    <w:rsid w:val="008969C1"/>
    <w:rsid w:val="008B540C"/>
    <w:rsid w:val="008B6DF5"/>
    <w:rsid w:val="008C0971"/>
    <w:rsid w:val="008D4E88"/>
    <w:rsid w:val="008D572C"/>
    <w:rsid w:val="008D794C"/>
    <w:rsid w:val="008E1384"/>
    <w:rsid w:val="008E5052"/>
    <w:rsid w:val="008F2666"/>
    <w:rsid w:val="008F2F57"/>
    <w:rsid w:val="00914BEE"/>
    <w:rsid w:val="00914F01"/>
    <w:rsid w:val="00921514"/>
    <w:rsid w:val="00923F35"/>
    <w:rsid w:val="00924DC1"/>
    <w:rsid w:val="00932BC8"/>
    <w:rsid w:val="00934FE3"/>
    <w:rsid w:val="0093519B"/>
    <w:rsid w:val="00936333"/>
    <w:rsid w:val="009407BA"/>
    <w:rsid w:val="00953A11"/>
    <w:rsid w:val="00966C92"/>
    <w:rsid w:val="00981D23"/>
    <w:rsid w:val="0098265E"/>
    <w:rsid w:val="0099043E"/>
    <w:rsid w:val="00997016"/>
    <w:rsid w:val="009B01E4"/>
    <w:rsid w:val="009B5C34"/>
    <w:rsid w:val="009B6C10"/>
    <w:rsid w:val="009C4EA4"/>
    <w:rsid w:val="009D3FB5"/>
    <w:rsid w:val="009E5BD8"/>
    <w:rsid w:val="009E7796"/>
    <w:rsid w:val="00A12764"/>
    <w:rsid w:val="00A131F1"/>
    <w:rsid w:val="00A16F94"/>
    <w:rsid w:val="00A24C13"/>
    <w:rsid w:val="00A26634"/>
    <w:rsid w:val="00A361DF"/>
    <w:rsid w:val="00A41D77"/>
    <w:rsid w:val="00A4671B"/>
    <w:rsid w:val="00A46851"/>
    <w:rsid w:val="00A53C43"/>
    <w:rsid w:val="00A6691E"/>
    <w:rsid w:val="00A6707D"/>
    <w:rsid w:val="00A83D5D"/>
    <w:rsid w:val="00A865C4"/>
    <w:rsid w:val="00A87690"/>
    <w:rsid w:val="00A9284C"/>
    <w:rsid w:val="00AB4885"/>
    <w:rsid w:val="00AB518A"/>
    <w:rsid w:val="00AC2D69"/>
    <w:rsid w:val="00AC31CD"/>
    <w:rsid w:val="00AC60EA"/>
    <w:rsid w:val="00AD1E54"/>
    <w:rsid w:val="00AD5605"/>
    <w:rsid w:val="00B1566A"/>
    <w:rsid w:val="00B209D1"/>
    <w:rsid w:val="00B42492"/>
    <w:rsid w:val="00B4409D"/>
    <w:rsid w:val="00B4412C"/>
    <w:rsid w:val="00B514EC"/>
    <w:rsid w:val="00B536E9"/>
    <w:rsid w:val="00B549BD"/>
    <w:rsid w:val="00B57401"/>
    <w:rsid w:val="00B776BE"/>
    <w:rsid w:val="00BA083C"/>
    <w:rsid w:val="00BA0FCB"/>
    <w:rsid w:val="00BA3D89"/>
    <w:rsid w:val="00BA7FF4"/>
    <w:rsid w:val="00BC6A39"/>
    <w:rsid w:val="00BD1353"/>
    <w:rsid w:val="00BD1F1B"/>
    <w:rsid w:val="00BD2772"/>
    <w:rsid w:val="00BE62D4"/>
    <w:rsid w:val="00BE6993"/>
    <w:rsid w:val="00C06A86"/>
    <w:rsid w:val="00C20E5C"/>
    <w:rsid w:val="00C3676B"/>
    <w:rsid w:val="00C36B20"/>
    <w:rsid w:val="00C4563A"/>
    <w:rsid w:val="00C4750C"/>
    <w:rsid w:val="00C62598"/>
    <w:rsid w:val="00C651CC"/>
    <w:rsid w:val="00C65ACF"/>
    <w:rsid w:val="00C741DC"/>
    <w:rsid w:val="00C761D5"/>
    <w:rsid w:val="00C91065"/>
    <w:rsid w:val="00C966B9"/>
    <w:rsid w:val="00CB3A7C"/>
    <w:rsid w:val="00CC01F5"/>
    <w:rsid w:val="00CD1A57"/>
    <w:rsid w:val="00CD4F90"/>
    <w:rsid w:val="00CD63AF"/>
    <w:rsid w:val="00CD6C05"/>
    <w:rsid w:val="00CE79ED"/>
    <w:rsid w:val="00CF2511"/>
    <w:rsid w:val="00CF30B9"/>
    <w:rsid w:val="00CF452D"/>
    <w:rsid w:val="00D01210"/>
    <w:rsid w:val="00D05068"/>
    <w:rsid w:val="00D1257F"/>
    <w:rsid w:val="00D12E7B"/>
    <w:rsid w:val="00D15AEF"/>
    <w:rsid w:val="00D34AF1"/>
    <w:rsid w:val="00D357CF"/>
    <w:rsid w:val="00D71AC9"/>
    <w:rsid w:val="00D91F44"/>
    <w:rsid w:val="00D93447"/>
    <w:rsid w:val="00D94703"/>
    <w:rsid w:val="00DA4F72"/>
    <w:rsid w:val="00DA7419"/>
    <w:rsid w:val="00DB0857"/>
    <w:rsid w:val="00DB2D70"/>
    <w:rsid w:val="00DB2E7B"/>
    <w:rsid w:val="00DB388D"/>
    <w:rsid w:val="00DC2214"/>
    <w:rsid w:val="00DC5CE8"/>
    <w:rsid w:val="00DC62C3"/>
    <w:rsid w:val="00DC7325"/>
    <w:rsid w:val="00DD1186"/>
    <w:rsid w:val="00DD3DD5"/>
    <w:rsid w:val="00DD5635"/>
    <w:rsid w:val="00DE42FF"/>
    <w:rsid w:val="00E02446"/>
    <w:rsid w:val="00E06FD0"/>
    <w:rsid w:val="00E22971"/>
    <w:rsid w:val="00E345BE"/>
    <w:rsid w:val="00E354AB"/>
    <w:rsid w:val="00E42956"/>
    <w:rsid w:val="00E452E8"/>
    <w:rsid w:val="00E50C53"/>
    <w:rsid w:val="00E60877"/>
    <w:rsid w:val="00E65202"/>
    <w:rsid w:val="00E733CA"/>
    <w:rsid w:val="00EA08B6"/>
    <w:rsid w:val="00EB0AEC"/>
    <w:rsid w:val="00ED066E"/>
    <w:rsid w:val="00ED5FC2"/>
    <w:rsid w:val="00F1166A"/>
    <w:rsid w:val="00F2573A"/>
    <w:rsid w:val="00F3010B"/>
    <w:rsid w:val="00F308AE"/>
    <w:rsid w:val="00F3314C"/>
    <w:rsid w:val="00F42CBC"/>
    <w:rsid w:val="00F54B33"/>
    <w:rsid w:val="00F563DF"/>
    <w:rsid w:val="00F714AB"/>
    <w:rsid w:val="00F71A54"/>
    <w:rsid w:val="00F77A32"/>
    <w:rsid w:val="00F826F2"/>
    <w:rsid w:val="00F846E0"/>
    <w:rsid w:val="00F84C3A"/>
    <w:rsid w:val="00F85AB2"/>
    <w:rsid w:val="00FB195E"/>
    <w:rsid w:val="00FB4A31"/>
    <w:rsid w:val="00FC5276"/>
    <w:rsid w:val="00FC537C"/>
    <w:rsid w:val="00FE5E4B"/>
    <w:rsid w:val="00FF39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2DD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C4"/>
    <w:pPr>
      <w:spacing w:after="0" w:line="280" w:lineRule="atLeast"/>
    </w:pPr>
    <w:rPr>
      <w:rFonts w:ascii="Arial" w:hAnsi="Arial"/>
      <w:sz w:val="20"/>
    </w:rPr>
  </w:style>
  <w:style w:type="paragraph" w:styleId="Overskrift1">
    <w:name w:val="heading 1"/>
    <w:basedOn w:val="Normal"/>
    <w:next w:val="Normal"/>
    <w:link w:val="Overskrift1Tegn"/>
    <w:uiPriority w:val="9"/>
    <w:qFormat/>
    <w:rsid w:val="003841A5"/>
    <w:pPr>
      <w:keepNext/>
      <w:keepLines/>
      <w:spacing w:before="480"/>
      <w:outlineLvl w:val="0"/>
    </w:pPr>
    <w:rPr>
      <w:rFonts w:asciiTheme="majorHAnsi" w:eastAsiaTheme="majorEastAsia" w:hAnsiTheme="majorHAnsi" w:cstheme="majorBidi"/>
      <w:b/>
      <w:bCs/>
      <w:color w:val="00707D" w:themeColor="accent1" w:themeShade="BF"/>
      <w:sz w:val="28"/>
      <w:szCs w:val="28"/>
    </w:rPr>
  </w:style>
  <w:style w:type="paragraph" w:styleId="Overskrift2">
    <w:name w:val="heading 2"/>
    <w:basedOn w:val="Normal"/>
    <w:next w:val="Normal"/>
    <w:link w:val="Overskrift2Tegn"/>
    <w:uiPriority w:val="9"/>
    <w:unhideWhenUsed/>
    <w:qFormat/>
    <w:rsid w:val="00A16F94"/>
    <w:pPr>
      <w:keepNext/>
      <w:keepLines/>
      <w:spacing w:before="200"/>
      <w:outlineLvl w:val="1"/>
    </w:pPr>
    <w:rPr>
      <w:rFonts w:asciiTheme="majorHAnsi" w:eastAsiaTheme="majorEastAsia" w:hAnsiTheme="majorHAnsi" w:cstheme="majorBidi"/>
      <w:b/>
      <w:bCs/>
      <w:color w:val="0097A7"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paragraph" w:customStyle="1" w:styleId="Normal-Infotekst">
    <w:name w:val="Normal - Info tekst"/>
    <w:basedOn w:val="Normal"/>
    <w:rsid w:val="00E22971"/>
    <w:rPr>
      <w:rFonts w:ascii="Times New Roman" w:eastAsia="Times New Roman" w:hAnsi="Times New Roman" w:cs="Times New Roman"/>
      <w:szCs w:val="24"/>
      <w:lang w:eastAsia="da-DK"/>
    </w:rPr>
  </w:style>
  <w:style w:type="paragraph" w:customStyle="1" w:styleId="Normal-Dokumentnavn">
    <w:name w:val="Normal - Dokument navn"/>
    <w:basedOn w:val="Normal"/>
    <w:rsid w:val="00E22971"/>
    <w:rPr>
      <w:rFonts w:eastAsia="Times New Roman" w:cs="Times New Roman"/>
      <w:b/>
      <w:caps/>
      <w:spacing w:val="30"/>
      <w:sz w:val="24"/>
      <w:szCs w:val="24"/>
      <w:lang w:val="nb-NO" w:eastAsia="da-DK"/>
    </w:rPr>
  </w:style>
  <w:style w:type="paragraph" w:styleId="Listeafsnit">
    <w:name w:val="List Paragraph"/>
    <w:basedOn w:val="Normal"/>
    <w:uiPriority w:val="34"/>
    <w:qFormat/>
    <w:rsid w:val="00E22971"/>
    <w:pPr>
      <w:spacing w:line="240" w:lineRule="auto"/>
      <w:ind w:left="1304"/>
    </w:pPr>
    <w:rPr>
      <w:rFonts w:ascii="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D94703"/>
    <w:rPr>
      <w:sz w:val="16"/>
      <w:szCs w:val="16"/>
    </w:rPr>
  </w:style>
  <w:style w:type="paragraph" w:styleId="Kommentartekst">
    <w:name w:val="annotation text"/>
    <w:basedOn w:val="Normal"/>
    <w:link w:val="KommentartekstTegn"/>
    <w:uiPriority w:val="99"/>
    <w:semiHidden/>
    <w:unhideWhenUsed/>
    <w:rsid w:val="00D94703"/>
    <w:pPr>
      <w:spacing w:line="240" w:lineRule="auto"/>
    </w:pPr>
    <w:rPr>
      <w:szCs w:val="20"/>
    </w:rPr>
  </w:style>
  <w:style w:type="character" w:customStyle="1" w:styleId="KommentartekstTegn">
    <w:name w:val="Kommentartekst Tegn"/>
    <w:basedOn w:val="Standardskrifttypeiafsnit"/>
    <w:link w:val="Kommentartekst"/>
    <w:uiPriority w:val="99"/>
    <w:semiHidden/>
    <w:rsid w:val="00D94703"/>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D94703"/>
    <w:rPr>
      <w:b/>
      <w:bCs/>
    </w:rPr>
  </w:style>
  <w:style w:type="character" w:customStyle="1" w:styleId="KommentaremneTegn">
    <w:name w:val="Kommentaremne Tegn"/>
    <w:basedOn w:val="KommentartekstTegn"/>
    <w:link w:val="Kommentaremne"/>
    <w:uiPriority w:val="99"/>
    <w:semiHidden/>
    <w:rsid w:val="00D94703"/>
    <w:rPr>
      <w:rFonts w:ascii="Arial" w:hAnsi="Arial"/>
      <w:b/>
      <w:bCs/>
      <w:sz w:val="20"/>
      <w:szCs w:val="20"/>
    </w:rPr>
  </w:style>
  <w:style w:type="character" w:customStyle="1" w:styleId="Overskrift2Tegn">
    <w:name w:val="Overskrift 2 Tegn"/>
    <w:basedOn w:val="Standardskrifttypeiafsnit"/>
    <w:link w:val="Overskrift2"/>
    <w:uiPriority w:val="9"/>
    <w:rsid w:val="00A16F94"/>
    <w:rPr>
      <w:rFonts w:asciiTheme="majorHAnsi" w:eastAsiaTheme="majorEastAsia" w:hAnsiTheme="majorHAnsi" w:cstheme="majorBidi"/>
      <w:b/>
      <w:bCs/>
      <w:color w:val="0097A7" w:themeColor="accent1"/>
      <w:sz w:val="26"/>
      <w:szCs w:val="26"/>
    </w:rPr>
  </w:style>
  <w:style w:type="paragraph" w:styleId="Opstilling-punkttegn">
    <w:name w:val="List Bullet"/>
    <w:basedOn w:val="Normal"/>
    <w:uiPriority w:val="99"/>
    <w:semiHidden/>
    <w:unhideWhenUsed/>
    <w:rsid w:val="00F308AE"/>
    <w:pPr>
      <w:numPr>
        <w:numId w:val="11"/>
      </w:numPr>
      <w:contextualSpacing/>
    </w:pPr>
  </w:style>
  <w:style w:type="paragraph" w:styleId="Opstilling-talellerbogst">
    <w:name w:val="List Number"/>
    <w:basedOn w:val="Normal"/>
    <w:uiPriority w:val="99"/>
    <w:semiHidden/>
    <w:unhideWhenUsed/>
    <w:rsid w:val="00DC5CE8"/>
    <w:pPr>
      <w:numPr>
        <w:numId w:val="15"/>
      </w:numPr>
      <w:contextualSpacing/>
    </w:pPr>
  </w:style>
  <w:style w:type="character" w:customStyle="1" w:styleId="Overskrift1Tegn">
    <w:name w:val="Overskrift 1 Tegn"/>
    <w:basedOn w:val="Standardskrifttypeiafsnit"/>
    <w:link w:val="Overskrift1"/>
    <w:uiPriority w:val="9"/>
    <w:rsid w:val="003841A5"/>
    <w:rPr>
      <w:rFonts w:asciiTheme="majorHAnsi" w:eastAsiaTheme="majorEastAsia" w:hAnsiTheme="majorHAnsi" w:cstheme="majorBidi"/>
      <w:b/>
      <w:bCs/>
      <w:color w:val="00707D" w:themeColor="accent1" w:themeShade="BF"/>
      <w:sz w:val="28"/>
      <w:szCs w:val="28"/>
    </w:rPr>
  </w:style>
  <w:style w:type="paragraph" w:customStyle="1" w:styleId="Default">
    <w:name w:val="Default"/>
    <w:rsid w:val="00B209D1"/>
    <w:pPr>
      <w:autoSpaceDE w:val="0"/>
      <w:autoSpaceDN w:val="0"/>
      <w:adjustRightInd w:val="0"/>
      <w:spacing w:after="0" w:line="240" w:lineRule="auto"/>
    </w:pPr>
    <w:rPr>
      <w:rFonts w:ascii="Arial" w:hAnsi="Arial" w:cs="Arial"/>
      <w:color w:val="000000"/>
      <w:sz w:val="24"/>
      <w:szCs w:val="24"/>
    </w:rPr>
  </w:style>
  <w:style w:type="paragraph" w:styleId="Korrektur">
    <w:name w:val="Revision"/>
    <w:hidden/>
    <w:uiPriority w:val="99"/>
    <w:semiHidden/>
    <w:rsid w:val="00BD1F1B"/>
    <w:pPr>
      <w:spacing w:after="0" w:line="240" w:lineRule="auto"/>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C4"/>
    <w:pPr>
      <w:spacing w:after="0" w:line="280" w:lineRule="atLeast"/>
    </w:pPr>
    <w:rPr>
      <w:rFonts w:ascii="Arial" w:hAnsi="Arial"/>
      <w:sz w:val="20"/>
    </w:rPr>
  </w:style>
  <w:style w:type="paragraph" w:styleId="Overskrift1">
    <w:name w:val="heading 1"/>
    <w:basedOn w:val="Normal"/>
    <w:next w:val="Normal"/>
    <w:link w:val="Overskrift1Tegn"/>
    <w:uiPriority w:val="9"/>
    <w:qFormat/>
    <w:rsid w:val="003841A5"/>
    <w:pPr>
      <w:keepNext/>
      <w:keepLines/>
      <w:spacing w:before="480"/>
      <w:outlineLvl w:val="0"/>
    </w:pPr>
    <w:rPr>
      <w:rFonts w:asciiTheme="majorHAnsi" w:eastAsiaTheme="majorEastAsia" w:hAnsiTheme="majorHAnsi" w:cstheme="majorBidi"/>
      <w:b/>
      <w:bCs/>
      <w:color w:val="00707D" w:themeColor="accent1" w:themeShade="BF"/>
      <w:sz w:val="28"/>
      <w:szCs w:val="28"/>
    </w:rPr>
  </w:style>
  <w:style w:type="paragraph" w:styleId="Overskrift2">
    <w:name w:val="heading 2"/>
    <w:basedOn w:val="Normal"/>
    <w:next w:val="Normal"/>
    <w:link w:val="Overskrift2Tegn"/>
    <w:uiPriority w:val="9"/>
    <w:unhideWhenUsed/>
    <w:qFormat/>
    <w:rsid w:val="00A16F94"/>
    <w:pPr>
      <w:keepNext/>
      <w:keepLines/>
      <w:spacing w:before="200"/>
      <w:outlineLvl w:val="1"/>
    </w:pPr>
    <w:rPr>
      <w:rFonts w:asciiTheme="majorHAnsi" w:eastAsiaTheme="majorEastAsia" w:hAnsiTheme="majorHAnsi" w:cstheme="majorBidi"/>
      <w:b/>
      <w:bCs/>
      <w:color w:val="0097A7"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paragraph" w:customStyle="1" w:styleId="Normal-Infotekst">
    <w:name w:val="Normal - Info tekst"/>
    <w:basedOn w:val="Normal"/>
    <w:rsid w:val="00E22971"/>
    <w:rPr>
      <w:rFonts w:ascii="Times New Roman" w:eastAsia="Times New Roman" w:hAnsi="Times New Roman" w:cs="Times New Roman"/>
      <w:szCs w:val="24"/>
      <w:lang w:eastAsia="da-DK"/>
    </w:rPr>
  </w:style>
  <w:style w:type="paragraph" w:customStyle="1" w:styleId="Normal-Dokumentnavn">
    <w:name w:val="Normal - Dokument navn"/>
    <w:basedOn w:val="Normal"/>
    <w:rsid w:val="00E22971"/>
    <w:rPr>
      <w:rFonts w:eastAsia="Times New Roman" w:cs="Times New Roman"/>
      <w:b/>
      <w:caps/>
      <w:spacing w:val="30"/>
      <w:sz w:val="24"/>
      <w:szCs w:val="24"/>
      <w:lang w:val="nb-NO" w:eastAsia="da-DK"/>
    </w:rPr>
  </w:style>
  <w:style w:type="paragraph" w:styleId="Listeafsnit">
    <w:name w:val="List Paragraph"/>
    <w:basedOn w:val="Normal"/>
    <w:uiPriority w:val="34"/>
    <w:qFormat/>
    <w:rsid w:val="00E22971"/>
    <w:pPr>
      <w:spacing w:line="240" w:lineRule="auto"/>
      <w:ind w:left="1304"/>
    </w:pPr>
    <w:rPr>
      <w:rFonts w:ascii="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D94703"/>
    <w:rPr>
      <w:sz w:val="16"/>
      <w:szCs w:val="16"/>
    </w:rPr>
  </w:style>
  <w:style w:type="paragraph" w:styleId="Kommentartekst">
    <w:name w:val="annotation text"/>
    <w:basedOn w:val="Normal"/>
    <w:link w:val="KommentartekstTegn"/>
    <w:uiPriority w:val="99"/>
    <w:semiHidden/>
    <w:unhideWhenUsed/>
    <w:rsid w:val="00D94703"/>
    <w:pPr>
      <w:spacing w:line="240" w:lineRule="auto"/>
    </w:pPr>
    <w:rPr>
      <w:szCs w:val="20"/>
    </w:rPr>
  </w:style>
  <w:style w:type="character" w:customStyle="1" w:styleId="KommentartekstTegn">
    <w:name w:val="Kommentartekst Tegn"/>
    <w:basedOn w:val="Standardskrifttypeiafsnit"/>
    <w:link w:val="Kommentartekst"/>
    <w:uiPriority w:val="99"/>
    <w:semiHidden/>
    <w:rsid w:val="00D94703"/>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D94703"/>
    <w:rPr>
      <w:b/>
      <w:bCs/>
    </w:rPr>
  </w:style>
  <w:style w:type="character" w:customStyle="1" w:styleId="KommentaremneTegn">
    <w:name w:val="Kommentaremne Tegn"/>
    <w:basedOn w:val="KommentartekstTegn"/>
    <w:link w:val="Kommentaremne"/>
    <w:uiPriority w:val="99"/>
    <w:semiHidden/>
    <w:rsid w:val="00D94703"/>
    <w:rPr>
      <w:rFonts w:ascii="Arial" w:hAnsi="Arial"/>
      <w:b/>
      <w:bCs/>
      <w:sz w:val="20"/>
      <w:szCs w:val="20"/>
    </w:rPr>
  </w:style>
  <w:style w:type="character" w:customStyle="1" w:styleId="Overskrift2Tegn">
    <w:name w:val="Overskrift 2 Tegn"/>
    <w:basedOn w:val="Standardskrifttypeiafsnit"/>
    <w:link w:val="Overskrift2"/>
    <w:uiPriority w:val="9"/>
    <w:rsid w:val="00A16F94"/>
    <w:rPr>
      <w:rFonts w:asciiTheme="majorHAnsi" w:eastAsiaTheme="majorEastAsia" w:hAnsiTheme="majorHAnsi" w:cstheme="majorBidi"/>
      <w:b/>
      <w:bCs/>
      <w:color w:val="0097A7" w:themeColor="accent1"/>
      <w:sz w:val="26"/>
      <w:szCs w:val="26"/>
    </w:rPr>
  </w:style>
  <w:style w:type="paragraph" w:styleId="Opstilling-punkttegn">
    <w:name w:val="List Bullet"/>
    <w:basedOn w:val="Normal"/>
    <w:uiPriority w:val="99"/>
    <w:semiHidden/>
    <w:unhideWhenUsed/>
    <w:rsid w:val="00F308AE"/>
    <w:pPr>
      <w:numPr>
        <w:numId w:val="11"/>
      </w:numPr>
      <w:contextualSpacing/>
    </w:pPr>
  </w:style>
  <w:style w:type="paragraph" w:styleId="Opstilling-talellerbogst">
    <w:name w:val="List Number"/>
    <w:basedOn w:val="Normal"/>
    <w:uiPriority w:val="99"/>
    <w:semiHidden/>
    <w:unhideWhenUsed/>
    <w:rsid w:val="00DC5CE8"/>
    <w:pPr>
      <w:numPr>
        <w:numId w:val="15"/>
      </w:numPr>
      <w:contextualSpacing/>
    </w:pPr>
  </w:style>
  <w:style w:type="character" w:customStyle="1" w:styleId="Overskrift1Tegn">
    <w:name w:val="Overskrift 1 Tegn"/>
    <w:basedOn w:val="Standardskrifttypeiafsnit"/>
    <w:link w:val="Overskrift1"/>
    <w:uiPriority w:val="9"/>
    <w:rsid w:val="003841A5"/>
    <w:rPr>
      <w:rFonts w:asciiTheme="majorHAnsi" w:eastAsiaTheme="majorEastAsia" w:hAnsiTheme="majorHAnsi" w:cstheme="majorBidi"/>
      <w:b/>
      <w:bCs/>
      <w:color w:val="00707D" w:themeColor="accent1" w:themeShade="BF"/>
      <w:sz w:val="28"/>
      <w:szCs w:val="28"/>
    </w:rPr>
  </w:style>
  <w:style w:type="paragraph" w:customStyle="1" w:styleId="Default">
    <w:name w:val="Default"/>
    <w:rsid w:val="00B209D1"/>
    <w:pPr>
      <w:autoSpaceDE w:val="0"/>
      <w:autoSpaceDN w:val="0"/>
      <w:adjustRightInd w:val="0"/>
      <w:spacing w:after="0" w:line="240" w:lineRule="auto"/>
    </w:pPr>
    <w:rPr>
      <w:rFonts w:ascii="Arial" w:hAnsi="Arial" w:cs="Arial"/>
      <w:color w:val="000000"/>
      <w:sz w:val="24"/>
      <w:szCs w:val="24"/>
    </w:rPr>
  </w:style>
  <w:style w:type="paragraph" w:styleId="Korrektur">
    <w:name w:val="Revision"/>
    <w:hidden/>
    <w:uiPriority w:val="99"/>
    <w:semiHidden/>
    <w:rsid w:val="00BD1F1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67740">
      <w:bodyDiv w:val="1"/>
      <w:marLeft w:val="0"/>
      <w:marRight w:val="0"/>
      <w:marTop w:val="0"/>
      <w:marBottom w:val="0"/>
      <w:divBdr>
        <w:top w:val="none" w:sz="0" w:space="0" w:color="auto"/>
        <w:left w:val="none" w:sz="0" w:space="0" w:color="auto"/>
        <w:bottom w:val="none" w:sz="0" w:space="0" w:color="auto"/>
        <w:right w:val="none" w:sz="0" w:space="0" w:color="auto"/>
      </w:divBdr>
    </w:div>
    <w:div w:id="76365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d\Skabeloner\1%20Energistyrelsen\EFKM_Notat_ENS_vDK_01.dotx" TargetMode="External"/></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F0923-6996-43CF-969B-EC3A4722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EFKM_Notat_ENS_vDK_01.dotx</Template>
  <TotalTime>0</TotalTime>
  <Pages>6</Pages>
  <Words>1878</Words>
  <Characters>11458</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www.RiisDATA.com v/Michael Riis Sørensen</Company>
  <LinksUpToDate>false</LinksUpToDate>
  <CharactersWithSpaces>13310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Kofoed Jensen</dc:creator>
  <cp:lastModifiedBy>Therese Kofoed Jensen</cp:lastModifiedBy>
  <cp:revision>2</cp:revision>
  <cp:lastPrinted>2017-08-22T14:33:00Z</cp:lastPrinted>
  <dcterms:created xsi:type="dcterms:W3CDTF">2017-11-28T14:10:00Z</dcterms:created>
  <dcterms:modified xsi:type="dcterms:W3CDTF">2017-11-28T14:10:00Z</dcterms:modified>
</cp:coreProperties>
</file>