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066FD" w14:textId="77777777" w:rsidR="005E3FC3" w:rsidRPr="000015F2" w:rsidRDefault="00135FA2" w:rsidP="00AD49F2">
      <w:pPr>
        <w:rPr>
          <w:sz w:val="44"/>
          <w:szCs w:val="56"/>
          <w:lang w:val="en-US"/>
        </w:rPr>
      </w:pPr>
      <w:r w:rsidRPr="000015F2">
        <w:rPr>
          <w:noProof/>
          <w:sz w:val="44"/>
          <w:szCs w:val="44"/>
          <w:lang w:eastAsia="da-DK"/>
        </w:rPr>
        <mc:AlternateContent>
          <mc:Choice Requires="wps">
            <w:drawing>
              <wp:anchor distT="45720" distB="45720" distL="114300" distR="114300" simplePos="0" relativeHeight="251658240" behindDoc="0" locked="0" layoutInCell="1" allowOverlap="1" wp14:anchorId="61306759" wp14:editId="6130675A">
                <wp:simplePos x="0" y="0"/>
                <wp:positionH relativeFrom="column">
                  <wp:posOffset>4867053</wp:posOffset>
                </wp:positionH>
                <wp:positionV relativeFrom="paragraph">
                  <wp:posOffset>-30786</wp:posOffset>
                </wp:positionV>
                <wp:extent cx="1489710" cy="223139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231390"/>
                        </a:xfrm>
                        <a:prstGeom prst="rect">
                          <a:avLst/>
                        </a:prstGeom>
                        <a:noFill/>
                        <a:ln w="9525">
                          <a:noFill/>
                          <a:miter lim="800000"/>
                          <a:headEnd/>
                          <a:tailEnd/>
                        </a:ln>
                      </wps:spPr>
                      <wps:txbx>
                        <w:txbxContent>
                          <w:p w14:paraId="6130676A" w14:textId="77777777" w:rsidR="00F138C8" w:rsidRPr="000015F2" w:rsidRDefault="00F138C8" w:rsidP="00531E90">
                            <w:pPr>
                              <w:spacing w:line="220" w:lineRule="exact"/>
                              <w:suppressOverlap/>
                              <w:rPr>
                                <w:b/>
                                <w:sz w:val="16"/>
                                <w:szCs w:val="16"/>
                                <w:lang w:val="en-US"/>
                              </w:rPr>
                            </w:pPr>
                            <w:r w:rsidRPr="000015F2">
                              <w:rPr>
                                <w:b/>
                                <w:sz w:val="16"/>
                                <w:szCs w:val="16"/>
                                <w:lang w:val="en-US"/>
                              </w:rPr>
                              <w:t>Office/department</w:t>
                            </w:r>
                          </w:p>
                          <w:p w14:paraId="6130676B" w14:textId="77777777" w:rsidR="00F138C8" w:rsidRDefault="00F138C8" w:rsidP="00531E90">
                            <w:pPr>
                              <w:spacing w:line="220" w:lineRule="exact"/>
                              <w:suppressOverlap/>
                              <w:rPr>
                                <w:sz w:val="16"/>
                                <w:lang w:val="en-US"/>
                              </w:rPr>
                            </w:pPr>
                            <w:r w:rsidRPr="00AD49F2">
                              <w:rPr>
                                <w:sz w:val="16"/>
                                <w:lang w:val="en-US"/>
                              </w:rPr>
                              <w:t>Center for Industry Transition and cross-sector EU regulation, Center for Resources and Legal</w:t>
                            </w:r>
                          </w:p>
                          <w:p w14:paraId="6130676C" w14:textId="77777777" w:rsidR="00F138C8" w:rsidRPr="00AD49F2" w:rsidRDefault="00F138C8" w:rsidP="00531E90">
                            <w:pPr>
                              <w:spacing w:line="220" w:lineRule="exact"/>
                              <w:suppressOverlap/>
                              <w:rPr>
                                <w:sz w:val="16"/>
                                <w:szCs w:val="16"/>
                                <w:lang w:val="en-US"/>
                              </w:rPr>
                            </w:pPr>
                          </w:p>
                          <w:p w14:paraId="6130676D" w14:textId="77777777" w:rsidR="00F138C8" w:rsidRPr="0073499F" w:rsidRDefault="00F138C8" w:rsidP="00531E90">
                            <w:pPr>
                              <w:spacing w:line="220" w:lineRule="exact"/>
                              <w:suppressOverlap/>
                              <w:rPr>
                                <w:b/>
                                <w:sz w:val="16"/>
                                <w:szCs w:val="16"/>
                                <w:lang w:val="en-US"/>
                              </w:rPr>
                            </w:pPr>
                            <w:r w:rsidRPr="0073499F">
                              <w:rPr>
                                <w:b/>
                                <w:sz w:val="16"/>
                                <w:szCs w:val="16"/>
                                <w:lang w:val="en-US"/>
                              </w:rPr>
                              <w:t>Date</w:t>
                            </w:r>
                          </w:p>
                          <w:p w14:paraId="6130676E" w14:textId="27491825" w:rsidR="00F138C8" w:rsidRPr="0073499F" w:rsidRDefault="00B06A92" w:rsidP="00531E90">
                            <w:pPr>
                              <w:spacing w:line="220" w:lineRule="exact"/>
                              <w:suppressOverlap/>
                              <w:rPr>
                                <w:sz w:val="16"/>
                                <w:szCs w:val="16"/>
                                <w:lang w:val="en-US"/>
                              </w:rPr>
                            </w:pPr>
                            <w:r>
                              <w:rPr>
                                <w:sz w:val="16"/>
                                <w:szCs w:val="16"/>
                                <w:lang w:val="en-US"/>
                              </w:rPr>
                              <w:t>02</w:t>
                            </w:r>
                            <w:r w:rsidR="000247D7">
                              <w:rPr>
                                <w:sz w:val="16"/>
                                <w:szCs w:val="16"/>
                                <w:lang w:val="en-US"/>
                              </w:rPr>
                              <w:t>-0</w:t>
                            </w:r>
                            <w:r>
                              <w:rPr>
                                <w:sz w:val="16"/>
                                <w:szCs w:val="16"/>
                                <w:lang w:val="en-US"/>
                              </w:rPr>
                              <w:t>8</w:t>
                            </w:r>
                            <w:r w:rsidR="00F138C8">
                              <w:rPr>
                                <w:sz w:val="16"/>
                                <w:szCs w:val="16"/>
                                <w:lang w:val="en-US"/>
                              </w:rPr>
                              <w:t>-2024</w:t>
                            </w:r>
                          </w:p>
                          <w:p w14:paraId="6130676F" w14:textId="77777777" w:rsidR="00F138C8" w:rsidRPr="0073499F" w:rsidRDefault="00F138C8" w:rsidP="00531E90">
                            <w:pPr>
                              <w:spacing w:line="220" w:lineRule="exact"/>
                              <w:suppressOverlap/>
                              <w:rPr>
                                <w:sz w:val="16"/>
                                <w:szCs w:val="16"/>
                                <w:lang w:val="en-US"/>
                              </w:rPr>
                            </w:pPr>
                          </w:p>
                          <w:p w14:paraId="61306770" w14:textId="77777777" w:rsidR="00F138C8" w:rsidRPr="0073499F" w:rsidRDefault="00F138C8" w:rsidP="00531E90">
                            <w:pPr>
                              <w:spacing w:line="220" w:lineRule="exact"/>
                              <w:suppressOverlap/>
                              <w:rPr>
                                <w:sz w:val="16"/>
                                <w:szCs w:val="16"/>
                                <w:lang w:val="en-US"/>
                              </w:rPr>
                            </w:pPr>
                            <w:r w:rsidRPr="0073499F">
                              <w:rPr>
                                <w:b/>
                                <w:sz w:val="16"/>
                                <w:szCs w:val="16"/>
                                <w:lang w:val="en-US"/>
                              </w:rPr>
                              <w:t>J no.</w:t>
                            </w:r>
                            <w:r w:rsidRPr="0073499F">
                              <w:rPr>
                                <w:sz w:val="16"/>
                                <w:szCs w:val="16"/>
                                <w:lang w:val="en-US"/>
                              </w:rPr>
                              <w:t xml:space="preserve"> </w:t>
                            </w:r>
                            <w:r>
                              <w:rPr>
                                <w:sz w:val="16"/>
                                <w:szCs w:val="16"/>
                                <w:lang w:val="en-US"/>
                              </w:rPr>
                              <w:t>2024 - 1180</w:t>
                            </w:r>
                          </w:p>
                          <w:p w14:paraId="61306771" w14:textId="77777777" w:rsidR="00F138C8" w:rsidRPr="0073499F" w:rsidRDefault="00F138C8" w:rsidP="00531E90">
                            <w:pPr>
                              <w:spacing w:line="220" w:lineRule="exact"/>
                              <w:suppressOverlap/>
                              <w:rPr>
                                <w:sz w:val="16"/>
                                <w:szCs w:val="16"/>
                                <w:lang w:val="en-US"/>
                              </w:rPr>
                            </w:pPr>
                          </w:p>
                          <w:p w14:paraId="61306772" w14:textId="77777777" w:rsidR="00F138C8" w:rsidRDefault="00F138C8" w:rsidP="00531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306759" id="_x0000_t202" coordsize="21600,21600" o:spt="202" path="m,l,21600r21600,l21600,xe">
                <v:stroke joinstyle="miter"/>
                <v:path gradientshapeok="t" o:connecttype="rect"/>
              </v:shapetype>
              <v:shape id="Tekstfelt 2" o:spid="_x0000_s1026" type="#_x0000_t202" style="position:absolute;margin-left:383.25pt;margin-top:-2.4pt;width:117.3pt;height:175.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c3DgIAAPYDAAAOAAAAZHJzL2Uyb0RvYy54bWysU9tu2zAMfR+wfxD0vjh2kyUx4hRduw4D&#10;ugvQ7gMUWYqFSqImKbGzrx8lp2mwvQ3zgyCa5CHPIbW+HowmB+GDAtvQcjKlRFgOrbK7hv54un+3&#10;pCREZlumwYqGHkWg15u3b9a9q0UFHehWeIIgNtS9a2gXo6uLIvBOGBYm4IRFpwRvWETT74rWsx7R&#10;jS6q6fR90YNvnQcuQsC/d6OTbjK+lILHb1IGEYluKPYW8+nzuU1nsVmzeueZ6xQ/tcH+oQvDlMWi&#10;Z6g7FhnZe/UXlFHcQwAZJxxMAVIqLjIHZFNO/2Dz2DEnMhcUJ7izTOH/wfKvh++eqLahVbmgxDKD&#10;Q3oSzyFKoSOpkkC9CzXGPTqMjMMHGHDQmWxwD8CfA7Fw2zG7EzfeQ98J1mKDZcosLlJHnJBAtv0X&#10;aLEO20fIQIP0JqmHehBEx0Edz8MRQyQ8lZwtV4sSXRx9VXVVXq3y+ApWv6Q7H+InAYakS0M9Tj/D&#10;s8NDiKkdVr+EpGoW7pXWeQO0JX1DV/NqnhMuPEZFXFCtTEOX0/SNK5NYfrRtTo5M6fGOBbQ90U5M&#10;R85x2A4YmLTYQntEATyMi4gPBy8d+F+U9LiEDQ0/98wLSvRniyKuytksbW02ZvNFhYa/9GwvPcxy&#10;hGpopGS83sa86SPXGxRbqizDayenXnG5sjqnh5C299LOUa/PdfMbAAD//wMAUEsDBBQABgAIAAAA&#10;IQBbCVy73wAAAAsBAAAPAAAAZHJzL2Rvd25yZXYueG1sTI/LTsMwEEX3SPyDNUjsWjuQGgiZVAjE&#10;FtTykNi58TSJiMdR7Dbh73FXsBzN0b3nluvZ9eJIY+g8I2RLBYK49rbjBuH97XlxCyJEw9b0ngnh&#10;hwKsq/Oz0hTWT7yh4zY2IoVwKAxCG+NQSBnqlpwJSz8Qp9/ej87EdI6NtKOZUrjr5ZVSWjrTcWpo&#10;zUCPLdXf24ND+HjZf33m6rV5cqth8rOS7O4k4uXF/HAPItIc/2A46Sd1qJLTzh/YBtEj3Gi9SijC&#10;Ik8TToBSWQZih3Cdaw2yKuX/DdUvAAAA//8DAFBLAQItABQABgAIAAAAIQC2gziS/gAAAOEBAAAT&#10;AAAAAAAAAAAAAAAAAAAAAABbQ29udGVudF9UeXBlc10ueG1sUEsBAi0AFAAGAAgAAAAhADj9If/W&#10;AAAAlAEAAAsAAAAAAAAAAAAAAAAALwEAAF9yZWxzLy5yZWxzUEsBAi0AFAAGAAgAAAAhABAihzcO&#10;AgAA9gMAAA4AAAAAAAAAAAAAAAAALgIAAGRycy9lMm9Eb2MueG1sUEsBAi0AFAAGAAgAAAAhAFsJ&#10;XLvfAAAACwEAAA8AAAAAAAAAAAAAAAAAaAQAAGRycy9kb3ducmV2LnhtbFBLBQYAAAAABAAEAPMA&#10;AAB0BQAAAAA=&#10;" filled="f" stroked="f">
                <v:textbox>
                  <w:txbxContent>
                    <w:p w14:paraId="6130676A" w14:textId="77777777" w:rsidR="00F138C8" w:rsidRPr="000015F2" w:rsidRDefault="00F138C8" w:rsidP="00531E90">
                      <w:pPr>
                        <w:spacing w:line="220" w:lineRule="exact"/>
                        <w:suppressOverlap/>
                        <w:rPr>
                          <w:b/>
                          <w:sz w:val="16"/>
                          <w:szCs w:val="16"/>
                          <w:lang w:val="en-US"/>
                        </w:rPr>
                      </w:pPr>
                      <w:r w:rsidRPr="000015F2">
                        <w:rPr>
                          <w:b/>
                          <w:sz w:val="16"/>
                          <w:szCs w:val="16"/>
                          <w:lang w:val="en-US"/>
                        </w:rPr>
                        <w:t>Office/department</w:t>
                      </w:r>
                    </w:p>
                    <w:p w14:paraId="6130676B" w14:textId="77777777" w:rsidR="00F138C8" w:rsidRDefault="00F138C8" w:rsidP="00531E90">
                      <w:pPr>
                        <w:spacing w:line="220" w:lineRule="exact"/>
                        <w:suppressOverlap/>
                        <w:rPr>
                          <w:sz w:val="16"/>
                          <w:lang w:val="en-US"/>
                        </w:rPr>
                      </w:pPr>
                      <w:r w:rsidRPr="00AD49F2">
                        <w:rPr>
                          <w:sz w:val="16"/>
                          <w:lang w:val="en-US"/>
                        </w:rPr>
                        <w:t>Center for Industry Transition and cross-sector EU regulation, Center for Resources and Legal</w:t>
                      </w:r>
                    </w:p>
                    <w:p w14:paraId="6130676C" w14:textId="77777777" w:rsidR="00F138C8" w:rsidRPr="00AD49F2" w:rsidRDefault="00F138C8" w:rsidP="00531E90">
                      <w:pPr>
                        <w:spacing w:line="220" w:lineRule="exact"/>
                        <w:suppressOverlap/>
                        <w:rPr>
                          <w:sz w:val="16"/>
                          <w:szCs w:val="16"/>
                          <w:lang w:val="en-US"/>
                        </w:rPr>
                      </w:pPr>
                    </w:p>
                    <w:p w14:paraId="6130676D" w14:textId="77777777" w:rsidR="00F138C8" w:rsidRPr="0073499F" w:rsidRDefault="00F138C8" w:rsidP="00531E90">
                      <w:pPr>
                        <w:spacing w:line="220" w:lineRule="exact"/>
                        <w:suppressOverlap/>
                        <w:rPr>
                          <w:b/>
                          <w:sz w:val="16"/>
                          <w:szCs w:val="16"/>
                          <w:lang w:val="en-US"/>
                        </w:rPr>
                      </w:pPr>
                      <w:r w:rsidRPr="0073499F">
                        <w:rPr>
                          <w:b/>
                          <w:sz w:val="16"/>
                          <w:szCs w:val="16"/>
                          <w:lang w:val="en-US"/>
                        </w:rPr>
                        <w:t>Date</w:t>
                      </w:r>
                    </w:p>
                    <w:p w14:paraId="6130676E" w14:textId="27491825" w:rsidR="00F138C8" w:rsidRPr="0073499F" w:rsidRDefault="00B06A92" w:rsidP="00531E90">
                      <w:pPr>
                        <w:spacing w:line="220" w:lineRule="exact"/>
                        <w:suppressOverlap/>
                        <w:rPr>
                          <w:sz w:val="16"/>
                          <w:szCs w:val="16"/>
                          <w:lang w:val="en-US"/>
                        </w:rPr>
                      </w:pPr>
                      <w:r>
                        <w:rPr>
                          <w:sz w:val="16"/>
                          <w:szCs w:val="16"/>
                          <w:lang w:val="en-US"/>
                        </w:rPr>
                        <w:t>02</w:t>
                      </w:r>
                      <w:r w:rsidR="000247D7">
                        <w:rPr>
                          <w:sz w:val="16"/>
                          <w:szCs w:val="16"/>
                          <w:lang w:val="en-US"/>
                        </w:rPr>
                        <w:t>-0</w:t>
                      </w:r>
                      <w:r>
                        <w:rPr>
                          <w:sz w:val="16"/>
                          <w:szCs w:val="16"/>
                          <w:lang w:val="en-US"/>
                        </w:rPr>
                        <w:t>8</w:t>
                      </w:r>
                      <w:r w:rsidR="00F138C8">
                        <w:rPr>
                          <w:sz w:val="16"/>
                          <w:szCs w:val="16"/>
                          <w:lang w:val="en-US"/>
                        </w:rPr>
                        <w:t>-2024</w:t>
                      </w:r>
                    </w:p>
                    <w:p w14:paraId="6130676F" w14:textId="77777777" w:rsidR="00F138C8" w:rsidRPr="0073499F" w:rsidRDefault="00F138C8" w:rsidP="00531E90">
                      <w:pPr>
                        <w:spacing w:line="220" w:lineRule="exact"/>
                        <w:suppressOverlap/>
                        <w:rPr>
                          <w:sz w:val="16"/>
                          <w:szCs w:val="16"/>
                          <w:lang w:val="en-US"/>
                        </w:rPr>
                      </w:pPr>
                    </w:p>
                    <w:p w14:paraId="61306770" w14:textId="77777777" w:rsidR="00F138C8" w:rsidRPr="0073499F" w:rsidRDefault="00F138C8" w:rsidP="00531E90">
                      <w:pPr>
                        <w:spacing w:line="220" w:lineRule="exact"/>
                        <w:suppressOverlap/>
                        <w:rPr>
                          <w:sz w:val="16"/>
                          <w:szCs w:val="16"/>
                          <w:lang w:val="en-US"/>
                        </w:rPr>
                      </w:pPr>
                      <w:r w:rsidRPr="0073499F">
                        <w:rPr>
                          <w:b/>
                          <w:sz w:val="16"/>
                          <w:szCs w:val="16"/>
                          <w:lang w:val="en-US"/>
                        </w:rPr>
                        <w:t>J no.</w:t>
                      </w:r>
                      <w:r w:rsidRPr="0073499F">
                        <w:rPr>
                          <w:sz w:val="16"/>
                          <w:szCs w:val="16"/>
                          <w:lang w:val="en-US"/>
                        </w:rPr>
                        <w:t xml:space="preserve"> </w:t>
                      </w:r>
                      <w:r>
                        <w:rPr>
                          <w:sz w:val="16"/>
                          <w:szCs w:val="16"/>
                          <w:lang w:val="en-US"/>
                        </w:rPr>
                        <w:t>2024 - 1180</w:t>
                      </w:r>
                    </w:p>
                    <w:p w14:paraId="61306771" w14:textId="77777777" w:rsidR="00F138C8" w:rsidRPr="0073499F" w:rsidRDefault="00F138C8" w:rsidP="00531E90">
                      <w:pPr>
                        <w:spacing w:line="220" w:lineRule="exact"/>
                        <w:suppressOverlap/>
                        <w:rPr>
                          <w:sz w:val="16"/>
                          <w:szCs w:val="16"/>
                          <w:lang w:val="en-US"/>
                        </w:rPr>
                      </w:pPr>
                    </w:p>
                    <w:p w14:paraId="61306772" w14:textId="77777777" w:rsidR="00F138C8" w:rsidRDefault="00F138C8" w:rsidP="00531E90"/>
                  </w:txbxContent>
                </v:textbox>
              </v:shape>
            </w:pict>
          </mc:Fallback>
        </mc:AlternateContent>
      </w:r>
      <w:r w:rsidR="00AD49F2" w:rsidRPr="000015F2">
        <w:rPr>
          <w:sz w:val="44"/>
          <w:szCs w:val="44"/>
          <w:lang w:val="en-US"/>
        </w:rPr>
        <w:t>P</w:t>
      </w:r>
      <w:r w:rsidR="00AD49F2" w:rsidRPr="000015F2">
        <w:rPr>
          <w:sz w:val="44"/>
          <w:szCs w:val="56"/>
          <w:lang w:val="en-US"/>
        </w:rPr>
        <w:t xml:space="preserve">ublic consultation: </w:t>
      </w:r>
    </w:p>
    <w:p w14:paraId="613066FE" w14:textId="77777777" w:rsidR="00AD49F2" w:rsidRPr="000015F2" w:rsidRDefault="00AD49F2" w:rsidP="00AD49F2">
      <w:pPr>
        <w:rPr>
          <w:sz w:val="44"/>
          <w:szCs w:val="56"/>
          <w:lang w:val="en-US"/>
        </w:rPr>
      </w:pPr>
    </w:p>
    <w:p w14:paraId="61306701" w14:textId="6B4F083D" w:rsidR="00AD49F2" w:rsidRPr="000015F2" w:rsidRDefault="000015F2" w:rsidP="000015F2">
      <w:pPr>
        <w:rPr>
          <w:lang w:val="en-US"/>
        </w:rPr>
      </w:pPr>
      <w:r w:rsidRPr="000015F2">
        <w:rPr>
          <w:sz w:val="44"/>
          <w:szCs w:val="56"/>
          <w:lang w:val="en-US"/>
        </w:rPr>
        <w:t xml:space="preserve">State aid for </w:t>
      </w:r>
      <w:proofErr w:type="spellStart"/>
      <w:r w:rsidRPr="000015F2">
        <w:rPr>
          <w:sz w:val="44"/>
          <w:szCs w:val="56"/>
          <w:lang w:val="en-US"/>
        </w:rPr>
        <w:t>decarbonisation</w:t>
      </w:r>
      <w:proofErr w:type="spellEnd"/>
      <w:r w:rsidRPr="000015F2">
        <w:rPr>
          <w:sz w:val="44"/>
          <w:szCs w:val="56"/>
          <w:lang w:val="en-US"/>
        </w:rPr>
        <w:t xml:space="preserve"> of industrial processes in Denmark – </w:t>
      </w:r>
      <w:r>
        <w:rPr>
          <w:sz w:val="44"/>
          <w:szCs w:val="56"/>
          <w:lang w:val="en-US"/>
        </w:rPr>
        <w:t>o</w:t>
      </w:r>
      <w:r w:rsidR="0042642E" w:rsidRPr="000015F2">
        <w:rPr>
          <w:sz w:val="44"/>
          <w:szCs w:val="56"/>
          <w:lang w:val="en-US"/>
        </w:rPr>
        <w:t>peration aid scheme under the Danish Green Tax Reform</w:t>
      </w:r>
      <w:r w:rsidR="00AD49F2">
        <w:rPr>
          <w:lang w:val="en-US"/>
        </w:rPr>
        <w:br w:type="page"/>
      </w:r>
    </w:p>
    <w:sdt>
      <w:sdtPr>
        <w:rPr>
          <w:rFonts w:ascii="Arial" w:eastAsiaTheme="minorHAnsi" w:hAnsi="Arial" w:cstheme="minorBidi"/>
          <w:color w:val="auto"/>
          <w:sz w:val="20"/>
          <w:szCs w:val="22"/>
          <w:lang w:eastAsia="en-US"/>
        </w:rPr>
        <w:id w:val="1636835281"/>
        <w:docPartObj>
          <w:docPartGallery w:val="Table of Contents"/>
          <w:docPartUnique/>
        </w:docPartObj>
      </w:sdtPr>
      <w:sdtEndPr>
        <w:rPr>
          <w:b/>
          <w:bCs/>
        </w:rPr>
      </w:sdtEndPr>
      <w:sdtContent>
        <w:p w14:paraId="61306702" w14:textId="77777777" w:rsidR="00AD49F2" w:rsidRPr="0042642E" w:rsidRDefault="00AD49F2">
          <w:pPr>
            <w:pStyle w:val="Overskrift"/>
            <w:rPr>
              <w:rFonts w:ascii="Arial" w:eastAsiaTheme="minorHAnsi" w:hAnsi="Arial" w:cstheme="minorBidi"/>
              <w:b/>
              <w:color w:val="004B53" w:themeColor="text2"/>
              <w:sz w:val="28"/>
              <w:szCs w:val="28"/>
              <w:lang w:val="en-GB" w:eastAsia="en-US"/>
            </w:rPr>
          </w:pPr>
          <w:r w:rsidRPr="0042642E">
            <w:rPr>
              <w:rFonts w:ascii="Arial" w:eastAsiaTheme="minorHAnsi" w:hAnsi="Arial" w:cstheme="minorBidi"/>
              <w:b/>
              <w:color w:val="004B53" w:themeColor="text2"/>
              <w:sz w:val="28"/>
              <w:szCs w:val="28"/>
              <w:lang w:val="en-GB" w:eastAsia="en-US"/>
            </w:rPr>
            <w:t>Contents</w:t>
          </w:r>
        </w:p>
        <w:p w14:paraId="4676FC11" w14:textId="320FAEA9" w:rsidR="002009E6" w:rsidRDefault="00AD49F2">
          <w:pPr>
            <w:pStyle w:val="Indholdsfortegnelse2"/>
            <w:tabs>
              <w:tab w:val="left" w:pos="660"/>
              <w:tab w:val="right" w:leader="dot" w:pos="7389"/>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169253953" w:history="1">
            <w:r w:rsidR="002009E6" w:rsidRPr="00B8787B">
              <w:rPr>
                <w:rStyle w:val="Hyperlink"/>
                <w:noProof/>
                <w:lang w:val="en-US"/>
              </w:rPr>
              <w:t>1.</w:t>
            </w:r>
            <w:r w:rsidR="002009E6">
              <w:rPr>
                <w:rFonts w:asciiTheme="minorHAnsi" w:eastAsiaTheme="minorEastAsia" w:hAnsiTheme="minorHAnsi"/>
                <w:noProof/>
                <w:sz w:val="22"/>
                <w:lang w:eastAsia="da-DK"/>
              </w:rPr>
              <w:tab/>
            </w:r>
            <w:r w:rsidR="002009E6" w:rsidRPr="00B8787B">
              <w:rPr>
                <w:rStyle w:val="Hyperlink"/>
                <w:noProof/>
                <w:lang w:val="en-US"/>
              </w:rPr>
              <w:t>Introduction</w:t>
            </w:r>
            <w:r w:rsidR="002009E6">
              <w:rPr>
                <w:noProof/>
                <w:webHidden/>
              </w:rPr>
              <w:tab/>
            </w:r>
            <w:r w:rsidR="002009E6">
              <w:rPr>
                <w:noProof/>
                <w:webHidden/>
              </w:rPr>
              <w:fldChar w:fldCharType="begin"/>
            </w:r>
            <w:r w:rsidR="002009E6">
              <w:rPr>
                <w:noProof/>
                <w:webHidden/>
              </w:rPr>
              <w:instrText xml:space="preserve"> PAGEREF _Toc169253953 \h </w:instrText>
            </w:r>
            <w:r w:rsidR="002009E6">
              <w:rPr>
                <w:noProof/>
                <w:webHidden/>
              </w:rPr>
            </w:r>
            <w:r w:rsidR="002009E6">
              <w:rPr>
                <w:noProof/>
                <w:webHidden/>
              </w:rPr>
              <w:fldChar w:fldCharType="separate"/>
            </w:r>
            <w:r w:rsidR="002009E6">
              <w:rPr>
                <w:noProof/>
                <w:webHidden/>
              </w:rPr>
              <w:t>3</w:t>
            </w:r>
            <w:r w:rsidR="002009E6">
              <w:rPr>
                <w:noProof/>
                <w:webHidden/>
              </w:rPr>
              <w:fldChar w:fldCharType="end"/>
            </w:r>
          </w:hyperlink>
        </w:p>
        <w:p w14:paraId="5DB0EC78" w14:textId="4911D839" w:rsidR="002009E6" w:rsidRDefault="00CF1672">
          <w:pPr>
            <w:pStyle w:val="Indholdsfortegnelse2"/>
            <w:tabs>
              <w:tab w:val="left" w:pos="660"/>
              <w:tab w:val="right" w:leader="dot" w:pos="7389"/>
            </w:tabs>
            <w:rPr>
              <w:rFonts w:asciiTheme="minorHAnsi" w:eastAsiaTheme="minorEastAsia" w:hAnsiTheme="minorHAnsi"/>
              <w:noProof/>
              <w:sz w:val="22"/>
              <w:lang w:eastAsia="da-DK"/>
            </w:rPr>
          </w:pPr>
          <w:hyperlink w:anchor="_Toc169253954" w:history="1">
            <w:r w:rsidR="002009E6" w:rsidRPr="00B8787B">
              <w:rPr>
                <w:rStyle w:val="Hyperlink"/>
                <w:noProof/>
                <w:lang w:val="en-US"/>
              </w:rPr>
              <w:t>2.</w:t>
            </w:r>
            <w:r w:rsidR="002009E6">
              <w:rPr>
                <w:rFonts w:asciiTheme="minorHAnsi" w:eastAsiaTheme="minorEastAsia" w:hAnsiTheme="minorHAnsi"/>
                <w:noProof/>
                <w:sz w:val="22"/>
                <w:lang w:eastAsia="da-DK"/>
              </w:rPr>
              <w:tab/>
            </w:r>
            <w:r w:rsidR="002009E6" w:rsidRPr="00B8787B">
              <w:rPr>
                <w:rStyle w:val="Hyperlink"/>
                <w:noProof/>
                <w:lang w:val="en-US"/>
              </w:rPr>
              <w:t>The background and objective of the scheme</w:t>
            </w:r>
            <w:r w:rsidR="002009E6">
              <w:rPr>
                <w:noProof/>
                <w:webHidden/>
              </w:rPr>
              <w:tab/>
            </w:r>
            <w:r w:rsidR="002009E6">
              <w:rPr>
                <w:noProof/>
                <w:webHidden/>
              </w:rPr>
              <w:fldChar w:fldCharType="begin"/>
            </w:r>
            <w:r w:rsidR="002009E6">
              <w:rPr>
                <w:noProof/>
                <w:webHidden/>
              </w:rPr>
              <w:instrText xml:space="preserve"> PAGEREF _Toc169253954 \h </w:instrText>
            </w:r>
            <w:r w:rsidR="002009E6">
              <w:rPr>
                <w:noProof/>
                <w:webHidden/>
              </w:rPr>
            </w:r>
            <w:r w:rsidR="002009E6">
              <w:rPr>
                <w:noProof/>
                <w:webHidden/>
              </w:rPr>
              <w:fldChar w:fldCharType="separate"/>
            </w:r>
            <w:r w:rsidR="002009E6">
              <w:rPr>
                <w:noProof/>
                <w:webHidden/>
              </w:rPr>
              <w:t>4</w:t>
            </w:r>
            <w:r w:rsidR="002009E6">
              <w:rPr>
                <w:noProof/>
                <w:webHidden/>
              </w:rPr>
              <w:fldChar w:fldCharType="end"/>
            </w:r>
          </w:hyperlink>
        </w:p>
        <w:p w14:paraId="676C9EB1" w14:textId="3E4FB0C0" w:rsidR="002009E6" w:rsidRDefault="00CF1672">
          <w:pPr>
            <w:pStyle w:val="Indholdsfortegnelse3"/>
            <w:tabs>
              <w:tab w:val="left" w:pos="1100"/>
              <w:tab w:val="right" w:leader="dot" w:pos="7389"/>
            </w:tabs>
            <w:rPr>
              <w:rFonts w:asciiTheme="minorHAnsi" w:eastAsiaTheme="minorEastAsia" w:hAnsiTheme="minorHAnsi"/>
              <w:noProof/>
              <w:sz w:val="22"/>
              <w:lang w:eastAsia="da-DK"/>
            </w:rPr>
          </w:pPr>
          <w:hyperlink w:anchor="_Toc169253955" w:history="1">
            <w:r w:rsidR="002009E6" w:rsidRPr="00B8787B">
              <w:rPr>
                <w:rStyle w:val="Hyperlink"/>
                <w:noProof/>
                <w:lang w:val="en-US"/>
              </w:rPr>
              <w:t>2.1.</w:t>
            </w:r>
            <w:r w:rsidR="002009E6">
              <w:rPr>
                <w:rFonts w:asciiTheme="minorHAnsi" w:eastAsiaTheme="minorEastAsia" w:hAnsiTheme="minorHAnsi"/>
                <w:noProof/>
                <w:sz w:val="22"/>
                <w:lang w:eastAsia="da-DK"/>
              </w:rPr>
              <w:tab/>
            </w:r>
            <w:r w:rsidR="002009E6" w:rsidRPr="00B8787B">
              <w:rPr>
                <w:rStyle w:val="Hyperlink"/>
                <w:noProof/>
                <w:lang w:val="en-US"/>
              </w:rPr>
              <w:t>Operation aid scheme for decarbonisation of industrial processes</w:t>
            </w:r>
            <w:r w:rsidR="002009E6">
              <w:rPr>
                <w:noProof/>
                <w:webHidden/>
              </w:rPr>
              <w:tab/>
            </w:r>
            <w:r w:rsidR="002009E6">
              <w:rPr>
                <w:noProof/>
                <w:webHidden/>
              </w:rPr>
              <w:fldChar w:fldCharType="begin"/>
            </w:r>
            <w:r w:rsidR="002009E6">
              <w:rPr>
                <w:noProof/>
                <w:webHidden/>
              </w:rPr>
              <w:instrText xml:space="preserve"> PAGEREF _Toc169253955 \h </w:instrText>
            </w:r>
            <w:r w:rsidR="002009E6">
              <w:rPr>
                <w:noProof/>
                <w:webHidden/>
              </w:rPr>
            </w:r>
            <w:r w:rsidR="002009E6">
              <w:rPr>
                <w:noProof/>
                <w:webHidden/>
              </w:rPr>
              <w:fldChar w:fldCharType="separate"/>
            </w:r>
            <w:r w:rsidR="002009E6">
              <w:rPr>
                <w:noProof/>
                <w:webHidden/>
              </w:rPr>
              <w:t>4</w:t>
            </w:r>
            <w:r w:rsidR="002009E6">
              <w:rPr>
                <w:noProof/>
                <w:webHidden/>
              </w:rPr>
              <w:fldChar w:fldCharType="end"/>
            </w:r>
          </w:hyperlink>
        </w:p>
        <w:p w14:paraId="4D10EA1B" w14:textId="5789D316" w:rsidR="002009E6" w:rsidRDefault="00CF1672">
          <w:pPr>
            <w:pStyle w:val="Indholdsfortegnelse3"/>
            <w:tabs>
              <w:tab w:val="left" w:pos="1100"/>
              <w:tab w:val="right" w:leader="dot" w:pos="7389"/>
            </w:tabs>
            <w:rPr>
              <w:rFonts w:asciiTheme="minorHAnsi" w:eastAsiaTheme="minorEastAsia" w:hAnsiTheme="minorHAnsi"/>
              <w:noProof/>
              <w:sz w:val="22"/>
              <w:lang w:eastAsia="da-DK"/>
            </w:rPr>
          </w:pPr>
          <w:hyperlink w:anchor="_Toc169253956" w:history="1">
            <w:r w:rsidR="002009E6" w:rsidRPr="00B8787B">
              <w:rPr>
                <w:rStyle w:val="Hyperlink"/>
                <w:noProof/>
                <w:lang w:val="en-US"/>
              </w:rPr>
              <w:t>2.2.</w:t>
            </w:r>
            <w:r w:rsidR="002009E6">
              <w:rPr>
                <w:rFonts w:asciiTheme="minorHAnsi" w:eastAsiaTheme="minorEastAsia" w:hAnsiTheme="minorHAnsi"/>
                <w:noProof/>
                <w:sz w:val="22"/>
                <w:lang w:eastAsia="da-DK"/>
              </w:rPr>
              <w:tab/>
            </w:r>
            <w:r w:rsidR="002009E6" w:rsidRPr="00B8787B">
              <w:rPr>
                <w:rStyle w:val="Hyperlink"/>
                <w:noProof/>
                <w:lang w:val="en-US"/>
              </w:rPr>
              <w:t>State aid model</w:t>
            </w:r>
            <w:r w:rsidR="002009E6">
              <w:rPr>
                <w:noProof/>
                <w:webHidden/>
              </w:rPr>
              <w:tab/>
            </w:r>
            <w:r w:rsidR="002009E6">
              <w:rPr>
                <w:noProof/>
                <w:webHidden/>
              </w:rPr>
              <w:fldChar w:fldCharType="begin"/>
            </w:r>
            <w:r w:rsidR="002009E6">
              <w:rPr>
                <w:noProof/>
                <w:webHidden/>
              </w:rPr>
              <w:instrText xml:space="preserve"> PAGEREF _Toc169253956 \h </w:instrText>
            </w:r>
            <w:r w:rsidR="002009E6">
              <w:rPr>
                <w:noProof/>
                <w:webHidden/>
              </w:rPr>
            </w:r>
            <w:r w:rsidR="002009E6">
              <w:rPr>
                <w:noProof/>
                <w:webHidden/>
              </w:rPr>
              <w:fldChar w:fldCharType="separate"/>
            </w:r>
            <w:r w:rsidR="002009E6">
              <w:rPr>
                <w:noProof/>
                <w:webHidden/>
              </w:rPr>
              <w:t>4</w:t>
            </w:r>
            <w:r w:rsidR="002009E6">
              <w:rPr>
                <w:noProof/>
                <w:webHidden/>
              </w:rPr>
              <w:fldChar w:fldCharType="end"/>
            </w:r>
          </w:hyperlink>
        </w:p>
        <w:p w14:paraId="1CF1E6AD" w14:textId="7BD76836" w:rsidR="002009E6" w:rsidRDefault="00CF1672">
          <w:pPr>
            <w:pStyle w:val="Indholdsfortegnelse2"/>
            <w:tabs>
              <w:tab w:val="left" w:pos="660"/>
              <w:tab w:val="right" w:leader="dot" w:pos="7389"/>
            </w:tabs>
            <w:rPr>
              <w:rFonts w:asciiTheme="minorHAnsi" w:eastAsiaTheme="minorEastAsia" w:hAnsiTheme="minorHAnsi"/>
              <w:noProof/>
              <w:sz w:val="22"/>
              <w:lang w:eastAsia="da-DK"/>
            </w:rPr>
          </w:pPr>
          <w:hyperlink w:anchor="_Toc169253957" w:history="1">
            <w:r w:rsidR="002009E6" w:rsidRPr="00B8787B">
              <w:rPr>
                <w:rStyle w:val="Hyperlink"/>
                <w:noProof/>
                <w:lang w:val="en-US"/>
              </w:rPr>
              <w:t>3.</w:t>
            </w:r>
            <w:r w:rsidR="002009E6">
              <w:rPr>
                <w:rFonts w:asciiTheme="minorHAnsi" w:eastAsiaTheme="minorEastAsia" w:hAnsiTheme="minorHAnsi"/>
                <w:noProof/>
                <w:sz w:val="22"/>
                <w:lang w:eastAsia="da-DK"/>
              </w:rPr>
              <w:tab/>
            </w:r>
            <w:r w:rsidR="002009E6" w:rsidRPr="00B8787B">
              <w:rPr>
                <w:rStyle w:val="Hyperlink"/>
                <w:noProof/>
                <w:lang w:val="en-US"/>
              </w:rPr>
              <w:t>Eligibility</w:t>
            </w:r>
            <w:r w:rsidR="002009E6">
              <w:rPr>
                <w:noProof/>
                <w:webHidden/>
              </w:rPr>
              <w:tab/>
            </w:r>
            <w:r w:rsidR="002009E6">
              <w:rPr>
                <w:noProof/>
                <w:webHidden/>
              </w:rPr>
              <w:fldChar w:fldCharType="begin"/>
            </w:r>
            <w:r w:rsidR="002009E6">
              <w:rPr>
                <w:noProof/>
                <w:webHidden/>
              </w:rPr>
              <w:instrText xml:space="preserve"> PAGEREF _Toc169253957 \h </w:instrText>
            </w:r>
            <w:r w:rsidR="002009E6">
              <w:rPr>
                <w:noProof/>
                <w:webHidden/>
              </w:rPr>
            </w:r>
            <w:r w:rsidR="002009E6">
              <w:rPr>
                <w:noProof/>
                <w:webHidden/>
              </w:rPr>
              <w:fldChar w:fldCharType="separate"/>
            </w:r>
            <w:r w:rsidR="002009E6">
              <w:rPr>
                <w:noProof/>
                <w:webHidden/>
              </w:rPr>
              <w:t>5</w:t>
            </w:r>
            <w:r w:rsidR="002009E6">
              <w:rPr>
                <w:noProof/>
                <w:webHidden/>
              </w:rPr>
              <w:fldChar w:fldCharType="end"/>
            </w:r>
          </w:hyperlink>
        </w:p>
        <w:p w14:paraId="072B3EA9" w14:textId="24A13765" w:rsidR="002009E6" w:rsidRDefault="00CF1672">
          <w:pPr>
            <w:pStyle w:val="Indholdsfortegnelse3"/>
            <w:tabs>
              <w:tab w:val="left" w:pos="1100"/>
              <w:tab w:val="right" w:leader="dot" w:pos="7389"/>
            </w:tabs>
            <w:rPr>
              <w:rFonts w:asciiTheme="minorHAnsi" w:eastAsiaTheme="minorEastAsia" w:hAnsiTheme="minorHAnsi"/>
              <w:noProof/>
              <w:sz w:val="22"/>
              <w:lang w:eastAsia="da-DK"/>
            </w:rPr>
          </w:pPr>
          <w:hyperlink w:anchor="_Toc169253958" w:history="1">
            <w:r w:rsidR="002009E6" w:rsidRPr="00B8787B">
              <w:rPr>
                <w:rStyle w:val="Hyperlink"/>
                <w:noProof/>
                <w:lang w:val="en-US"/>
              </w:rPr>
              <w:t>3.1.</w:t>
            </w:r>
            <w:r w:rsidR="002009E6">
              <w:rPr>
                <w:rFonts w:asciiTheme="minorHAnsi" w:eastAsiaTheme="minorEastAsia" w:hAnsiTheme="minorHAnsi"/>
                <w:noProof/>
                <w:sz w:val="22"/>
                <w:lang w:eastAsia="da-DK"/>
              </w:rPr>
              <w:tab/>
            </w:r>
            <w:r w:rsidR="002009E6" w:rsidRPr="00B8787B">
              <w:rPr>
                <w:rStyle w:val="Hyperlink"/>
                <w:noProof/>
                <w:lang w:val="en-US"/>
              </w:rPr>
              <w:t>Sectors eligible for aid</w:t>
            </w:r>
            <w:r w:rsidR="002009E6">
              <w:rPr>
                <w:noProof/>
                <w:webHidden/>
              </w:rPr>
              <w:tab/>
            </w:r>
            <w:r w:rsidR="002009E6">
              <w:rPr>
                <w:noProof/>
                <w:webHidden/>
              </w:rPr>
              <w:fldChar w:fldCharType="begin"/>
            </w:r>
            <w:r w:rsidR="002009E6">
              <w:rPr>
                <w:noProof/>
                <w:webHidden/>
              </w:rPr>
              <w:instrText xml:space="preserve"> PAGEREF _Toc169253958 \h </w:instrText>
            </w:r>
            <w:r w:rsidR="002009E6">
              <w:rPr>
                <w:noProof/>
                <w:webHidden/>
              </w:rPr>
            </w:r>
            <w:r w:rsidR="002009E6">
              <w:rPr>
                <w:noProof/>
                <w:webHidden/>
              </w:rPr>
              <w:fldChar w:fldCharType="separate"/>
            </w:r>
            <w:r w:rsidR="002009E6">
              <w:rPr>
                <w:noProof/>
                <w:webHidden/>
              </w:rPr>
              <w:t>5</w:t>
            </w:r>
            <w:r w:rsidR="002009E6">
              <w:rPr>
                <w:noProof/>
                <w:webHidden/>
              </w:rPr>
              <w:fldChar w:fldCharType="end"/>
            </w:r>
          </w:hyperlink>
        </w:p>
        <w:p w14:paraId="210F9BA2" w14:textId="1E44AA66" w:rsidR="002009E6" w:rsidRDefault="00CF1672">
          <w:pPr>
            <w:pStyle w:val="Indholdsfortegnelse3"/>
            <w:tabs>
              <w:tab w:val="left" w:pos="1100"/>
              <w:tab w:val="right" w:leader="dot" w:pos="7389"/>
            </w:tabs>
            <w:rPr>
              <w:rFonts w:asciiTheme="minorHAnsi" w:eastAsiaTheme="minorEastAsia" w:hAnsiTheme="minorHAnsi"/>
              <w:noProof/>
              <w:sz w:val="22"/>
              <w:lang w:eastAsia="da-DK"/>
            </w:rPr>
          </w:pPr>
          <w:hyperlink w:anchor="_Toc169253959" w:history="1">
            <w:r w:rsidR="002009E6" w:rsidRPr="00B8787B">
              <w:rPr>
                <w:rStyle w:val="Hyperlink"/>
                <w:noProof/>
                <w:lang w:val="en-US"/>
              </w:rPr>
              <w:t>3.2.</w:t>
            </w:r>
            <w:r w:rsidR="002009E6">
              <w:rPr>
                <w:rFonts w:asciiTheme="minorHAnsi" w:eastAsiaTheme="minorEastAsia" w:hAnsiTheme="minorHAnsi"/>
                <w:noProof/>
                <w:sz w:val="22"/>
                <w:lang w:eastAsia="da-DK"/>
              </w:rPr>
              <w:tab/>
            </w:r>
            <w:r w:rsidR="002009E6" w:rsidRPr="00B8787B">
              <w:rPr>
                <w:rStyle w:val="Hyperlink"/>
                <w:noProof/>
                <w:lang w:val="en-US"/>
              </w:rPr>
              <w:t>Sectors excluded from the scheme</w:t>
            </w:r>
            <w:r w:rsidR="002009E6">
              <w:rPr>
                <w:noProof/>
                <w:webHidden/>
              </w:rPr>
              <w:tab/>
            </w:r>
            <w:r w:rsidR="002009E6">
              <w:rPr>
                <w:noProof/>
                <w:webHidden/>
              </w:rPr>
              <w:fldChar w:fldCharType="begin"/>
            </w:r>
            <w:r w:rsidR="002009E6">
              <w:rPr>
                <w:noProof/>
                <w:webHidden/>
              </w:rPr>
              <w:instrText xml:space="preserve"> PAGEREF _Toc169253959 \h </w:instrText>
            </w:r>
            <w:r w:rsidR="002009E6">
              <w:rPr>
                <w:noProof/>
                <w:webHidden/>
              </w:rPr>
            </w:r>
            <w:r w:rsidR="002009E6">
              <w:rPr>
                <w:noProof/>
                <w:webHidden/>
              </w:rPr>
              <w:fldChar w:fldCharType="separate"/>
            </w:r>
            <w:r w:rsidR="002009E6">
              <w:rPr>
                <w:noProof/>
                <w:webHidden/>
              </w:rPr>
              <w:t>5</w:t>
            </w:r>
            <w:r w:rsidR="002009E6">
              <w:rPr>
                <w:noProof/>
                <w:webHidden/>
              </w:rPr>
              <w:fldChar w:fldCharType="end"/>
            </w:r>
          </w:hyperlink>
        </w:p>
        <w:p w14:paraId="6ED25F34" w14:textId="01109C74" w:rsidR="002009E6" w:rsidRDefault="00CF1672">
          <w:pPr>
            <w:pStyle w:val="Indholdsfortegnelse3"/>
            <w:tabs>
              <w:tab w:val="left" w:pos="1100"/>
              <w:tab w:val="right" w:leader="dot" w:pos="7389"/>
            </w:tabs>
            <w:rPr>
              <w:rFonts w:asciiTheme="minorHAnsi" w:eastAsiaTheme="minorEastAsia" w:hAnsiTheme="minorHAnsi"/>
              <w:noProof/>
              <w:sz w:val="22"/>
              <w:lang w:eastAsia="da-DK"/>
            </w:rPr>
          </w:pPr>
          <w:hyperlink w:anchor="_Toc169253960" w:history="1">
            <w:r w:rsidR="002009E6" w:rsidRPr="00B8787B">
              <w:rPr>
                <w:rStyle w:val="Hyperlink"/>
                <w:noProof/>
                <w:lang w:val="en-US"/>
              </w:rPr>
              <w:t>3.3.</w:t>
            </w:r>
            <w:r w:rsidR="002009E6">
              <w:rPr>
                <w:rFonts w:asciiTheme="minorHAnsi" w:eastAsiaTheme="minorEastAsia" w:hAnsiTheme="minorHAnsi"/>
                <w:noProof/>
                <w:sz w:val="22"/>
                <w:lang w:eastAsia="da-DK"/>
              </w:rPr>
              <w:tab/>
            </w:r>
            <w:r w:rsidR="002009E6" w:rsidRPr="00B8787B">
              <w:rPr>
                <w:rStyle w:val="Hyperlink"/>
                <w:noProof/>
                <w:lang w:val="en-US"/>
              </w:rPr>
              <w:t>Delimitation of undertakings</w:t>
            </w:r>
            <w:r w:rsidR="002009E6">
              <w:rPr>
                <w:noProof/>
                <w:webHidden/>
              </w:rPr>
              <w:tab/>
            </w:r>
            <w:r w:rsidR="002009E6">
              <w:rPr>
                <w:noProof/>
                <w:webHidden/>
              </w:rPr>
              <w:fldChar w:fldCharType="begin"/>
            </w:r>
            <w:r w:rsidR="002009E6">
              <w:rPr>
                <w:noProof/>
                <w:webHidden/>
              </w:rPr>
              <w:instrText xml:space="preserve"> PAGEREF _Toc169253960 \h </w:instrText>
            </w:r>
            <w:r w:rsidR="002009E6">
              <w:rPr>
                <w:noProof/>
                <w:webHidden/>
              </w:rPr>
            </w:r>
            <w:r w:rsidR="002009E6">
              <w:rPr>
                <w:noProof/>
                <w:webHidden/>
              </w:rPr>
              <w:fldChar w:fldCharType="separate"/>
            </w:r>
            <w:r w:rsidR="002009E6">
              <w:rPr>
                <w:noProof/>
                <w:webHidden/>
              </w:rPr>
              <w:t>5</w:t>
            </w:r>
            <w:r w:rsidR="002009E6">
              <w:rPr>
                <w:noProof/>
                <w:webHidden/>
              </w:rPr>
              <w:fldChar w:fldCharType="end"/>
            </w:r>
          </w:hyperlink>
        </w:p>
        <w:p w14:paraId="179B476D" w14:textId="151A6C09" w:rsidR="002009E6" w:rsidRDefault="00CF1672">
          <w:pPr>
            <w:pStyle w:val="Indholdsfortegnelse3"/>
            <w:tabs>
              <w:tab w:val="left" w:pos="1100"/>
              <w:tab w:val="right" w:leader="dot" w:pos="7389"/>
            </w:tabs>
            <w:rPr>
              <w:rFonts w:asciiTheme="minorHAnsi" w:eastAsiaTheme="minorEastAsia" w:hAnsiTheme="minorHAnsi"/>
              <w:noProof/>
              <w:sz w:val="22"/>
              <w:lang w:eastAsia="da-DK"/>
            </w:rPr>
          </w:pPr>
          <w:hyperlink w:anchor="_Toc169253961" w:history="1">
            <w:r w:rsidR="002009E6" w:rsidRPr="00B8787B">
              <w:rPr>
                <w:rStyle w:val="Hyperlink"/>
                <w:noProof/>
                <w:lang w:val="en-US"/>
              </w:rPr>
              <w:t>3.4.</w:t>
            </w:r>
            <w:r w:rsidR="002009E6">
              <w:rPr>
                <w:rFonts w:asciiTheme="minorHAnsi" w:eastAsiaTheme="minorEastAsia" w:hAnsiTheme="minorHAnsi"/>
                <w:noProof/>
                <w:sz w:val="22"/>
                <w:lang w:eastAsia="da-DK"/>
              </w:rPr>
              <w:tab/>
            </w:r>
            <w:r w:rsidR="002009E6" w:rsidRPr="00B8787B">
              <w:rPr>
                <w:rStyle w:val="Hyperlink"/>
                <w:noProof/>
                <w:lang w:val="en-US"/>
              </w:rPr>
              <w:t xml:space="preserve">Projects where there is no </w:t>
            </w:r>
            <w:r w:rsidR="002009E6" w:rsidRPr="00B8787B">
              <w:rPr>
                <w:rStyle w:val="Hyperlink"/>
                <w:rFonts w:cstheme="majorHAnsi"/>
                <w:noProof/>
                <w:lang w:val="en-US"/>
              </w:rPr>
              <w:t>“</w:t>
            </w:r>
            <w:r w:rsidR="002009E6" w:rsidRPr="00B8787B">
              <w:rPr>
                <w:rStyle w:val="Hyperlink"/>
                <w:noProof/>
                <w:lang w:val="en-US"/>
              </w:rPr>
              <w:t>start of work”</w:t>
            </w:r>
            <w:r w:rsidR="002009E6">
              <w:rPr>
                <w:noProof/>
                <w:webHidden/>
              </w:rPr>
              <w:tab/>
            </w:r>
            <w:r w:rsidR="002009E6">
              <w:rPr>
                <w:noProof/>
                <w:webHidden/>
              </w:rPr>
              <w:fldChar w:fldCharType="begin"/>
            </w:r>
            <w:r w:rsidR="002009E6">
              <w:rPr>
                <w:noProof/>
                <w:webHidden/>
              </w:rPr>
              <w:instrText xml:space="preserve"> PAGEREF _Toc169253961 \h </w:instrText>
            </w:r>
            <w:r w:rsidR="002009E6">
              <w:rPr>
                <w:noProof/>
                <w:webHidden/>
              </w:rPr>
            </w:r>
            <w:r w:rsidR="002009E6">
              <w:rPr>
                <w:noProof/>
                <w:webHidden/>
              </w:rPr>
              <w:fldChar w:fldCharType="separate"/>
            </w:r>
            <w:r w:rsidR="002009E6">
              <w:rPr>
                <w:noProof/>
                <w:webHidden/>
              </w:rPr>
              <w:t>6</w:t>
            </w:r>
            <w:r w:rsidR="002009E6">
              <w:rPr>
                <w:noProof/>
                <w:webHidden/>
              </w:rPr>
              <w:fldChar w:fldCharType="end"/>
            </w:r>
          </w:hyperlink>
        </w:p>
        <w:p w14:paraId="3B0FEC0D" w14:textId="3FE89BD6" w:rsidR="002009E6" w:rsidRDefault="00CF1672">
          <w:pPr>
            <w:pStyle w:val="Indholdsfortegnelse2"/>
            <w:tabs>
              <w:tab w:val="left" w:pos="660"/>
              <w:tab w:val="right" w:leader="dot" w:pos="7389"/>
            </w:tabs>
            <w:rPr>
              <w:rFonts w:asciiTheme="minorHAnsi" w:eastAsiaTheme="minorEastAsia" w:hAnsiTheme="minorHAnsi"/>
              <w:noProof/>
              <w:sz w:val="22"/>
              <w:lang w:eastAsia="da-DK"/>
            </w:rPr>
          </w:pPr>
          <w:hyperlink w:anchor="_Toc169253962" w:history="1">
            <w:r w:rsidR="002009E6" w:rsidRPr="00B8787B">
              <w:rPr>
                <w:rStyle w:val="Hyperlink"/>
                <w:noProof/>
                <w:lang w:val="en-US"/>
              </w:rPr>
              <w:t>4.</w:t>
            </w:r>
            <w:r w:rsidR="002009E6">
              <w:rPr>
                <w:rFonts w:asciiTheme="minorHAnsi" w:eastAsiaTheme="minorEastAsia" w:hAnsiTheme="minorHAnsi"/>
                <w:noProof/>
                <w:sz w:val="22"/>
                <w:lang w:eastAsia="da-DK"/>
              </w:rPr>
              <w:tab/>
            </w:r>
            <w:r w:rsidR="002009E6" w:rsidRPr="00B8787B">
              <w:rPr>
                <w:rStyle w:val="Hyperlink"/>
                <w:noProof/>
                <w:lang w:val="en-US"/>
              </w:rPr>
              <w:t>Proposed use and scope of competitive bidding processes</w:t>
            </w:r>
            <w:r w:rsidR="002009E6">
              <w:rPr>
                <w:noProof/>
                <w:webHidden/>
              </w:rPr>
              <w:tab/>
            </w:r>
            <w:r w:rsidR="002009E6">
              <w:rPr>
                <w:noProof/>
                <w:webHidden/>
              </w:rPr>
              <w:fldChar w:fldCharType="begin"/>
            </w:r>
            <w:r w:rsidR="002009E6">
              <w:rPr>
                <w:noProof/>
                <w:webHidden/>
              </w:rPr>
              <w:instrText xml:space="preserve"> PAGEREF _Toc169253962 \h </w:instrText>
            </w:r>
            <w:r w:rsidR="002009E6">
              <w:rPr>
                <w:noProof/>
                <w:webHidden/>
              </w:rPr>
            </w:r>
            <w:r w:rsidR="002009E6">
              <w:rPr>
                <w:noProof/>
                <w:webHidden/>
              </w:rPr>
              <w:fldChar w:fldCharType="separate"/>
            </w:r>
            <w:r w:rsidR="002009E6">
              <w:rPr>
                <w:noProof/>
                <w:webHidden/>
              </w:rPr>
              <w:t>6</w:t>
            </w:r>
            <w:r w:rsidR="002009E6">
              <w:rPr>
                <w:noProof/>
                <w:webHidden/>
              </w:rPr>
              <w:fldChar w:fldCharType="end"/>
            </w:r>
          </w:hyperlink>
        </w:p>
        <w:p w14:paraId="6CDF8530" w14:textId="75738E7E" w:rsidR="002009E6" w:rsidRDefault="00CF1672">
          <w:pPr>
            <w:pStyle w:val="Indholdsfortegnelse2"/>
            <w:tabs>
              <w:tab w:val="left" w:pos="660"/>
              <w:tab w:val="right" w:leader="dot" w:pos="7389"/>
            </w:tabs>
            <w:rPr>
              <w:rFonts w:asciiTheme="minorHAnsi" w:eastAsiaTheme="minorEastAsia" w:hAnsiTheme="minorHAnsi"/>
              <w:noProof/>
              <w:sz w:val="22"/>
              <w:lang w:eastAsia="da-DK"/>
            </w:rPr>
          </w:pPr>
          <w:hyperlink w:anchor="_Toc169253963" w:history="1">
            <w:r w:rsidR="002009E6" w:rsidRPr="00B8787B">
              <w:rPr>
                <w:rStyle w:val="Hyperlink"/>
                <w:noProof/>
                <w:lang w:val="en-US"/>
              </w:rPr>
              <w:t>5.</w:t>
            </w:r>
            <w:r w:rsidR="002009E6">
              <w:rPr>
                <w:rFonts w:asciiTheme="minorHAnsi" w:eastAsiaTheme="minorEastAsia" w:hAnsiTheme="minorHAnsi"/>
                <w:noProof/>
                <w:sz w:val="22"/>
                <w:lang w:eastAsia="da-DK"/>
              </w:rPr>
              <w:tab/>
            </w:r>
            <w:r w:rsidR="002009E6" w:rsidRPr="00B8787B">
              <w:rPr>
                <w:rStyle w:val="Hyperlink"/>
                <w:noProof/>
                <w:lang w:val="en-US"/>
              </w:rPr>
              <w:t>Proposed safeguards to ensure compatibility with the Union’s climate targets</w:t>
            </w:r>
            <w:r w:rsidR="002009E6">
              <w:rPr>
                <w:noProof/>
                <w:webHidden/>
              </w:rPr>
              <w:tab/>
            </w:r>
            <w:r w:rsidR="002009E6">
              <w:rPr>
                <w:noProof/>
                <w:webHidden/>
              </w:rPr>
              <w:fldChar w:fldCharType="begin"/>
            </w:r>
            <w:r w:rsidR="002009E6">
              <w:rPr>
                <w:noProof/>
                <w:webHidden/>
              </w:rPr>
              <w:instrText xml:space="preserve"> PAGEREF _Toc169253963 \h </w:instrText>
            </w:r>
            <w:r w:rsidR="002009E6">
              <w:rPr>
                <w:noProof/>
                <w:webHidden/>
              </w:rPr>
            </w:r>
            <w:r w:rsidR="002009E6">
              <w:rPr>
                <w:noProof/>
                <w:webHidden/>
              </w:rPr>
              <w:fldChar w:fldCharType="separate"/>
            </w:r>
            <w:r w:rsidR="002009E6">
              <w:rPr>
                <w:noProof/>
                <w:webHidden/>
              </w:rPr>
              <w:t>7</w:t>
            </w:r>
            <w:r w:rsidR="002009E6">
              <w:rPr>
                <w:noProof/>
                <w:webHidden/>
              </w:rPr>
              <w:fldChar w:fldCharType="end"/>
            </w:r>
          </w:hyperlink>
        </w:p>
        <w:p w14:paraId="560573CE" w14:textId="34A31673" w:rsidR="002009E6" w:rsidRDefault="00CF1672">
          <w:pPr>
            <w:pStyle w:val="Indholdsfortegnelse2"/>
            <w:tabs>
              <w:tab w:val="left" w:pos="660"/>
              <w:tab w:val="right" w:leader="dot" w:pos="7389"/>
            </w:tabs>
            <w:rPr>
              <w:rFonts w:asciiTheme="minorHAnsi" w:eastAsiaTheme="minorEastAsia" w:hAnsiTheme="minorHAnsi"/>
              <w:noProof/>
              <w:sz w:val="22"/>
              <w:lang w:eastAsia="da-DK"/>
            </w:rPr>
          </w:pPr>
          <w:hyperlink w:anchor="_Toc169253964" w:history="1">
            <w:r w:rsidR="002009E6" w:rsidRPr="00B8787B">
              <w:rPr>
                <w:rStyle w:val="Hyperlink"/>
                <w:noProof/>
                <w:lang w:val="en-US"/>
              </w:rPr>
              <w:t>6.</w:t>
            </w:r>
            <w:r w:rsidR="002009E6">
              <w:rPr>
                <w:rFonts w:asciiTheme="minorHAnsi" w:eastAsiaTheme="minorEastAsia" w:hAnsiTheme="minorHAnsi"/>
                <w:noProof/>
                <w:sz w:val="22"/>
                <w:lang w:eastAsia="da-DK"/>
              </w:rPr>
              <w:tab/>
            </w:r>
            <w:r w:rsidR="002009E6" w:rsidRPr="00B8787B">
              <w:rPr>
                <w:rStyle w:val="Hyperlink"/>
                <w:noProof/>
                <w:lang w:val="en-US"/>
              </w:rPr>
              <w:t>Consultation questions</w:t>
            </w:r>
            <w:r w:rsidR="002009E6">
              <w:rPr>
                <w:noProof/>
                <w:webHidden/>
              </w:rPr>
              <w:tab/>
            </w:r>
            <w:r w:rsidR="002009E6">
              <w:rPr>
                <w:noProof/>
                <w:webHidden/>
              </w:rPr>
              <w:fldChar w:fldCharType="begin"/>
            </w:r>
            <w:r w:rsidR="002009E6">
              <w:rPr>
                <w:noProof/>
                <w:webHidden/>
              </w:rPr>
              <w:instrText xml:space="preserve"> PAGEREF _Toc169253964 \h </w:instrText>
            </w:r>
            <w:r w:rsidR="002009E6">
              <w:rPr>
                <w:noProof/>
                <w:webHidden/>
              </w:rPr>
            </w:r>
            <w:r w:rsidR="002009E6">
              <w:rPr>
                <w:noProof/>
                <w:webHidden/>
              </w:rPr>
              <w:fldChar w:fldCharType="separate"/>
            </w:r>
            <w:r w:rsidR="002009E6">
              <w:rPr>
                <w:noProof/>
                <w:webHidden/>
              </w:rPr>
              <w:t>8</w:t>
            </w:r>
            <w:r w:rsidR="002009E6">
              <w:rPr>
                <w:noProof/>
                <w:webHidden/>
              </w:rPr>
              <w:fldChar w:fldCharType="end"/>
            </w:r>
          </w:hyperlink>
        </w:p>
        <w:p w14:paraId="2A3878EF" w14:textId="597596C8" w:rsidR="002009E6" w:rsidRDefault="00CF1672">
          <w:pPr>
            <w:pStyle w:val="Indholdsfortegnelse2"/>
            <w:tabs>
              <w:tab w:val="left" w:pos="660"/>
              <w:tab w:val="right" w:leader="dot" w:pos="7389"/>
            </w:tabs>
            <w:rPr>
              <w:rFonts w:asciiTheme="minorHAnsi" w:eastAsiaTheme="minorEastAsia" w:hAnsiTheme="minorHAnsi"/>
              <w:noProof/>
              <w:sz w:val="22"/>
              <w:lang w:eastAsia="da-DK"/>
            </w:rPr>
          </w:pPr>
          <w:hyperlink w:anchor="_Toc169253965" w:history="1">
            <w:r w:rsidR="002009E6" w:rsidRPr="00B8787B">
              <w:rPr>
                <w:rStyle w:val="Hyperlink"/>
                <w:noProof/>
                <w:lang w:val="en-US"/>
              </w:rPr>
              <w:t>7.</w:t>
            </w:r>
            <w:r w:rsidR="002009E6">
              <w:rPr>
                <w:rFonts w:asciiTheme="minorHAnsi" w:eastAsiaTheme="minorEastAsia" w:hAnsiTheme="minorHAnsi"/>
                <w:noProof/>
                <w:sz w:val="22"/>
                <w:lang w:eastAsia="da-DK"/>
              </w:rPr>
              <w:tab/>
            </w:r>
            <w:r w:rsidR="002009E6" w:rsidRPr="00B8787B">
              <w:rPr>
                <w:rStyle w:val="Hyperlink"/>
                <w:noProof/>
                <w:lang w:val="en-US"/>
              </w:rPr>
              <w:t>Participation on the consultation</w:t>
            </w:r>
            <w:r w:rsidR="002009E6">
              <w:rPr>
                <w:noProof/>
                <w:webHidden/>
              </w:rPr>
              <w:tab/>
            </w:r>
            <w:r w:rsidR="002009E6">
              <w:rPr>
                <w:noProof/>
                <w:webHidden/>
              </w:rPr>
              <w:fldChar w:fldCharType="begin"/>
            </w:r>
            <w:r w:rsidR="002009E6">
              <w:rPr>
                <w:noProof/>
                <w:webHidden/>
              </w:rPr>
              <w:instrText xml:space="preserve"> PAGEREF _Toc169253965 \h </w:instrText>
            </w:r>
            <w:r w:rsidR="002009E6">
              <w:rPr>
                <w:noProof/>
                <w:webHidden/>
              </w:rPr>
            </w:r>
            <w:r w:rsidR="002009E6">
              <w:rPr>
                <w:noProof/>
                <w:webHidden/>
              </w:rPr>
              <w:fldChar w:fldCharType="separate"/>
            </w:r>
            <w:r w:rsidR="002009E6">
              <w:rPr>
                <w:noProof/>
                <w:webHidden/>
              </w:rPr>
              <w:t>9</w:t>
            </w:r>
            <w:r w:rsidR="002009E6">
              <w:rPr>
                <w:noProof/>
                <w:webHidden/>
              </w:rPr>
              <w:fldChar w:fldCharType="end"/>
            </w:r>
          </w:hyperlink>
        </w:p>
        <w:p w14:paraId="6130670A" w14:textId="59C3C55A" w:rsidR="00AD49F2" w:rsidRDefault="00AD49F2">
          <w:r>
            <w:rPr>
              <w:b/>
              <w:bCs/>
            </w:rPr>
            <w:fldChar w:fldCharType="end"/>
          </w:r>
        </w:p>
      </w:sdtContent>
    </w:sdt>
    <w:p w14:paraId="6130670B" w14:textId="77777777" w:rsidR="00AD49F2" w:rsidRDefault="00AD49F2" w:rsidP="00AD49F2">
      <w:pPr>
        <w:rPr>
          <w:rFonts w:cs="Arial"/>
          <w:szCs w:val="20"/>
          <w:lang w:val="en-US"/>
        </w:rPr>
      </w:pPr>
      <w:r>
        <w:rPr>
          <w:lang w:val="en-US"/>
        </w:rPr>
        <w:br w:type="page"/>
      </w:r>
    </w:p>
    <w:p w14:paraId="6130670C" w14:textId="77777777" w:rsidR="00AD49F2" w:rsidRPr="00AD49F2" w:rsidRDefault="00AD49F2" w:rsidP="00AD49F2">
      <w:pPr>
        <w:pStyle w:val="Normalfed"/>
        <w:rPr>
          <w:lang w:val="en-US"/>
        </w:rPr>
      </w:pPr>
      <w:r w:rsidRPr="00AD49F2">
        <w:rPr>
          <w:lang w:val="en-US"/>
        </w:rPr>
        <w:lastRenderedPageBreak/>
        <w:tab/>
      </w:r>
    </w:p>
    <w:p w14:paraId="6130670D" w14:textId="51FC023F" w:rsidR="00AD49F2" w:rsidRDefault="00AD49F2" w:rsidP="00AD49F2">
      <w:pPr>
        <w:pStyle w:val="Overskrift2"/>
        <w:numPr>
          <w:ilvl w:val="0"/>
          <w:numId w:val="1"/>
        </w:numPr>
        <w:rPr>
          <w:lang w:val="en-US"/>
        </w:rPr>
      </w:pPr>
      <w:bookmarkStart w:id="0" w:name="_Toc169253953"/>
      <w:r>
        <w:rPr>
          <w:lang w:val="en-US"/>
        </w:rPr>
        <w:t>Introduction</w:t>
      </w:r>
      <w:bookmarkEnd w:id="0"/>
    </w:p>
    <w:p w14:paraId="4E731698" w14:textId="77777777" w:rsidR="009663F5" w:rsidRDefault="00066728" w:rsidP="000015F2">
      <w:pPr>
        <w:rPr>
          <w:lang w:val="en-US"/>
        </w:rPr>
      </w:pPr>
      <w:r w:rsidRPr="00066728">
        <w:rPr>
          <w:lang w:val="en-US"/>
        </w:rPr>
        <w:t xml:space="preserve">The Danish Energy Agency (DEA) invites potential bidders, relevant market operators and other interested parties to give their views on the forthcoming </w:t>
      </w:r>
      <w:r w:rsidR="009663F5" w:rsidRPr="009663F5">
        <w:rPr>
          <w:lang w:val="en-US"/>
        </w:rPr>
        <w:t>operation aid scheme under the Danish Green Tax Reform</w:t>
      </w:r>
      <w:r w:rsidRPr="00066728">
        <w:rPr>
          <w:lang w:val="en-US"/>
        </w:rPr>
        <w:t xml:space="preserve">. </w:t>
      </w:r>
    </w:p>
    <w:p w14:paraId="3B558A8D" w14:textId="77777777" w:rsidR="009663F5" w:rsidRDefault="009663F5" w:rsidP="000015F2">
      <w:pPr>
        <w:rPr>
          <w:lang w:val="en-US"/>
        </w:rPr>
      </w:pPr>
    </w:p>
    <w:p w14:paraId="34EE3DE6" w14:textId="3FB6756A" w:rsidR="009663F5" w:rsidRDefault="00066728" w:rsidP="000015F2">
      <w:pPr>
        <w:rPr>
          <w:color w:val="FF0000"/>
          <w:lang w:val="en-US"/>
        </w:rPr>
      </w:pPr>
      <w:r w:rsidRPr="009663F5">
        <w:rPr>
          <w:lang w:val="en-US"/>
        </w:rPr>
        <w:t xml:space="preserve">The DEA assesses that the </w:t>
      </w:r>
      <w:r w:rsidR="009663F5" w:rsidRPr="009663F5">
        <w:rPr>
          <w:lang w:val="en-US"/>
        </w:rPr>
        <w:t>scheme</w:t>
      </w:r>
      <w:r w:rsidRPr="009663F5">
        <w:rPr>
          <w:lang w:val="en-US"/>
        </w:rPr>
        <w:t xml:space="preserve"> constitute</w:t>
      </w:r>
      <w:r w:rsidR="009663F5" w:rsidRPr="009663F5">
        <w:rPr>
          <w:lang w:val="en-US"/>
        </w:rPr>
        <w:t>s</w:t>
      </w:r>
      <w:r w:rsidRPr="009663F5">
        <w:rPr>
          <w:lang w:val="en-US"/>
        </w:rPr>
        <w:t xml:space="preserve"> State aid as defined in </w:t>
      </w:r>
      <w:r w:rsidR="009663F5" w:rsidRPr="009663F5">
        <w:rPr>
          <w:lang w:val="en-US"/>
        </w:rPr>
        <w:t>Article</w:t>
      </w:r>
      <w:r w:rsidRPr="009663F5">
        <w:rPr>
          <w:lang w:val="en-US"/>
        </w:rPr>
        <w:t xml:space="preserve"> 107(1) of the Treaty on the Functioning of the European Union </w:t>
      </w:r>
      <w:r w:rsidR="009663F5" w:rsidRPr="009663F5">
        <w:rPr>
          <w:lang w:val="en-US"/>
        </w:rPr>
        <w:t>(TFEU)</w:t>
      </w:r>
      <w:r w:rsidR="009663F5" w:rsidRPr="009663F5">
        <w:rPr>
          <w:vertAlign w:val="superscript"/>
          <w:lang w:val="en-US"/>
        </w:rPr>
        <w:footnoteReference w:id="2"/>
      </w:r>
      <w:r w:rsidR="009663F5" w:rsidRPr="009663F5">
        <w:rPr>
          <w:lang w:val="en-US"/>
        </w:rPr>
        <w:t>. To ensure compatibility with the internal market under TFEU Article 107(3)(c) t</w:t>
      </w:r>
      <w:r w:rsidRPr="009663F5">
        <w:rPr>
          <w:lang w:val="en-US"/>
        </w:rPr>
        <w:t>he scheme is designed following the Commission’s Guidelines on State aid for climate, environmental protection and energy 2022 (CEEAG)</w:t>
      </w:r>
      <w:r w:rsidR="00895A1C">
        <w:rPr>
          <w:lang w:val="en-US"/>
        </w:rPr>
        <w:t>.</w:t>
      </w:r>
      <w:r w:rsidR="009663F5" w:rsidRPr="009663F5">
        <w:rPr>
          <w:vertAlign w:val="superscript"/>
          <w:lang w:val="en-US"/>
        </w:rPr>
        <w:footnoteReference w:id="3"/>
      </w:r>
      <w:r w:rsidR="009663F5" w:rsidRPr="009663F5">
        <w:rPr>
          <w:lang w:val="en-US"/>
        </w:rPr>
        <w:t xml:space="preserve"> </w:t>
      </w:r>
    </w:p>
    <w:p w14:paraId="6DB48BC4" w14:textId="4262C1EF" w:rsidR="009663F5" w:rsidRDefault="009663F5" w:rsidP="000015F2">
      <w:pPr>
        <w:rPr>
          <w:color w:val="FF0000"/>
          <w:lang w:val="en-US"/>
        </w:rPr>
      </w:pPr>
    </w:p>
    <w:p w14:paraId="4A88D705" w14:textId="77777777" w:rsidR="009663F5" w:rsidRPr="009663F5" w:rsidRDefault="00066728" w:rsidP="000015F2">
      <w:pPr>
        <w:rPr>
          <w:lang w:val="en-US"/>
        </w:rPr>
      </w:pPr>
      <w:r w:rsidRPr="009663F5">
        <w:rPr>
          <w:lang w:val="en-US"/>
        </w:rPr>
        <w:t xml:space="preserve">According to section 4.1.3.4 of the CEEAG, Member States must conduct a public consultation, asking for opinions on the scheme’s competition impact and proportionality. The requirement went into force on 1 July 2023. </w:t>
      </w:r>
    </w:p>
    <w:p w14:paraId="6AF24BF1" w14:textId="77777777" w:rsidR="009663F5" w:rsidRPr="009663F5" w:rsidRDefault="009663F5" w:rsidP="000015F2">
      <w:pPr>
        <w:rPr>
          <w:color w:val="FF0000"/>
          <w:lang w:val="en-US"/>
        </w:rPr>
      </w:pPr>
    </w:p>
    <w:p w14:paraId="760A3CD2" w14:textId="3B1AD120" w:rsidR="009663F5" w:rsidRPr="009663F5" w:rsidRDefault="009663F5" w:rsidP="009663F5">
      <w:pPr>
        <w:rPr>
          <w:lang w:val="en-US"/>
        </w:rPr>
      </w:pPr>
      <w:r w:rsidRPr="009663F5">
        <w:rPr>
          <w:lang w:val="en-US"/>
        </w:rPr>
        <w:t>For measures where the estimated average annual aid to be granted is below EUR 150 million per year t</w:t>
      </w:r>
      <w:r w:rsidR="00066728" w:rsidRPr="009663F5">
        <w:rPr>
          <w:lang w:val="en-US"/>
        </w:rPr>
        <w:t>he duration of the public consultation should, according to point 99(</w:t>
      </w:r>
      <w:r w:rsidRPr="009663F5">
        <w:rPr>
          <w:lang w:val="en-US"/>
        </w:rPr>
        <w:t>b</w:t>
      </w:r>
      <w:r w:rsidR="00066728" w:rsidRPr="009663F5">
        <w:rPr>
          <w:lang w:val="en-US"/>
        </w:rPr>
        <w:t xml:space="preserve">) of the CEEAG, be at least </w:t>
      </w:r>
      <w:r w:rsidRPr="009663F5">
        <w:rPr>
          <w:lang w:val="en-US"/>
        </w:rPr>
        <w:t>four</w:t>
      </w:r>
      <w:r w:rsidR="00066728" w:rsidRPr="009663F5">
        <w:rPr>
          <w:lang w:val="en-US"/>
        </w:rPr>
        <w:t xml:space="preserve"> weeks and should cover the following topics:</w:t>
      </w:r>
      <w:r w:rsidRPr="009663F5">
        <w:rPr>
          <w:lang w:val="en-US"/>
        </w:rPr>
        <w:t xml:space="preserve"> (</w:t>
      </w:r>
      <w:proofErr w:type="spellStart"/>
      <w:r w:rsidRPr="009663F5">
        <w:rPr>
          <w:lang w:val="en-US"/>
        </w:rPr>
        <w:t>i</w:t>
      </w:r>
      <w:proofErr w:type="spellEnd"/>
      <w:r w:rsidRPr="009663F5">
        <w:rPr>
          <w:lang w:val="en-US"/>
        </w:rPr>
        <w:t>) eligibility; (ii) proposed use and scope of competitive bidding processes and any proposed exceptions; (iii) where new investments in natural gas based generation or industrial production may be supported, proposed safeguards to ensure compatibility with the Union’s climate targets.</w:t>
      </w:r>
    </w:p>
    <w:p w14:paraId="62377E3C" w14:textId="77777777" w:rsidR="009663F5" w:rsidRPr="009663F5" w:rsidRDefault="009663F5" w:rsidP="000015F2">
      <w:pPr>
        <w:rPr>
          <w:color w:val="FF0000"/>
          <w:lang w:val="en-US"/>
        </w:rPr>
      </w:pPr>
    </w:p>
    <w:p w14:paraId="63A8D876" w14:textId="7554EB78" w:rsidR="009663F5" w:rsidRDefault="00066728" w:rsidP="000015F2">
      <w:pPr>
        <w:rPr>
          <w:lang w:val="en-US"/>
        </w:rPr>
      </w:pPr>
      <w:r w:rsidRPr="002F14E7">
        <w:rPr>
          <w:lang w:val="en-US"/>
        </w:rPr>
        <w:t>The structure of this memo is as follows: Sections 2-</w:t>
      </w:r>
      <w:r w:rsidR="002F14E7" w:rsidRPr="002F14E7">
        <w:rPr>
          <w:lang w:val="en-US"/>
        </w:rPr>
        <w:t>5</w:t>
      </w:r>
      <w:r w:rsidRPr="002F14E7">
        <w:rPr>
          <w:lang w:val="en-US"/>
        </w:rPr>
        <w:t xml:space="preserve"> outline different aspects of the scheme, including the background, the objective of the scheme and the information relating to the topics listed above. Section </w:t>
      </w:r>
      <w:r w:rsidR="002F14E7" w:rsidRPr="002F14E7">
        <w:rPr>
          <w:lang w:val="en-US"/>
        </w:rPr>
        <w:t>6</w:t>
      </w:r>
      <w:r w:rsidRPr="002F14E7">
        <w:rPr>
          <w:lang w:val="en-US"/>
        </w:rPr>
        <w:t xml:space="preserve"> includes a list of questions covering the topics above, which the DEA kindly asks any interested party to answer. Section </w:t>
      </w:r>
      <w:r w:rsidR="002F14E7" w:rsidRPr="002F14E7">
        <w:rPr>
          <w:lang w:val="en-US"/>
        </w:rPr>
        <w:t>7</w:t>
      </w:r>
      <w:r w:rsidRPr="002F14E7">
        <w:rPr>
          <w:lang w:val="en-US"/>
        </w:rPr>
        <w:t xml:space="preserve"> provides practical information regarding the submission of contributions to the public consultation.</w:t>
      </w:r>
    </w:p>
    <w:p w14:paraId="55DA59E5" w14:textId="59A4E2DC" w:rsidR="00C66274" w:rsidRDefault="00C66274" w:rsidP="000015F2">
      <w:pPr>
        <w:rPr>
          <w:lang w:val="en-US"/>
        </w:rPr>
      </w:pPr>
    </w:p>
    <w:p w14:paraId="25A009BC" w14:textId="5896A5A3" w:rsidR="00C66274" w:rsidRDefault="00895A1C" w:rsidP="000015F2">
      <w:pPr>
        <w:rPr>
          <w:lang w:val="en-US"/>
        </w:rPr>
      </w:pPr>
      <w:bookmarkStart w:id="1" w:name="_Hlk168920137"/>
      <w:r>
        <w:rPr>
          <w:lang w:val="en-US"/>
        </w:rPr>
        <w:t>The DEA</w:t>
      </w:r>
      <w:r w:rsidR="00C66274" w:rsidRPr="00895A1C">
        <w:rPr>
          <w:lang w:val="en-US"/>
        </w:rPr>
        <w:t xml:space="preserve"> note</w:t>
      </w:r>
      <w:r>
        <w:rPr>
          <w:lang w:val="en-US"/>
        </w:rPr>
        <w:t>s</w:t>
      </w:r>
      <w:r w:rsidR="00C66274" w:rsidRPr="00895A1C">
        <w:rPr>
          <w:lang w:val="en-US"/>
        </w:rPr>
        <w:t xml:space="preserve"> that the </w:t>
      </w:r>
      <w:r w:rsidR="00C66274">
        <w:rPr>
          <w:lang w:val="en-US"/>
        </w:rPr>
        <w:t xml:space="preserve">descriptions of the scheme below in this memo </w:t>
      </w:r>
      <w:r w:rsidR="00C66274" w:rsidRPr="00895A1C">
        <w:rPr>
          <w:lang w:val="en-US"/>
        </w:rPr>
        <w:t xml:space="preserve">may be changed before the opening of the </w:t>
      </w:r>
      <w:r w:rsidR="00C66274">
        <w:rPr>
          <w:lang w:val="en-US"/>
        </w:rPr>
        <w:t>scheme</w:t>
      </w:r>
      <w:r w:rsidR="00C66274" w:rsidRPr="00895A1C">
        <w:rPr>
          <w:lang w:val="en-US"/>
        </w:rPr>
        <w:t xml:space="preserve"> due to answers received following this consultation or for other reasons.</w:t>
      </w:r>
    </w:p>
    <w:bookmarkEnd w:id="1"/>
    <w:p w14:paraId="7B9EB7D2" w14:textId="72A2F284" w:rsidR="00C66274" w:rsidRDefault="00C66274" w:rsidP="000015F2">
      <w:pPr>
        <w:rPr>
          <w:lang w:val="en-US"/>
        </w:rPr>
      </w:pPr>
    </w:p>
    <w:p w14:paraId="703EA87D" w14:textId="6CA93FE0" w:rsidR="002009E6" w:rsidRDefault="002009E6" w:rsidP="000015F2">
      <w:pPr>
        <w:rPr>
          <w:lang w:val="en-US"/>
        </w:rPr>
      </w:pPr>
    </w:p>
    <w:p w14:paraId="34045D0D" w14:textId="3DFF2CB7" w:rsidR="002009E6" w:rsidRDefault="002009E6" w:rsidP="000015F2">
      <w:pPr>
        <w:rPr>
          <w:lang w:val="en-US"/>
        </w:rPr>
      </w:pPr>
    </w:p>
    <w:p w14:paraId="01632DDE" w14:textId="77777777" w:rsidR="002009E6" w:rsidRPr="002F14E7" w:rsidRDefault="002009E6" w:rsidP="000015F2">
      <w:pPr>
        <w:rPr>
          <w:lang w:val="en-US"/>
        </w:rPr>
      </w:pPr>
    </w:p>
    <w:p w14:paraId="7519FB51" w14:textId="60268BB0" w:rsidR="008F4DB7" w:rsidRPr="008F4DB7" w:rsidRDefault="00AD49F2" w:rsidP="008F4DB7">
      <w:pPr>
        <w:pStyle w:val="Overskrift2"/>
        <w:numPr>
          <w:ilvl w:val="0"/>
          <w:numId w:val="1"/>
        </w:numPr>
        <w:rPr>
          <w:lang w:val="en-US"/>
        </w:rPr>
      </w:pPr>
      <w:bookmarkStart w:id="2" w:name="_Toc169253954"/>
      <w:r>
        <w:rPr>
          <w:lang w:val="en-US"/>
        </w:rPr>
        <w:lastRenderedPageBreak/>
        <w:t>The background and objective of the scheme</w:t>
      </w:r>
      <w:bookmarkEnd w:id="2"/>
    </w:p>
    <w:p w14:paraId="33106ABC" w14:textId="54C89369" w:rsidR="000015F2" w:rsidRDefault="008F4DB7" w:rsidP="008F4DB7">
      <w:pPr>
        <w:pStyle w:val="Overskrift3"/>
        <w:numPr>
          <w:ilvl w:val="1"/>
          <w:numId w:val="1"/>
        </w:numPr>
        <w:rPr>
          <w:lang w:val="en-US"/>
        </w:rPr>
      </w:pPr>
      <w:bookmarkStart w:id="3" w:name="_Toc169253955"/>
      <w:r>
        <w:rPr>
          <w:lang w:val="en-US"/>
        </w:rPr>
        <w:t xml:space="preserve">Operation aid scheme for </w:t>
      </w:r>
      <w:proofErr w:type="spellStart"/>
      <w:r w:rsidR="001112B2">
        <w:rPr>
          <w:lang w:val="en-US"/>
        </w:rPr>
        <w:t>d</w:t>
      </w:r>
      <w:r>
        <w:rPr>
          <w:lang w:val="en-US"/>
        </w:rPr>
        <w:t>ecarbonisation</w:t>
      </w:r>
      <w:proofErr w:type="spellEnd"/>
      <w:r>
        <w:rPr>
          <w:lang w:val="en-US"/>
        </w:rPr>
        <w:t xml:space="preserve"> of industrial processes</w:t>
      </w:r>
      <w:bookmarkEnd w:id="3"/>
      <w:r>
        <w:rPr>
          <w:lang w:val="en-US"/>
        </w:rPr>
        <w:t xml:space="preserve"> </w:t>
      </w:r>
    </w:p>
    <w:p w14:paraId="367BC354" w14:textId="19162F29" w:rsidR="00C57DC2" w:rsidRDefault="00680E90" w:rsidP="00C57DC2">
      <w:pPr>
        <w:rPr>
          <w:lang w:val="en-US"/>
        </w:rPr>
      </w:pPr>
      <w:r w:rsidRPr="00680E90">
        <w:rPr>
          <w:lang w:val="en-US"/>
        </w:rPr>
        <w:t xml:space="preserve">The DEA is engaged in the preparation of an operation aid scheme for the </w:t>
      </w:r>
      <w:proofErr w:type="spellStart"/>
      <w:r w:rsidRPr="00680E90">
        <w:rPr>
          <w:lang w:val="en-US"/>
        </w:rPr>
        <w:t>decarbonisation</w:t>
      </w:r>
      <w:proofErr w:type="spellEnd"/>
      <w:r w:rsidRPr="00680E90">
        <w:rPr>
          <w:lang w:val="en-US"/>
        </w:rPr>
        <w:t xml:space="preserve"> of industrial processes in Denmark. The planned aid scheme stems from an agreement </w:t>
      </w:r>
      <w:bookmarkStart w:id="4" w:name="_GoBack"/>
      <w:bookmarkEnd w:id="4"/>
      <w:r w:rsidRPr="00680E90">
        <w:rPr>
          <w:lang w:val="en-US"/>
        </w:rPr>
        <w:t>concluded by a majority of the political parties of the Danish Parliament on 24 June 2022 concerning a Green Tax Reform for the industry (GTR agreement)</w:t>
      </w:r>
      <w:r w:rsidRPr="00680E90">
        <w:rPr>
          <w:vertAlign w:val="superscript"/>
          <w:lang w:val="en-US"/>
        </w:rPr>
        <w:footnoteReference w:id="4"/>
      </w:r>
      <w:r w:rsidRPr="00680E90">
        <w:rPr>
          <w:lang w:val="en-US"/>
        </w:rPr>
        <w:t>. The GTR agreement introduced a new CO</w:t>
      </w:r>
      <w:r w:rsidRPr="00680E90">
        <w:rPr>
          <w:vertAlign w:val="subscript"/>
          <w:lang w:val="en-US"/>
        </w:rPr>
        <w:t>2</w:t>
      </w:r>
      <w:r w:rsidRPr="00680E90">
        <w:rPr>
          <w:lang w:val="en-US"/>
        </w:rPr>
        <w:t xml:space="preserve"> taxation of industrial processes to </w:t>
      </w:r>
      <w:proofErr w:type="spellStart"/>
      <w:r w:rsidRPr="00680E90">
        <w:rPr>
          <w:lang w:val="en-US"/>
        </w:rPr>
        <w:t>incentivise</w:t>
      </w:r>
      <w:proofErr w:type="spellEnd"/>
      <w:r w:rsidRPr="00680E90">
        <w:rPr>
          <w:lang w:val="en-US"/>
        </w:rPr>
        <w:t xml:space="preserve"> </w:t>
      </w:r>
      <w:proofErr w:type="spellStart"/>
      <w:r w:rsidRPr="00680E90">
        <w:rPr>
          <w:lang w:val="en-US"/>
        </w:rPr>
        <w:t>decarbonisation</w:t>
      </w:r>
      <w:proofErr w:type="spellEnd"/>
      <w:r w:rsidRPr="00680E90">
        <w:rPr>
          <w:lang w:val="en-US"/>
        </w:rPr>
        <w:t>. The parties behind the agreement also decided to allocate funds to support the transition of sectors most impacted by the new CO</w:t>
      </w:r>
      <w:r w:rsidRPr="00680E90">
        <w:rPr>
          <w:vertAlign w:val="subscript"/>
          <w:lang w:val="en-US"/>
        </w:rPr>
        <w:t>2</w:t>
      </w:r>
      <w:r w:rsidRPr="00680E90">
        <w:rPr>
          <w:lang w:val="en-US"/>
        </w:rPr>
        <w:t xml:space="preserve"> taxation and where shifting to a greener fuel is most difficult.</w:t>
      </w:r>
      <w:r w:rsidR="00C57DC2">
        <w:rPr>
          <w:lang w:val="en-US"/>
        </w:rPr>
        <w:t xml:space="preserve"> </w:t>
      </w:r>
    </w:p>
    <w:p w14:paraId="5A46E052" w14:textId="77777777" w:rsidR="00C57DC2" w:rsidRDefault="00C57DC2" w:rsidP="00C57DC2">
      <w:pPr>
        <w:rPr>
          <w:lang w:val="en-US"/>
        </w:rPr>
      </w:pPr>
    </w:p>
    <w:p w14:paraId="3A00F3BF" w14:textId="5A827BAF" w:rsidR="00680E90" w:rsidRPr="00680E90" w:rsidRDefault="00C57DC2" w:rsidP="00680E90">
      <w:pPr>
        <w:rPr>
          <w:lang w:val="en-US"/>
        </w:rPr>
      </w:pPr>
      <w:bookmarkStart w:id="5" w:name="_Hlk167187490"/>
      <w:r>
        <w:rPr>
          <w:lang w:val="en-US"/>
        </w:rPr>
        <w:t>On 19 March 2024 a</w:t>
      </w:r>
      <w:r w:rsidRPr="00C57DC2">
        <w:rPr>
          <w:lang w:val="en-US"/>
        </w:rPr>
        <w:t xml:space="preserve"> supplementary agreement concerning the transitional aid from the GTR agreement</w:t>
      </w:r>
      <w:r w:rsidR="000E73D3">
        <w:rPr>
          <w:rStyle w:val="Fodnotehenvisning"/>
          <w:lang w:val="en-US"/>
        </w:rPr>
        <w:footnoteReference w:id="5"/>
      </w:r>
      <w:r w:rsidRPr="00C57DC2">
        <w:rPr>
          <w:lang w:val="en-US"/>
        </w:rPr>
        <w:t xml:space="preserve"> </w:t>
      </w:r>
      <w:r>
        <w:rPr>
          <w:lang w:val="en-US"/>
        </w:rPr>
        <w:t>was reached</w:t>
      </w:r>
      <w:r w:rsidRPr="00C57DC2">
        <w:rPr>
          <w:lang w:val="en-US"/>
        </w:rPr>
        <w:t>. As part of the agreement DKK 1 billion (EUR 135 million)</w:t>
      </w:r>
      <w:r w:rsidR="00743B43">
        <w:rPr>
          <w:lang w:val="en-US"/>
        </w:rPr>
        <w:t xml:space="preserve"> in total</w:t>
      </w:r>
      <w:r w:rsidRPr="00C57DC2">
        <w:rPr>
          <w:lang w:val="en-US"/>
        </w:rPr>
        <w:t xml:space="preserve"> will be allocated to an operation aid scheme</w:t>
      </w:r>
      <w:r w:rsidR="00743B43">
        <w:rPr>
          <w:lang w:val="en-US"/>
        </w:rPr>
        <w:t xml:space="preserve"> in 2025-2034. Aid will be disbursed </w:t>
      </w:r>
      <w:r w:rsidR="00743B43" w:rsidRPr="00743B43">
        <w:rPr>
          <w:lang w:val="en-US"/>
        </w:rPr>
        <w:t>as operating aid, covering the additional cost incurred by transitioning to a given carbon-free or carbon-low alternative fuel</w:t>
      </w:r>
      <w:r w:rsidRPr="00C57DC2">
        <w:rPr>
          <w:lang w:val="en-US"/>
        </w:rPr>
        <w:t xml:space="preserve">. </w:t>
      </w:r>
      <w:r w:rsidR="00680E90" w:rsidRPr="00680E90">
        <w:rPr>
          <w:lang w:val="en-US"/>
        </w:rPr>
        <w:t xml:space="preserve">The objective of the aid scheme is to </w:t>
      </w:r>
      <w:proofErr w:type="spellStart"/>
      <w:r w:rsidR="00680E90" w:rsidRPr="00680E90">
        <w:rPr>
          <w:lang w:val="en-US"/>
        </w:rPr>
        <w:t>incentivise</w:t>
      </w:r>
      <w:proofErr w:type="spellEnd"/>
      <w:r w:rsidR="00680E90" w:rsidRPr="00680E90">
        <w:rPr>
          <w:lang w:val="en-US"/>
        </w:rPr>
        <w:t xml:space="preserve"> </w:t>
      </w:r>
      <w:proofErr w:type="spellStart"/>
      <w:r w:rsidR="00680E90" w:rsidRPr="00680E90">
        <w:rPr>
          <w:lang w:val="en-US"/>
        </w:rPr>
        <w:t>decarbonisation</w:t>
      </w:r>
      <w:proofErr w:type="spellEnd"/>
      <w:r w:rsidR="00680E90" w:rsidRPr="00680E90">
        <w:rPr>
          <w:lang w:val="en-US"/>
        </w:rPr>
        <w:t xml:space="preserve"> through technological change and avoid industrial production moving to countries with no or significantly lower CO</w:t>
      </w:r>
      <w:r w:rsidR="00680E90" w:rsidRPr="00680E90">
        <w:rPr>
          <w:vertAlign w:val="subscript"/>
          <w:lang w:val="en-US"/>
        </w:rPr>
        <w:t>2</w:t>
      </w:r>
      <w:r w:rsidR="00680E90" w:rsidRPr="00680E90">
        <w:rPr>
          <w:lang w:val="en-US"/>
        </w:rPr>
        <w:t xml:space="preserve"> taxation. </w:t>
      </w:r>
    </w:p>
    <w:bookmarkEnd w:id="5"/>
    <w:p w14:paraId="5BEEC503" w14:textId="30C496F3" w:rsidR="008F4DB7" w:rsidRDefault="008F4DB7" w:rsidP="008F4DB7">
      <w:pPr>
        <w:rPr>
          <w:lang w:val="en-US"/>
        </w:rPr>
      </w:pPr>
    </w:p>
    <w:p w14:paraId="74AF99AA" w14:textId="1FA2FBE2" w:rsidR="001112B2" w:rsidRPr="001112B2" w:rsidRDefault="008F4DB7" w:rsidP="001112B2">
      <w:pPr>
        <w:pStyle w:val="Overskrift3"/>
        <w:numPr>
          <w:ilvl w:val="1"/>
          <w:numId w:val="1"/>
        </w:numPr>
        <w:rPr>
          <w:lang w:val="en-US"/>
        </w:rPr>
      </w:pPr>
      <w:bookmarkStart w:id="6" w:name="_Toc169253956"/>
      <w:r>
        <w:rPr>
          <w:lang w:val="en-US"/>
        </w:rPr>
        <w:t>State aid model</w:t>
      </w:r>
      <w:bookmarkEnd w:id="6"/>
      <w:r>
        <w:rPr>
          <w:lang w:val="en-US"/>
        </w:rPr>
        <w:t xml:space="preserve"> </w:t>
      </w:r>
    </w:p>
    <w:p w14:paraId="77443518" w14:textId="67B89A42" w:rsidR="00B17C10" w:rsidRDefault="00B17C10" w:rsidP="00B17C10">
      <w:pPr>
        <w:jc w:val="both"/>
        <w:rPr>
          <w:rFonts w:cs="Arial"/>
          <w:iCs/>
          <w:szCs w:val="20"/>
          <w:lang w:val="en-US"/>
        </w:rPr>
      </w:pPr>
      <w:r>
        <w:rPr>
          <w:rFonts w:cs="Arial"/>
          <w:iCs/>
          <w:szCs w:val="20"/>
          <w:lang w:val="en-US"/>
        </w:rPr>
        <w:t xml:space="preserve">The types of projects that will be relevant under the operation aid scheme will typically involve shifting from a fossil fuel to </w:t>
      </w:r>
      <w:r w:rsidR="001A2430">
        <w:rPr>
          <w:rFonts w:cs="Arial"/>
          <w:iCs/>
          <w:szCs w:val="20"/>
          <w:lang w:val="en-US"/>
        </w:rPr>
        <w:t>a less CO</w:t>
      </w:r>
      <w:r w:rsidR="001A2430" w:rsidRPr="001A2430">
        <w:rPr>
          <w:rFonts w:cs="Arial"/>
          <w:iCs/>
          <w:szCs w:val="20"/>
          <w:vertAlign w:val="subscript"/>
          <w:lang w:val="en-US"/>
        </w:rPr>
        <w:t>2</w:t>
      </w:r>
      <w:r w:rsidR="001A2430">
        <w:rPr>
          <w:rFonts w:cs="Arial"/>
          <w:iCs/>
          <w:szCs w:val="20"/>
          <w:lang w:val="en-US"/>
        </w:rPr>
        <w:t xml:space="preserve">e-emitting but more expensive fuel and the project therefore entails </w:t>
      </w:r>
      <w:r w:rsidR="001A2430">
        <w:rPr>
          <w:lang w:val="en-US"/>
        </w:rPr>
        <w:t xml:space="preserve">increased operating costs. </w:t>
      </w:r>
      <w:r w:rsidR="001A2430">
        <w:rPr>
          <w:rFonts w:cs="Arial"/>
          <w:iCs/>
          <w:szCs w:val="20"/>
          <w:lang w:val="en-US"/>
        </w:rPr>
        <w:t xml:space="preserve">The scheme is expected to be technology-neutral, and, as such, the eligibility of a project will not depend on the beneficiary applying certain technology. </w:t>
      </w:r>
      <w:r w:rsidR="00DB76BD">
        <w:rPr>
          <w:lang w:val="en-US"/>
        </w:rPr>
        <w:t>It is expected that the scheme will</w:t>
      </w:r>
      <w:r w:rsidR="001A2430">
        <w:rPr>
          <w:rFonts w:cs="Arial"/>
          <w:iCs/>
          <w:szCs w:val="20"/>
          <w:lang w:val="en-US"/>
        </w:rPr>
        <w:t xml:space="preserve"> include both undertakings covered by EU</w:t>
      </w:r>
      <w:r w:rsidR="00B932FD">
        <w:rPr>
          <w:rFonts w:cs="Arial"/>
          <w:iCs/>
          <w:szCs w:val="20"/>
          <w:lang w:val="en-US"/>
        </w:rPr>
        <w:t>’s Emission Trading System</w:t>
      </w:r>
      <w:r w:rsidR="001A2430">
        <w:rPr>
          <w:rFonts w:cs="Arial"/>
          <w:iCs/>
          <w:szCs w:val="20"/>
          <w:lang w:val="en-US"/>
        </w:rPr>
        <w:t xml:space="preserve"> </w:t>
      </w:r>
      <w:r w:rsidR="00B932FD">
        <w:rPr>
          <w:rFonts w:cs="Arial"/>
          <w:iCs/>
          <w:szCs w:val="20"/>
          <w:lang w:val="en-US"/>
        </w:rPr>
        <w:t xml:space="preserve">(EU </w:t>
      </w:r>
      <w:r w:rsidR="001A2430">
        <w:rPr>
          <w:rFonts w:cs="Arial"/>
          <w:iCs/>
          <w:szCs w:val="20"/>
          <w:lang w:val="en-US"/>
        </w:rPr>
        <w:t>ETS</w:t>
      </w:r>
      <w:r w:rsidR="00B932FD">
        <w:rPr>
          <w:rFonts w:cs="Arial"/>
          <w:iCs/>
          <w:szCs w:val="20"/>
          <w:lang w:val="en-US"/>
        </w:rPr>
        <w:t>)</w:t>
      </w:r>
      <w:r w:rsidR="001A2430">
        <w:rPr>
          <w:rFonts w:cs="Arial"/>
          <w:iCs/>
          <w:szCs w:val="20"/>
          <w:lang w:val="en-US"/>
        </w:rPr>
        <w:t xml:space="preserve"> and undertakings not covered by EU ETS.</w:t>
      </w:r>
    </w:p>
    <w:p w14:paraId="38BFBF6A" w14:textId="479143B1" w:rsidR="00DB76BD" w:rsidRDefault="00DB76BD" w:rsidP="00B17C10">
      <w:pPr>
        <w:jc w:val="both"/>
        <w:rPr>
          <w:rFonts w:cs="Arial"/>
          <w:iCs/>
          <w:szCs w:val="20"/>
          <w:lang w:val="en-US"/>
        </w:rPr>
      </w:pPr>
    </w:p>
    <w:p w14:paraId="2ADEA7DB" w14:textId="63C52E93" w:rsidR="00DB76BD" w:rsidRDefault="00DB76BD" w:rsidP="00B17C10">
      <w:pPr>
        <w:jc w:val="both"/>
        <w:rPr>
          <w:rFonts w:cs="Arial"/>
          <w:iCs/>
          <w:szCs w:val="20"/>
          <w:lang w:val="en-US"/>
        </w:rPr>
      </w:pPr>
      <w:r>
        <w:rPr>
          <w:rFonts w:asciiTheme="minorHAnsi" w:hAnsiTheme="minorHAnsi"/>
          <w:szCs w:val="20"/>
          <w:lang w:val="en-US"/>
        </w:rPr>
        <w:t>A</w:t>
      </w:r>
      <w:r w:rsidRPr="00236913">
        <w:rPr>
          <w:rFonts w:asciiTheme="minorHAnsi" w:hAnsiTheme="minorHAnsi"/>
          <w:szCs w:val="20"/>
          <w:lang w:val="en-US"/>
        </w:rPr>
        <w:t xml:space="preserve">id </w:t>
      </w:r>
      <w:r>
        <w:rPr>
          <w:rFonts w:cs="Arial"/>
          <w:iCs/>
          <w:szCs w:val="20"/>
          <w:lang w:val="en-US"/>
        </w:rPr>
        <w:t xml:space="preserve">under the operation aid scheme </w:t>
      </w:r>
      <w:r w:rsidRPr="00236913">
        <w:rPr>
          <w:rFonts w:asciiTheme="minorHAnsi" w:hAnsiTheme="minorHAnsi"/>
          <w:szCs w:val="20"/>
          <w:lang w:val="en-US"/>
        </w:rPr>
        <w:t xml:space="preserve">will be granted based on the principle of pay-as-bid, meaning that the </w:t>
      </w:r>
      <w:r>
        <w:rPr>
          <w:rFonts w:asciiTheme="minorHAnsi" w:hAnsiTheme="minorHAnsi"/>
          <w:szCs w:val="20"/>
          <w:lang w:val="en-US"/>
        </w:rPr>
        <w:t xml:space="preserve">aid </w:t>
      </w:r>
      <w:r w:rsidRPr="00236913">
        <w:rPr>
          <w:rFonts w:asciiTheme="minorHAnsi" w:hAnsiTheme="minorHAnsi"/>
          <w:szCs w:val="20"/>
          <w:lang w:val="en-US"/>
        </w:rPr>
        <w:t xml:space="preserve">a given beneficiary will receive for each ton of </w:t>
      </w:r>
      <w:r>
        <w:rPr>
          <w:rFonts w:asciiTheme="minorHAnsi" w:hAnsiTheme="minorHAnsi"/>
          <w:szCs w:val="20"/>
          <w:lang w:val="en-US"/>
        </w:rPr>
        <w:t>CO</w:t>
      </w:r>
      <w:r>
        <w:rPr>
          <w:rFonts w:asciiTheme="minorHAnsi" w:hAnsiTheme="minorHAnsi"/>
          <w:szCs w:val="20"/>
          <w:vertAlign w:val="subscript"/>
          <w:lang w:val="en-US"/>
        </w:rPr>
        <w:t>2</w:t>
      </w:r>
      <w:r>
        <w:rPr>
          <w:rFonts w:asciiTheme="minorHAnsi" w:hAnsiTheme="minorHAnsi"/>
          <w:szCs w:val="20"/>
          <w:lang w:val="en-US"/>
        </w:rPr>
        <w:t>e emission avoided will correspond to the bid the beneficiary submitted.</w:t>
      </w:r>
      <w:r w:rsidRPr="00DB76BD">
        <w:rPr>
          <w:rFonts w:cs="Arial"/>
          <w:iCs/>
          <w:szCs w:val="20"/>
          <w:lang w:val="en-US"/>
        </w:rPr>
        <w:t xml:space="preserve"> </w:t>
      </w:r>
      <w:r>
        <w:rPr>
          <w:rFonts w:cs="Arial"/>
          <w:iCs/>
          <w:szCs w:val="20"/>
          <w:lang w:val="en-US"/>
        </w:rPr>
        <w:t>The aid is expected to be paid as a fixed rate for documented reductions in CO</w:t>
      </w:r>
      <w:r w:rsidRPr="00212E16">
        <w:rPr>
          <w:rFonts w:cs="Arial"/>
          <w:iCs/>
          <w:szCs w:val="20"/>
          <w:vertAlign w:val="subscript"/>
          <w:lang w:val="en-US"/>
        </w:rPr>
        <w:t>2</w:t>
      </w:r>
      <w:r>
        <w:rPr>
          <w:rFonts w:cs="Arial"/>
          <w:iCs/>
          <w:szCs w:val="20"/>
          <w:lang w:val="en-US"/>
        </w:rPr>
        <w:t xml:space="preserve"> emissions corresponding to the bid price (DKK per ton avoided CO</w:t>
      </w:r>
      <w:r w:rsidRPr="00212E16">
        <w:rPr>
          <w:rFonts w:cs="Arial"/>
          <w:iCs/>
          <w:szCs w:val="20"/>
          <w:vertAlign w:val="subscript"/>
          <w:lang w:val="en-US"/>
        </w:rPr>
        <w:t>2</w:t>
      </w:r>
      <w:r>
        <w:rPr>
          <w:rFonts w:cs="Arial"/>
          <w:iCs/>
          <w:szCs w:val="20"/>
          <w:lang w:val="en-US"/>
        </w:rPr>
        <w:t>).</w:t>
      </w:r>
    </w:p>
    <w:p w14:paraId="1E989E49" w14:textId="5FFD2B09" w:rsidR="00DB76BD" w:rsidRDefault="00DB76BD" w:rsidP="00B17C10">
      <w:pPr>
        <w:jc w:val="both"/>
        <w:rPr>
          <w:rFonts w:cs="Arial"/>
          <w:iCs/>
          <w:szCs w:val="20"/>
          <w:lang w:val="en-US"/>
        </w:rPr>
      </w:pPr>
    </w:p>
    <w:p w14:paraId="0E68F447" w14:textId="79059022" w:rsidR="00DB76BD" w:rsidRDefault="00DB76BD" w:rsidP="00B17C10">
      <w:pPr>
        <w:jc w:val="both"/>
        <w:rPr>
          <w:rFonts w:cs="Arial"/>
          <w:iCs/>
          <w:szCs w:val="20"/>
          <w:lang w:val="en-US"/>
        </w:rPr>
      </w:pPr>
      <w:r>
        <w:rPr>
          <w:rFonts w:cs="Arial"/>
          <w:iCs/>
          <w:szCs w:val="20"/>
          <w:lang w:val="en-US"/>
        </w:rPr>
        <w:t xml:space="preserve">Currently, aid is expected to be paid quarterly, based on documented </w:t>
      </w:r>
      <w:r>
        <w:rPr>
          <w:rFonts w:asciiTheme="minorHAnsi" w:hAnsiTheme="minorHAnsi"/>
          <w:szCs w:val="20"/>
          <w:lang w:val="en-US"/>
        </w:rPr>
        <w:t>CO</w:t>
      </w:r>
      <w:r>
        <w:rPr>
          <w:rFonts w:asciiTheme="minorHAnsi" w:hAnsiTheme="minorHAnsi"/>
          <w:szCs w:val="20"/>
          <w:vertAlign w:val="subscript"/>
          <w:lang w:val="en-US"/>
        </w:rPr>
        <w:t>2</w:t>
      </w:r>
      <w:r>
        <w:rPr>
          <w:rFonts w:asciiTheme="minorHAnsi" w:hAnsiTheme="minorHAnsi"/>
          <w:szCs w:val="20"/>
          <w:lang w:val="en-US"/>
        </w:rPr>
        <w:t xml:space="preserve">e emissions avoided. </w:t>
      </w:r>
      <w:r>
        <w:rPr>
          <w:rFonts w:cs="Arial"/>
          <w:iCs/>
          <w:szCs w:val="20"/>
          <w:lang w:val="en-US"/>
        </w:rPr>
        <w:t>An adjustment mechanism will, however, be applied, whereby future aid payments will be reduced if the bid price and expected reduction in CO</w:t>
      </w:r>
      <w:r>
        <w:rPr>
          <w:rFonts w:cs="Arial"/>
          <w:iCs/>
          <w:szCs w:val="20"/>
          <w:vertAlign w:val="subscript"/>
          <w:lang w:val="en-US"/>
        </w:rPr>
        <w:t>2</w:t>
      </w:r>
      <w:r>
        <w:rPr>
          <w:rFonts w:cs="Arial"/>
          <w:iCs/>
          <w:szCs w:val="20"/>
          <w:lang w:val="en-US"/>
        </w:rPr>
        <w:t>e emissions would result in a higher aid than the funding gap of the project.</w:t>
      </w:r>
    </w:p>
    <w:p w14:paraId="0CDFDE92" w14:textId="036A38F2" w:rsidR="00DB76BD" w:rsidRDefault="00DB76BD" w:rsidP="00B17C10">
      <w:pPr>
        <w:jc w:val="both"/>
        <w:rPr>
          <w:rFonts w:cs="Arial"/>
          <w:iCs/>
          <w:szCs w:val="20"/>
          <w:lang w:val="en-US"/>
        </w:rPr>
      </w:pPr>
    </w:p>
    <w:p w14:paraId="222542D0" w14:textId="77EEFE15" w:rsidR="00DB76BD" w:rsidRPr="004648C2" w:rsidRDefault="00DB76BD" w:rsidP="00DB76BD">
      <w:pPr>
        <w:jc w:val="both"/>
        <w:rPr>
          <w:rFonts w:asciiTheme="minorHAnsi" w:hAnsiTheme="minorHAnsi"/>
          <w:lang w:val="en-GB"/>
        </w:rPr>
      </w:pPr>
      <w:r>
        <w:rPr>
          <w:rFonts w:cs="Arial"/>
          <w:iCs/>
          <w:szCs w:val="20"/>
          <w:lang w:val="en-US"/>
        </w:rPr>
        <w:t>The funding gap is expected to be recalculated</w:t>
      </w:r>
      <w:r w:rsidR="001C54D0">
        <w:rPr>
          <w:rFonts w:cs="Arial"/>
          <w:iCs/>
          <w:szCs w:val="20"/>
          <w:lang w:val="en-US"/>
        </w:rPr>
        <w:t xml:space="preserve"> by the DEA</w:t>
      </w:r>
      <w:r>
        <w:rPr>
          <w:rFonts w:cs="Arial"/>
          <w:iCs/>
          <w:szCs w:val="20"/>
          <w:lang w:val="en-US"/>
        </w:rPr>
        <w:t xml:space="preserve"> yearly for each project for its lifetime. If for example, an undertaking is expected to receive DKK 1 million yearly in aid, but their project-specific funding gap after a recalculation is estimated to be only DKK 800,000, their future yearly aid payments will be reduced by DKK 200,000. </w:t>
      </w:r>
      <w:r w:rsidR="001C54D0" w:rsidRPr="001C54D0">
        <w:rPr>
          <w:rFonts w:cs="Arial"/>
          <w:iCs/>
          <w:szCs w:val="20"/>
          <w:lang w:val="en-US"/>
        </w:rPr>
        <w:t>Further, if the funding gap after a later recalculation is expected to be DKK 1 million, the future yearly aid payments will be raised by DKK 200.000.</w:t>
      </w:r>
      <w:r w:rsidR="001C54D0">
        <w:rPr>
          <w:rFonts w:cs="Arial"/>
          <w:iCs/>
          <w:szCs w:val="20"/>
          <w:lang w:val="en-US"/>
        </w:rPr>
        <w:t xml:space="preserve"> </w:t>
      </w:r>
      <w:r>
        <w:rPr>
          <w:rFonts w:cs="Arial"/>
          <w:iCs/>
          <w:szCs w:val="20"/>
          <w:lang w:val="en-US"/>
        </w:rPr>
        <w:t xml:space="preserve">There will, nevertheless, be no payments from the beneficiaries to the state, i.e. the aid payments may be adjusted to zero but never become negative. </w:t>
      </w:r>
    </w:p>
    <w:p w14:paraId="731F061E" w14:textId="77777777" w:rsidR="00B17C10" w:rsidRPr="00B17C10" w:rsidRDefault="00B17C10" w:rsidP="00B17C10">
      <w:pPr>
        <w:jc w:val="both"/>
        <w:rPr>
          <w:rFonts w:cs="Arial"/>
          <w:iCs/>
          <w:szCs w:val="20"/>
          <w:lang w:val="en-US"/>
        </w:rPr>
      </w:pPr>
    </w:p>
    <w:p w14:paraId="6130670F" w14:textId="79010EF8" w:rsidR="00AD49F2" w:rsidRDefault="00AD49F2" w:rsidP="00B17C10">
      <w:pPr>
        <w:pStyle w:val="Overskrift2"/>
        <w:numPr>
          <w:ilvl w:val="0"/>
          <w:numId w:val="1"/>
        </w:numPr>
        <w:rPr>
          <w:lang w:val="en-US"/>
        </w:rPr>
      </w:pPr>
      <w:bookmarkStart w:id="7" w:name="_Toc169253957"/>
      <w:r>
        <w:rPr>
          <w:lang w:val="en-US"/>
        </w:rPr>
        <w:t>Eligibility</w:t>
      </w:r>
      <w:bookmarkEnd w:id="7"/>
    </w:p>
    <w:p w14:paraId="5F698220" w14:textId="7B58D5E7" w:rsidR="001112B2" w:rsidRDefault="001112B2" w:rsidP="001112B2">
      <w:pPr>
        <w:pStyle w:val="Overskrift3"/>
        <w:numPr>
          <w:ilvl w:val="1"/>
          <w:numId w:val="1"/>
        </w:numPr>
        <w:rPr>
          <w:lang w:val="en-US"/>
        </w:rPr>
      </w:pPr>
      <w:bookmarkStart w:id="8" w:name="_Toc169253958"/>
      <w:r>
        <w:rPr>
          <w:lang w:val="en-US"/>
        </w:rPr>
        <w:t>Sectors eligible for aid</w:t>
      </w:r>
      <w:bookmarkEnd w:id="8"/>
      <w:r>
        <w:rPr>
          <w:lang w:val="en-US"/>
        </w:rPr>
        <w:t xml:space="preserve"> </w:t>
      </w:r>
    </w:p>
    <w:p w14:paraId="76B3C540" w14:textId="4440B3F1" w:rsidR="00354DBF" w:rsidRDefault="00354DBF" w:rsidP="00354DBF">
      <w:pPr>
        <w:jc w:val="both"/>
        <w:rPr>
          <w:rFonts w:cs="Arial"/>
          <w:iCs/>
          <w:szCs w:val="20"/>
          <w:lang w:val="en-US"/>
        </w:rPr>
      </w:pPr>
      <w:r w:rsidRPr="00E35F4C">
        <w:rPr>
          <w:rFonts w:cs="Arial"/>
          <w:iCs/>
          <w:szCs w:val="20"/>
          <w:lang w:val="en-US"/>
        </w:rPr>
        <w:t>The sectors expected to be eligible for the operation aid scheme</w:t>
      </w:r>
      <w:r w:rsidR="00EE48E5">
        <w:rPr>
          <w:rFonts w:cs="Arial"/>
          <w:iCs/>
          <w:szCs w:val="20"/>
          <w:lang w:val="en-US"/>
        </w:rPr>
        <w:t xml:space="preserve"> include</w:t>
      </w:r>
      <w:r w:rsidRPr="00E35F4C">
        <w:rPr>
          <w:rFonts w:cs="Arial"/>
          <w:iCs/>
          <w:szCs w:val="20"/>
          <w:lang w:val="en-US"/>
        </w:rPr>
        <w:t xml:space="preserve">: </w:t>
      </w:r>
    </w:p>
    <w:p w14:paraId="69A314AB" w14:textId="77777777" w:rsidR="00354DBF" w:rsidRDefault="00354DBF" w:rsidP="00354DBF">
      <w:pPr>
        <w:jc w:val="both"/>
        <w:rPr>
          <w:rFonts w:cs="Arial"/>
          <w:iCs/>
          <w:szCs w:val="20"/>
          <w:lang w:val="en-US"/>
        </w:rPr>
      </w:pPr>
    </w:p>
    <w:p w14:paraId="305CDE08" w14:textId="77777777" w:rsidR="00354DBF" w:rsidRPr="00B91A1B" w:rsidRDefault="00354DBF" w:rsidP="00354DBF">
      <w:pPr>
        <w:pStyle w:val="Listeafsnit"/>
        <w:numPr>
          <w:ilvl w:val="0"/>
          <w:numId w:val="2"/>
        </w:numPr>
        <w:jc w:val="both"/>
        <w:rPr>
          <w:rFonts w:cs="Arial"/>
          <w:iCs/>
          <w:szCs w:val="20"/>
          <w:lang w:val="en-US"/>
        </w:rPr>
      </w:pPr>
      <w:r>
        <w:rPr>
          <w:rFonts w:cs="Arial"/>
          <w:iCs/>
          <w:szCs w:val="20"/>
          <w:lang w:val="en-US"/>
        </w:rPr>
        <w:t>I</w:t>
      </w:r>
      <w:r w:rsidRPr="00E35F4C">
        <w:rPr>
          <w:rFonts w:cs="Arial"/>
          <w:iCs/>
          <w:szCs w:val="20"/>
          <w:lang w:val="en-US"/>
        </w:rPr>
        <w:t>ndustrial processes (for example</w:t>
      </w:r>
      <w:r>
        <w:rPr>
          <w:rFonts w:cs="Arial"/>
          <w:iCs/>
          <w:szCs w:val="20"/>
          <w:lang w:val="en-US"/>
        </w:rPr>
        <w:t>,</w:t>
      </w:r>
      <w:r w:rsidRPr="00E35F4C">
        <w:rPr>
          <w:rFonts w:cs="Arial"/>
          <w:iCs/>
          <w:szCs w:val="20"/>
          <w:lang w:val="en-US"/>
        </w:rPr>
        <w:t xml:space="preserve"> </w:t>
      </w:r>
      <w:r>
        <w:rPr>
          <w:rFonts w:cs="Arial"/>
          <w:iCs/>
          <w:szCs w:val="20"/>
          <w:lang w:val="en-US"/>
        </w:rPr>
        <w:t xml:space="preserve">manufacturing of chemical products, </w:t>
      </w:r>
      <w:r w:rsidRPr="00E35F4C">
        <w:rPr>
          <w:rFonts w:asciiTheme="minorHAnsi" w:hAnsiTheme="minorHAnsi"/>
          <w:lang w:val="en-GB"/>
        </w:rPr>
        <w:t>fish processing</w:t>
      </w:r>
      <w:r>
        <w:rPr>
          <w:rFonts w:asciiTheme="minorHAnsi" w:hAnsiTheme="minorHAnsi"/>
          <w:lang w:val="en-GB"/>
        </w:rPr>
        <w:t>,</w:t>
      </w:r>
      <w:r w:rsidRPr="00E35F4C">
        <w:rPr>
          <w:rFonts w:cs="Arial"/>
          <w:iCs/>
          <w:szCs w:val="20"/>
          <w:lang w:val="en-US"/>
        </w:rPr>
        <w:t xml:space="preserve"> </w:t>
      </w:r>
      <w:r w:rsidRPr="00B91A1B">
        <w:rPr>
          <w:rFonts w:cs="Arial"/>
          <w:iCs/>
          <w:szCs w:val="20"/>
          <w:lang w:val="en-US"/>
        </w:rPr>
        <w:t xml:space="preserve">dairy production and slaughterhouses) </w:t>
      </w:r>
    </w:p>
    <w:p w14:paraId="75BEA0AF" w14:textId="77777777" w:rsidR="00354DBF" w:rsidRDefault="00354DBF" w:rsidP="00354DBF">
      <w:pPr>
        <w:pStyle w:val="Listeafsnit"/>
        <w:numPr>
          <w:ilvl w:val="0"/>
          <w:numId w:val="2"/>
        </w:numPr>
        <w:jc w:val="both"/>
        <w:rPr>
          <w:rFonts w:cs="Arial"/>
          <w:iCs/>
          <w:szCs w:val="20"/>
          <w:lang w:val="en-US"/>
        </w:rPr>
      </w:pPr>
      <w:r>
        <w:rPr>
          <w:rFonts w:cs="Arial"/>
          <w:iCs/>
          <w:szCs w:val="20"/>
          <w:lang w:val="en-US"/>
        </w:rPr>
        <w:t>M</w:t>
      </w:r>
      <w:r w:rsidRPr="00E35F4C">
        <w:rPr>
          <w:rFonts w:cs="Arial"/>
          <w:iCs/>
          <w:szCs w:val="20"/>
          <w:lang w:val="en-US"/>
        </w:rPr>
        <w:t xml:space="preserve">ineralogical processes etc. </w:t>
      </w:r>
    </w:p>
    <w:p w14:paraId="2D275A3A" w14:textId="77777777" w:rsidR="00354DBF" w:rsidRDefault="00354DBF" w:rsidP="00354DBF">
      <w:pPr>
        <w:pStyle w:val="Listeafsnit"/>
        <w:numPr>
          <w:ilvl w:val="0"/>
          <w:numId w:val="2"/>
        </w:numPr>
        <w:jc w:val="both"/>
        <w:rPr>
          <w:rFonts w:cs="Arial"/>
          <w:iCs/>
          <w:szCs w:val="20"/>
          <w:lang w:val="en-US"/>
        </w:rPr>
      </w:pPr>
      <w:r>
        <w:rPr>
          <w:rFonts w:cs="Arial"/>
          <w:iCs/>
          <w:szCs w:val="20"/>
          <w:lang w:val="en-US"/>
        </w:rPr>
        <w:t>D</w:t>
      </w:r>
      <w:r w:rsidRPr="00E35F4C">
        <w:rPr>
          <w:rFonts w:cs="Arial"/>
          <w:iCs/>
          <w:szCs w:val="20"/>
          <w:lang w:val="en-US"/>
        </w:rPr>
        <w:t xml:space="preserve">omestic ferries </w:t>
      </w:r>
    </w:p>
    <w:p w14:paraId="59BD3843" w14:textId="77777777" w:rsidR="00354DBF" w:rsidRPr="002922D6" w:rsidRDefault="00354DBF" w:rsidP="00354DBF">
      <w:pPr>
        <w:pStyle w:val="Listeafsnit"/>
        <w:numPr>
          <w:ilvl w:val="0"/>
          <w:numId w:val="2"/>
        </w:numPr>
        <w:jc w:val="both"/>
        <w:rPr>
          <w:rFonts w:cs="Arial"/>
          <w:iCs/>
          <w:szCs w:val="20"/>
          <w:lang w:val="en-US"/>
        </w:rPr>
      </w:pPr>
      <w:r w:rsidRPr="00E35F4C">
        <w:rPr>
          <w:rFonts w:asciiTheme="minorHAnsi" w:hAnsiTheme="minorHAnsi"/>
          <w:lang w:val="en-GB"/>
        </w:rPr>
        <w:t>Refinerie</w:t>
      </w:r>
      <w:r>
        <w:rPr>
          <w:rFonts w:asciiTheme="minorHAnsi" w:hAnsiTheme="minorHAnsi"/>
          <w:lang w:val="en-GB"/>
        </w:rPr>
        <w:t>s</w:t>
      </w:r>
    </w:p>
    <w:p w14:paraId="4B245056" w14:textId="77777777" w:rsidR="00354DBF" w:rsidRPr="00942689" w:rsidRDefault="00354DBF" w:rsidP="00354DBF">
      <w:pPr>
        <w:pStyle w:val="Listeafsnit"/>
        <w:numPr>
          <w:ilvl w:val="0"/>
          <w:numId w:val="2"/>
        </w:numPr>
        <w:jc w:val="both"/>
        <w:rPr>
          <w:rFonts w:cs="Arial"/>
          <w:iCs/>
          <w:szCs w:val="20"/>
          <w:lang w:val="en-US"/>
        </w:rPr>
      </w:pPr>
      <w:r w:rsidRPr="00DD095F">
        <w:rPr>
          <w:rFonts w:asciiTheme="minorHAnsi" w:hAnsiTheme="minorHAnsi"/>
          <w:lang w:val="en-GB"/>
        </w:rPr>
        <w:t>Oil and gas production</w:t>
      </w:r>
    </w:p>
    <w:p w14:paraId="1A12FCCD" w14:textId="77A248F0" w:rsidR="001112B2" w:rsidRDefault="001112B2" w:rsidP="001112B2">
      <w:pPr>
        <w:rPr>
          <w:lang w:val="en-US"/>
        </w:rPr>
      </w:pPr>
    </w:p>
    <w:p w14:paraId="27D5102E" w14:textId="1EEB1CD5" w:rsidR="001112B2" w:rsidRPr="001112B2" w:rsidRDefault="001112B2" w:rsidP="001112B2">
      <w:pPr>
        <w:pStyle w:val="Overskrift3"/>
        <w:numPr>
          <w:ilvl w:val="1"/>
          <w:numId w:val="1"/>
        </w:numPr>
        <w:rPr>
          <w:lang w:val="en-US"/>
        </w:rPr>
      </w:pPr>
      <w:bookmarkStart w:id="9" w:name="_Toc169253959"/>
      <w:r>
        <w:rPr>
          <w:lang w:val="en-US"/>
        </w:rPr>
        <w:t>Sectors excluded from the scheme</w:t>
      </w:r>
      <w:bookmarkEnd w:id="9"/>
      <w:r>
        <w:rPr>
          <w:lang w:val="en-US"/>
        </w:rPr>
        <w:t xml:space="preserve"> </w:t>
      </w:r>
    </w:p>
    <w:p w14:paraId="0A47333B" w14:textId="0144018A" w:rsidR="00354DBF" w:rsidRDefault="00354DBF" w:rsidP="00354DBF">
      <w:pPr>
        <w:jc w:val="both"/>
        <w:rPr>
          <w:rFonts w:cs="Arial"/>
          <w:iCs/>
          <w:szCs w:val="20"/>
          <w:lang w:val="en-US"/>
        </w:rPr>
      </w:pPr>
      <w:r>
        <w:rPr>
          <w:rFonts w:cs="Arial"/>
          <w:iCs/>
          <w:szCs w:val="20"/>
          <w:lang w:val="en-US"/>
        </w:rPr>
        <w:t>The sectors expected to be ineligible for the operation aid scheme</w:t>
      </w:r>
      <w:r w:rsidR="000E1477">
        <w:rPr>
          <w:rFonts w:cs="Arial"/>
          <w:iCs/>
          <w:szCs w:val="20"/>
          <w:lang w:val="en-US"/>
        </w:rPr>
        <w:t xml:space="preserve"> include</w:t>
      </w:r>
      <w:r>
        <w:rPr>
          <w:rFonts w:cs="Arial"/>
          <w:iCs/>
          <w:szCs w:val="20"/>
          <w:lang w:val="en-US"/>
        </w:rPr>
        <w:t>:</w:t>
      </w:r>
    </w:p>
    <w:p w14:paraId="688501B9" w14:textId="77777777" w:rsidR="00354DBF" w:rsidRDefault="00354DBF" w:rsidP="00354DBF">
      <w:pPr>
        <w:jc w:val="both"/>
        <w:rPr>
          <w:rFonts w:cs="Arial"/>
          <w:iCs/>
          <w:szCs w:val="20"/>
          <w:lang w:val="en-US"/>
        </w:rPr>
      </w:pPr>
    </w:p>
    <w:p w14:paraId="51A00540" w14:textId="77777777" w:rsidR="00354DBF" w:rsidRDefault="00354DBF" w:rsidP="00354DBF">
      <w:pPr>
        <w:pStyle w:val="Listeafsnit"/>
        <w:numPr>
          <w:ilvl w:val="0"/>
          <w:numId w:val="2"/>
        </w:numPr>
        <w:jc w:val="both"/>
        <w:rPr>
          <w:rFonts w:cs="Arial"/>
          <w:iCs/>
          <w:szCs w:val="20"/>
          <w:lang w:val="en-US"/>
        </w:rPr>
      </w:pPr>
      <w:r>
        <w:rPr>
          <w:rFonts w:cs="Arial"/>
          <w:iCs/>
          <w:szCs w:val="20"/>
          <w:lang w:val="en-US"/>
        </w:rPr>
        <w:t>Primary agriculture activities and forestry</w:t>
      </w:r>
    </w:p>
    <w:p w14:paraId="02F64970" w14:textId="77777777" w:rsidR="00354DBF" w:rsidRDefault="00354DBF" w:rsidP="00354DBF">
      <w:pPr>
        <w:pStyle w:val="Listeafsnit"/>
        <w:numPr>
          <w:ilvl w:val="0"/>
          <w:numId w:val="2"/>
        </w:numPr>
        <w:jc w:val="both"/>
        <w:rPr>
          <w:rFonts w:cs="Arial"/>
          <w:iCs/>
          <w:szCs w:val="20"/>
          <w:lang w:val="en-US"/>
        </w:rPr>
      </w:pPr>
      <w:r>
        <w:rPr>
          <w:rFonts w:cs="Arial"/>
          <w:iCs/>
          <w:szCs w:val="20"/>
          <w:lang w:val="en-US"/>
        </w:rPr>
        <w:t>Horticulture</w:t>
      </w:r>
    </w:p>
    <w:p w14:paraId="3D6BF15B" w14:textId="77777777" w:rsidR="00354DBF" w:rsidRDefault="00354DBF" w:rsidP="00354DBF">
      <w:pPr>
        <w:pStyle w:val="Listeafsnit"/>
        <w:numPr>
          <w:ilvl w:val="0"/>
          <w:numId w:val="2"/>
        </w:numPr>
        <w:jc w:val="both"/>
        <w:rPr>
          <w:rFonts w:cs="Arial"/>
          <w:iCs/>
          <w:szCs w:val="20"/>
          <w:lang w:val="en-US"/>
        </w:rPr>
      </w:pPr>
      <w:r>
        <w:rPr>
          <w:rFonts w:cs="Arial"/>
          <w:iCs/>
          <w:szCs w:val="20"/>
          <w:lang w:val="en-US"/>
        </w:rPr>
        <w:t>Primary f</w:t>
      </w:r>
      <w:r w:rsidRPr="00662B91">
        <w:rPr>
          <w:rFonts w:cs="Arial"/>
          <w:iCs/>
          <w:szCs w:val="20"/>
          <w:lang w:val="en-US"/>
        </w:rPr>
        <w:t>i</w:t>
      </w:r>
      <w:r w:rsidRPr="00554706">
        <w:rPr>
          <w:rFonts w:cs="Arial"/>
          <w:iCs/>
          <w:szCs w:val="20"/>
          <w:lang w:val="en-US"/>
        </w:rPr>
        <w:t>shery and aquaculture</w:t>
      </w:r>
    </w:p>
    <w:p w14:paraId="7116F538" w14:textId="77777777" w:rsidR="00354DBF" w:rsidRPr="004648C2" w:rsidRDefault="00354DBF" w:rsidP="00354DBF">
      <w:pPr>
        <w:pStyle w:val="Listeafsnit"/>
        <w:numPr>
          <w:ilvl w:val="0"/>
          <w:numId w:val="2"/>
        </w:numPr>
        <w:jc w:val="both"/>
        <w:rPr>
          <w:rFonts w:cs="Arial"/>
          <w:iCs/>
          <w:szCs w:val="20"/>
          <w:lang w:val="en-US"/>
        </w:rPr>
      </w:pPr>
      <w:r w:rsidRPr="00203E1B">
        <w:rPr>
          <w:rFonts w:cs="Arial"/>
          <w:lang w:val="en-US"/>
        </w:rPr>
        <w:t>R</w:t>
      </w:r>
      <w:r w:rsidRPr="00433F89">
        <w:rPr>
          <w:rFonts w:cs="Arial"/>
          <w:lang w:val="en-US"/>
        </w:rPr>
        <w:t>ailway</w:t>
      </w:r>
    </w:p>
    <w:p w14:paraId="18CA48ED" w14:textId="77777777" w:rsidR="00354DBF" w:rsidRDefault="00354DBF" w:rsidP="00354DBF">
      <w:pPr>
        <w:pStyle w:val="Listeafsnit"/>
        <w:numPr>
          <w:ilvl w:val="0"/>
          <w:numId w:val="2"/>
        </w:numPr>
        <w:jc w:val="both"/>
        <w:rPr>
          <w:rFonts w:cs="Arial"/>
          <w:iCs/>
          <w:szCs w:val="20"/>
          <w:lang w:val="en-US"/>
        </w:rPr>
      </w:pPr>
      <w:r>
        <w:rPr>
          <w:rFonts w:cs="Arial"/>
          <w:lang w:val="en-US"/>
        </w:rPr>
        <w:t>D</w:t>
      </w:r>
      <w:r w:rsidRPr="00554706">
        <w:rPr>
          <w:rFonts w:cs="Arial"/>
          <w:lang w:val="en-US"/>
        </w:rPr>
        <w:t>omestic aviation</w:t>
      </w:r>
    </w:p>
    <w:p w14:paraId="235C6F03" w14:textId="28FBCE92" w:rsidR="00354DBF" w:rsidRPr="00554706" w:rsidRDefault="00354DBF" w:rsidP="00354DBF">
      <w:pPr>
        <w:pStyle w:val="Listeafsnit"/>
        <w:numPr>
          <w:ilvl w:val="0"/>
          <w:numId w:val="2"/>
        </w:numPr>
        <w:jc w:val="both"/>
        <w:rPr>
          <w:rFonts w:cs="Arial"/>
          <w:lang w:val="en-US"/>
        </w:rPr>
      </w:pPr>
      <w:r>
        <w:rPr>
          <w:rFonts w:cs="Arial"/>
          <w:lang w:val="en-US"/>
        </w:rPr>
        <w:t>F</w:t>
      </w:r>
      <w:r w:rsidRPr="00554706">
        <w:rPr>
          <w:rFonts w:cs="Arial"/>
          <w:lang w:val="en-US"/>
        </w:rPr>
        <w:t>ossil</w:t>
      </w:r>
      <w:r w:rsidR="001C54D0">
        <w:rPr>
          <w:rFonts w:cs="Arial"/>
          <w:lang w:val="en-US"/>
        </w:rPr>
        <w:t>-</w:t>
      </w:r>
      <w:r>
        <w:rPr>
          <w:rFonts w:cs="Arial"/>
          <w:lang w:val="en-US"/>
        </w:rPr>
        <w:t>fueled</w:t>
      </w:r>
      <w:r w:rsidRPr="00554706">
        <w:rPr>
          <w:rFonts w:cs="Arial"/>
          <w:lang w:val="en-US"/>
        </w:rPr>
        <w:t xml:space="preserve"> el</w:t>
      </w:r>
      <w:r>
        <w:rPr>
          <w:rFonts w:cs="Arial"/>
          <w:lang w:val="en-US"/>
        </w:rPr>
        <w:t xml:space="preserve">ectricity </w:t>
      </w:r>
      <w:r w:rsidRPr="00554706">
        <w:rPr>
          <w:rFonts w:cs="Arial"/>
          <w:lang w:val="en-US"/>
        </w:rPr>
        <w:t>produ</w:t>
      </w:r>
      <w:r>
        <w:rPr>
          <w:rFonts w:cs="Arial"/>
          <w:lang w:val="en-US"/>
        </w:rPr>
        <w:t>c</w:t>
      </w:r>
      <w:r w:rsidRPr="00554706">
        <w:rPr>
          <w:rFonts w:cs="Arial"/>
          <w:lang w:val="en-US"/>
        </w:rPr>
        <w:t>tion</w:t>
      </w:r>
    </w:p>
    <w:p w14:paraId="59AC9349" w14:textId="6882B142" w:rsidR="000015F2" w:rsidRDefault="000015F2" w:rsidP="000015F2">
      <w:pPr>
        <w:rPr>
          <w:lang w:val="en-US"/>
        </w:rPr>
      </w:pPr>
    </w:p>
    <w:p w14:paraId="7BD50CEB" w14:textId="77777777" w:rsidR="002009E6" w:rsidRDefault="002009E6" w:rsidP="002009E6">
      <w:pPr>
        <w:pStyle w:val="Overskrift3"/>
        <w:numPr>
          <w:ilvl w:val="1"/>
          <w:numId w:val="1"/>
        </w:numPr>
        <w:rPr>
          <w:lang w:val="en-US"/>
        </w:rPr>
      </w:pPr>
      <w:bookmarkStart w:id="10" w:name="_Toc169253960"/>
      <w:r>
        <w:rPr>
          <w:lang w:val="en-US"/>
        </w:rPr>
        <w:t>Delimitation of undertakings</w:t>
      </w:r>
      <w:bookmarkEnd w:id="10"/>
      <w:r>
        <w:rPr>
          <w:lang w:val="en-US"/>
        </w:rPr>
        <w:t xml:space="preserve"> </w:t>
      </w:r>
    </w:p>
    <w:p w14:paraId="375D8916" w14:textId="1A8798EA" w:rsidR="002009E6" w:rsidRPr="00680E90" w:rsidRDefault="002009E6" w:rsidP="002009E6">
      <w:pPr>
        <w:jc w:val="both"/>
        <w:rPr>
          <w:rFonts w:cs="Arial"/>
          <w:iCs/>
          <w:szCs w:val="20"/>
          <w:lang w:val="en-US"/>
        </w:rPr>
      </w:pPr>
      <w:r w:rsidRPr="00680E90">
        <w:rPr>
          <w:rFonts w:cs="Arial"/>
          <w:iCs/>
          <w:szCs w:val="20"/>
          <w:lang w:val="en-US"/>
        </w:rPr>
        <w:t xml:space="preserve">The target group for the operation aid scheme is expected to be </w:t>
      </w:r>
      <w:r>
        <w:rPr>
          <w:rFonts w:cs="Arial"/>
          <w:iCs/>
          <w:szCs w:val="20"/>
          <w:lang w:val="en-US"/>
        </w:rPr>
        <w:t xml:space="preserve">further </w:t>
      </w:r>
      <w:r w:rsidRPr="00680E90">
        <w:rPr>
          <w:rFonts w:cs="Arial"/>
          <w:iCs/>
          <w:szCs w:val="20"/>
          <w:lang w:val="en-US"/>
        </w:rPr>
        <w:t xml:space="preserve">delimitated by two criteria – in addition to those that follow from the relevant State aid guidelines. </w:t>
      </w:r>
    </w:p>
    <w:p w14:paraId="1A60D242" w14:textId="77777777" w:rsidR="002009E6" w:rsidRPr="00680E90" w:rsidRDefault="002009E6" w:rsidP="002009E6">
      <w:pPr>
        <w:jc w:val="both"/>
        <w:rPr>
          <w:rFonts w:cs="Arial"/>
          <w:iCs/>
          <w:szCs w:val="20"/>
          <w:lang w:val="en-US"/>
        </w:rPr>
      </w:pPr>
    </w:p>
    <w:p w14:paraId="0F6EE979" w14:textId="77777777" w:rsidR="002009E6" w:rsidRPr="00680E90" w:rsidRDefault="002009E6" w:rsidP="002009E6">
      <w:pPr>
        <w:jc w:val="both"/>
        <w:rPr>
          <w:rFonts w:asciiTheme="minorHAnsi" w:hAnsiTheme="minorHAnsi"/>
          <w:lang w:val="en-GB"/>
        </w:rPr>
      </w:pPr>
      <w:r w:rsidRPr="00680E90">
        <w:rPr>
          <w:rFonts w:cs="Arial"/>
          <w:iCs/>
          <w:szCs w:val="20"/>
          <w:lang w:val="en-US"/>
        </w:rPr>
        <w:lastRenderedPageBreak/>
        <w:t>Firstly, companies need to have a CO</w:t>
      </w:r>
      <w:r w:rsidRPr="00680E90">
        <w:rPr>
          <w:rFonts w:cs="Arial"/>
          <w:iCs/>
          <w:szCs w:val="20"/>
          <w:vertAlign w:val="subscript"/>
          <w:lang w:val="en-US"/>
        </w:rPr>
        <w:t>2</w:t>
      </w:r>
      <w:r w:rsidRPr="00680E90">
        <w:rPr>
          <w:rFonts w:cs="Arial"/>
          <w:iCs/>
          <w:szCs w:val="20"/>
          <w:lang w:val="en-US"/>
        </w:rPr>
        <w:t xml:space="preserve"> intensity of at least 6%, measured as the increase in CO</w:t>
      </w:r>
      <w:r w:rsidRPr="00680E90">
        <w:rPr>
          <w:rFonts w:cs="Arial"/>
          <w:iCs/>
          <w:szCs w:val="20"/>
          <w:vertAlign w:val="subscript"/>
          <w:lang w:val="en-US"/>
        </w:rPr>
        <w:t>2</w:t>
      </w:r>
      <w:r w:rsidRPr="00680E90">
        <w:rPr>
          <w:rFonts w:cs="Arial"/>
          <w:iCs/>
          <w:szCs w:val="20"/>
          <w:lang w:val="en-US"/>
        </w:rPr>
        <w:t xml:space="preserve"> taxation from 2022 to 2030 multiplied by historic yearly CO</w:t>
      </w:r>
      <w:r w:rsidRPr="00680E90">
        <w:rPr>
          <w:rFonts w:cs="Arial"/>
          <w:iCs/>
          <w:szCs w:val="20"/>
          <w:vertAlign w:val="subscript"/>
          <w:lang w:val="en-US"/>
        </w:rPr>
        <w:t>2</w:t>
      </w:r>
      <w:r w:rsidRPr="00680E90">
        <w:rPr>
          <w:rFonts w:cs="Arial"/>
          <w:iCs/>
          <w:szCs w:val="20"/>
          <w:lang w:val="en-US"/>
        </w:rPr>
        <w:t xml:space="preserve"> emission divided by historic yearly gross value added (GVA). This criterion is intended to show the economic burden a company will bear due to the new CO</w:t>
      </w:r>
      <w:r w:rsidRPr="00680E90">
        <w:rPr>
          <w:rFonts w:cs="Arial"/>
          <w:iCs/>
          <w:szCs w:val="20"/>
          <w:vertAlign w:val="subscript"/>
          <w:lang w:val="en-US"/>
        </w:rPr>
        <w:t>2</w:t>
      </w:r>
      <w:r w:rsidRPr="00680E90">
        <w:rPr>
          <w:rFonts w:cs="Arial"/>
          <w:iCs/>
          <w:szCs w:val="20"/>
          <w:lang w:val="en-US"/>
        </w:rPr>
        <w:t xml:space="preserve"> taxation (which is differentiated between sectors) and the capability of the company to bear this burden. Applying the criteria will exclude some companies. The criteri</w:t>
      </w:r>
      <w:r>
        <w:rPr>
          <w:rFonts w:cs="Arial"/>
          <w:iCs/>
          <w:szCs w:val="20"/>
          <w:lang w:val="en-US"/>
        </w:rPr>
        <w:t>on</w:t>
      </w:r>
      <w:r w:rsidRPr="00680E90">
        <w:rPr>
          <w:rFonts w:cs="Arial"/>
          <w:iCs/>
          <w:szCs w:val="20"/>
          <w:lang w:val="en-US"/>
        </w:rPr>
        <w:t xml:space="preserve"> is, however, intended to ensure that the target group for the scheme will be companies that </w:t>
      </w:r>
      <w:r w:rsidRPr="00680E90">
        <w:rPr>
          <w:rFonts w:asciiTheme="minorHAnsi" w:hAnsiTheme="minorHAnsi"/>
          <w:lang w:val="en-GB"/>
        </w:rPr>
        <w:t>have more difficulty shifting to a greener fuel and will be more affected by the new CO</w:t>
      </w:r>
      <w:r w:rsidRPr="00680E90">
        <w:rPr>
          <w:rFonts w:asciiTheme="minorHAnsi" w:hAnsiTheme="minorHAnsi"/>
          <w:vertAlign w:val="subscript"/>
          <w:lang w:val="en-GB"/>
        </w:rPr>
        <w:t>2</w:t>
      </w:r>
      <w:r w:rsidRPr="00680E90">
        <w:rPr>
          <w:rFonts w:asciiTheme="minorHAnsi" w:hAnsiTheme="minorHAnsi"/>
          <w:lang w:val="en-GB"/>
        </w:rPr>
        <w:t xml:space="preserve"> taxation than others – and that the companies covered compete on equal terms despite the differentiated CO</w:t>
      </w:r>
      <w:r w:rsidRPr="00680E90">
        <w:rPr>
          <w:rFonts w:cs="Arial"/>
          <w:iCs/>
          <w:szCs w:val="20"/>
          <w:vertAlign w:val="subscript"/>
          <w:lang w:val="en-US"/>
        </w:rPr>
        <w:t>2</w:t>
      </w:r>
      <w:r w:rsidRPr="00680E90">
        <w:rPr>
          <w:rFonts w:asciiTheme="minorHAnsi" w:hAnsiTheme="minorHAnsi"/>
          <w:lang w:val="en-GB"/>
        </w:rPr>
        <w:t xml:space="preserve"> taxation.</w:t>
      </w:r>
    </w:p>
    <w:p w14:paraId="2CFF82FA" w14:textId="77777777" w:rsidR="002009E6" w:rsidRDefault="002009E6" w:rsidP="002009E6">
      <w:pPr>
        <w:jc w:val="both"/>
        <w:rPr>
          <w:rFonts w:cs="Arial"/>
          <w:iCs/>
          <w:szCs w:val="20"/>
          <w:lang w:val="en-US"/>
        </w:rPr>
      </w:pPr>
    </w:p>
    <w:p w14:paraId="61507740" w14:textId="732084FE" w:rsidR="002009E6" w:rsidRDefault="002009E6" w:rsidP="002009E6">
      <w:pPr>
        <w:jc w:val="both"/>
        <w:rPr>
          <w:rFonts w:asciiTheme="minorHAnsi" w:hAnsiTheme="minorHAnsi"/>
          <w:lang w:val="en-US"/>
        </w:rPr>
      </w:pPr>
      <w:r w:rsidRPr="00680E90">
        <w:rPr>
          <w:rFonts w:cs="Arial"/>
          <w:iCs/>
          <w:szCs w:val="20"/>
          <w:lang w:val="en-US"/>
        </w:rPr>
        <w:t>Secondly, companies need to have a total (historic) yearly CO</w:t>
      </w:r>
      <w:r w:rsidRPr="00680E90">
        <w:rPr>
          <w:rFonts w:cs="Arial"/>
          <w:iCs/>
          <w:szCs w:val="20"/>
          <w:vertAlign w:val="subscript"/>
          <w:lang w:val="en-US"/>
        </w:rPr>
        <w:t xml:space="preserve">2 </w:t>
      </w:r>
      <w:r w:rsidRPr="00680E90">
        <w:rPr>
          <w:rFonts w:cs="Arial"/>
          <w:iCs/>
          <w:szCs w:val="20"/>
          <w:lang w:val="en-US"/>
        </w:rPr>
        <w:t>emission of a minimum of 1,500 tons. It is also expected as a criterion on a project level that a project has to entail an estimated yearly reduction in CO</w:t>
      </w:r>
      <w:r w:rsidRPr="00680E90">
        <w:rPr>
          <w:rFonts w:cs="Arial"/>
          <w:iCs/>
          <w:szCs w:val="20"/>
          <w:vertAlign w:val="subscript"/>
          <w:lang w:val="en-US"/>
        </w:rPr>
        <w:t>2</w:t>
      </w:r>
      <w:r w:rsidRPr="00680E90">
        <w:rPr>
          <w:rFonts w:cs="Arial"/>
          <w:iCs/>
          <w:szCs w:val="20"/>
          <w:lang w:val="en-US"/>
        </w:rPr>
        <w:t xml:space="preserve"> emission of minimum 1,000 tons. These two criteria have been chosen to ensure that the covered companies, in addition to a high CO</w:t>
      </w:r>
      <w:r w:rsidRPr="00680E90">
        <w:rPr>
          <w:rFonts w:cs="Arial"/>
          <w:iCs/>
          <w:szCs w:val="20"/>
          <w:vertAlign w:val="subscript"/>
          <w:lang w:val="en-US"/>
        </w:rPr>
        <w:t>2</w:t>
      </w:r>
      <w:r w:rsidRPr="00680E90">
        <w:rPr>
          <w:rFonts w:cs="Arial"/>
          <w:iCs/>
          <w:szCs w:val="20"/>
          <w:lang w:val="en-US"/>
        </w:rPr>
        <w:t xml:space="preserve"> intensity, have large CO</w:t>
      </w:r>
      <w:r w:rsidRPr="00680E90">
        <w:rPr>
          <w:rFonts w:cs="Arial"/>
          <w:iCs/>
          <w:szCs w:val="20"/>
          <w:vertAlign w:val="subscript"/>
          <w:lang w:val="en-US"/>
        </w:rPr>
        <w:t>2</w:t>
      </w:r>
      <w:r w:rsidRPr="00680E90">
        <w:rPr>
          <w:rFonts w:cs="Arial"/>
          <w:iCs/>
          <w:szCs w:val="20"/>
          <w:lang w:val="en-US"/>
        </w:rPr>
        <w:t xml:space="preserve"> emissions and, therefore, </w:t>
      </w:r>
      <w:r w:rsidRPr="00680E90">
        <w:rPr>
          <w:rFonts w:asciiTheme="minorHAnsi" w:hAnsiTheme="minorHAnsi"/>
          <w:lang w:val="en-GB"/>
        </w:rPr>
        <w:t>will be more affected by the new CO</w:t>
      </w:r>
      <w:r w:rsidRPr="00680E90">
        <w:rPr>
          <w:rFonts w:asciiTheme="minorHAnsi" w:hAnsiTheme="minorHAnsi"/>
          <w:vertAlign w:val="subscript"/>
          <w:lang w:val="en-GB"/>
        </w:rPr>
        <w:t>2</w:t>
      </w:r>
      <w:r w:rsidRPr="00680E90">
        <w:rPr>
          <w:rFonts w:asciiTheme="minorHAnsi" w:hAnsiTheme="minorHAnsi"/>
          <w:lang w:val="en-GB"/>
        </w:rPr>
        <w:t xml:space="preserve"> taxation than others.</w:t>
      </w:r>
      <w:r>
        <w:rPr>
          <w:rFonts w:asciiTheme="minorHAnsi" w:hAnsiTheme="minorHAnsi"/>
          <w:lang w:val="en-GB"/>
        </w:rPr>
        <w:t xml:space="preserve"> </w:t>
      </w:r>
      <w:r w:rsidRPr="00451B7C">
        <w:rPr>
          <w:rFonts w:asciiTheme="minorHAnsi" w:hAnsiTheme="minorHAnsi"/>
          <w:lang w:val="en-US"/>
        </w:rPr>
        <w:t xml:space="preserve">This is in line with the political agreement </w:t>
      </w:r>
      <w:r w:rsidRPr="00451B7C">
        <w:rPr>
          <w:lang w:val="en-US"/>
        </w:rPr>
        <w:t xml:space="preserve">concerning transitional aid </w:t>
      </w:r>
      <w:r>
        <w:rPr>
          <w:rFonts w:asciiTheme="minorHAnsi" w:hAnsiTheme="minorHAnsi"/>
          <w:lang w:val="en-US"/>
        </w:rPr>
        <w:t>from which it follows that</w:t>
      </w:r>
      <w:r w:rsidRPr="00451B7C">
        <w:rPr>
          <w:rFonts w:asciiTheme="minorHAnsi" w:hAnsiTheme="minorHAnsi"/>
          <w:lang w:val="en-US"/>
        </w:rPr>
        <w:t xml:space="preserve"> companies with very small emissions and thus a relatively small absolute increase in tax payment a</w:t>
      </w:r>
      <w:r>
        <w:rPr>
          <w:rFonts w:asciiTheme="minorHAnsi" w:hAnsiTheme="minorHAnsi"/>
          <w:lang w:val="en-US"/>
        </w:rPr>
        <w:t>r</w:t>
      </w:r>
      <w:r w:rsidRPr="00451B7C">
        <w:rPr>
          <w:rFonts w:asciiTheme="minorHAnsi" w:hAnsiTheme="minorHAnsi"/>
          <w:lang w:val="en-US"/>
        </w:rPr>
        <w:t xml:space="preserve">e </w:t>
      </w:r>
      <w:r>
        <w:rPr>
          <w:rFonts w:asciiTheme="minorHAnsi" w:hAnsiTheme="minorHAnsi"/>
          <w:lang w:val="en-US"/>
        </w:rPr>
        <w:t xml:space="preserve">not to be </w:t>
      </w:r>
      <w:r w:rsidRPr="00451B7C">
        <w:rPr>
          <w:rFonts w:asciiTheme="minorHAnsi" w:hAnsiTheme="minorHAnsi"/>
          <w:lang w:val="en-US"/>
        </w:rPr>
        <w:t>included in the target group</w:t>
      </w:r>
      <w:r>
        <w:rPr>
          <w:rFonts w:asciiTheme="minorHAnsi" w:hAnsiTheme="minorHAnsi"/>
          <w:lang w:val="en-US"/>
        </w:rPr>
        <w:t>.</w:t>
      </w:r>
    </w:p>
    <w:p w14:paraId="419B01DA" w14:textId="77777777" w:rsidR="002009E6" w:rsidRPr="00A0541D" w:rsidRDefault="002009E6" w:rsidP="002009E6">
      <w:pPr>
        <w:jc w:val="both"/>
        <w:rPr>
          <w:rFonts w:asciiTheme="minorHAnsi" w:hAnsiTheme="minorHAnsi"/>
          <w:lang w:val="en-US"/>
        </w:rPr>
      </w:pPr>
    </w:p>
    <w:p w14:paraId="78D72F3A" w14:textId="55A81B93" w:rsidR="00DE0682" w:rsidRDefault="00DE0682" w:rsidP="00895A1C">
      <w:pPr>
        <w:pStyle w:val="Overskrift3"/>
        <w:numPr>
          <w:ilvl w:val="1"/>
          <w:numId w:val="1"/>
        </w:numPr>
        <w:rPr>
          <w:lang w:val="en-US"/>
        </w:rPr>
      </w:pPr>
      <w:bookmarkStart w:id="11" w:name="_Toc169253961"/>
      <w:r>
        <w:rPr>
          <w:lang w:val="en-US"/>
        </w:rPr>
        <w:t xml:space="preserve">Projects where there </w:t>
      </w:r>
      <w:r w:rsidR="003E5410">
        <w:rPr>
          <w:lang w:val="en-US"/>
        </w:rPr>
        <w:t>is</w:t>
      </w:r>
      <w:r>
        <w:rPr>
          <w:lang w:val="en-US"/>
        </w:rPr>
        <w:t xml:space="preserve"> no </w:t>
      </w:r>
      <w:r w:rsidR="003E5410">
        <w:rPr>
          <w:rFonts w:cstheme="majorHAnsi"/>
          <w:lang w:val="en-US"/>
        </w:rPr>
        <w:t>“</w:t>
      </w:r>
      <w:r w:rsidR="003E5410">
        <w:rPr>
          <w:lang w:val="en-US"/>
        </w:rPr>
        <w:t>s</w:t>
      </w:r>
      <w:r>
        <w:rPr>
          <w:lang w:val="en-US"/>
        </w:rPr>
        <w:t>tart of work</w:t>
      </w:r>
      <w:r w:rsidR="003E5410">
        <w:rPr>
          <w:lang w:val="en-US"/>
        </w:rPr>
        <w:t>”</w:t>
      </w:r>
      <w:bookmarkEnd w:id="11"/>
      <w:r>
        <w:rPr>
          <w:lang w:val="en-US"/>
        </w:rPr>
        <w:t xml:space="preserve"> </w:t>
      </w:r>
    </w:p>
    <w:p w14:paraId="69E74EE0" w14:textId="5F307CCC" w:rsidR="003E5410" w:rsidRDefault="003E5410" w:rsidP="00DE0682">
      <w:pPr>
        <w:rPr>
          <w:rFonts w:cs="Arial"/>
          <w:iCs/>
          <w:szCs w:val="20"/>
          <w:lang w:val="en-US"/>
        </w:rPr>
      </w:pPr>
      <w:r>
        <w:rPr>
          <w:lang w:val="en-US"/>
        </w:rPr>
        <w:t>Projects where undertakings have invested before applying for aid will also be eligible for operation aid – if the investment has only</w:t>
      </w:r>
      <w:r w:rsidRPr="00CB6F91">
        <w:rPr>
          <w:i/>
          <w:lang w:val="en-US"/>
        </w:rPr>
        <w:t xml:space="preserve"> facilitate</w:t>
      </w:r>
      <w:r>
        <w:rPr>
          <w:i/>
          <w:lang w:val="en-US"/>
        </w:rPr>
        <w:t>d</w:t>
      </w:r>
      <w:r>
        <w:rPr>
          <w:lang w:val="en-US"/>
        </w:rPr>
        <w:t xml:space="preserve"> the use of a greener energy source, but the use of the greener energy source may entail higher operating costs.</w:t>
      </w:r>
      <w:r>
        <w:rPr>
          <w:rFonts w:cs="Arial"/>
          <w:iCs/>
          <w:szCs w:val="20"/>
          <w:lang w:val="en-US"/>
        </w:rPr>
        <w:t xml:space="preserve"> Receiving aid to cover all or part of these costs will give the beneficiaries an incentive to actually start </w:t>
      </w:r>
      <w:r w:rsidRPr="00CB6F91">
        <w:rPr>
          <w:rFonts w:cs="Arial"/>
          <w:i/>
          <w:iCs/>
          <w:szCs w:val="20"/>
          <w:lang w:val="en-US"/>
        </w:rPr>
        <w:t xml:space="preserve">using </w:t>
      </w:r>
      <w:r>
        <w:rPr>
          <w:rFonts w:cs="Arial"/>
          <w:iCs/>
          <w:szCs w:val="20"/>
          <w:lang w:val="en-US"/>
        </w:rPr>
        <w:t>the greener energy source and, thereby, reduce CO</w:t>
      </w:r>
      <w:r w:rsidRPr="00212E16">
        <w:rPr>
          <w:rFonts w:cs="Arial"/>
          <w:iCs/>
          <w:szCs w:val="20"/>
          <w:vertAlign w:val="subscript"/>
          <w:lang w:val="en-US"/>
        </w:rPr>
        <w:t>2</w:t>
      </w:r>
      <w:r>
        <w:rPr>
          <w:rFonts w:cs="Arial"/>
          <w:iCs/>
          <w:szCs w:val="20"/>
          <w:lang w:val="en-US"/>
        </w:rPr>
        <w:t xml:space="preserve">e emissions. </w:t>
      </w:r>
    </w:p>
    <w:p w14:paraId="0169EE94" w14:textId="77777777" w:rsidR="003E5410" w:rsidRDefault="003E5410" w:rsidP="00DE0682">
      <w:pPr>
        <w:rPr>
          <w:rFonts w:cs="Arial"/>
          <w:iCs/>
          <w:szCs w:val="20"/>
          <w:lang w:val="en-US"/>
        </w:rPr>
      </w:pPr>
    </w:p>
    <w:p w14:paraId="33EDB940" w14:textId="4D287ABF" w:rsidR="00DE0682" w:rsidRDefault="003E5410" w:rsidP="00DE0682">
      <w:pPr>
        <w:rPr>
          <w:rFonts w:cs="Arial"/>
          <w:iCs/>
          <w:szCs w:val="20"/>
          <w:lang w:val="en-US"/>
        </w:rPr>
      </w:pPr>
      <w:r>
        <w:rPr>
          <w:rFonts w:cs="Arial"/>
          <w:iCs/>
          <w:szCs w:val="20"/>
          <w:lang w:val="en-US"/>
        </w:rPr>
        <w:t xml:space="preserve">As initial investments costs are expected to constitute only a </w:t>
      </w:r>
      <w:r w:rsidR="00BD32A7">
        <w:rPr>
          <w:rFonts w:cs="Arial"/>
          <w:iCs/>
          <w:szCs w:val="20"/>
          <w:lang w:val="en-US"/>
        </w:rPr>
        <w:t xml:space="preserve">small </w:t>
      </w:r>
      <w:r>
        <w:rPr>
          <w:rFonts w:cs="Arial"/>
          <w:iCs/>
          <w:szCs w:val="20"/>
          <w:lang w:val="en-US"/>
        </w:rPr>
        <w:t>part of the overall additional costs of the projects, the DEA believes that it will not affect the competition between undertakings that have invested before applying for aid and undertakings that have not.</w:t>
      </w:r>
    </w:p>
    <w:p w14:paraId="24F9C131" w14:textId="77777777" w:rsidR="002009E6" w:rsidRPr="00DE0682" w:rsidRDefault="002009E6" w:rsidP="00DE0682">
      <w:pPr>
        <w:rPr>
          <w:lang w:val="en-US"/>
        </w:rPr>
      </w:pPr>
    </w:p>
    <w:p w14:paraId="61306710" w14:textId="1B7168EB" w:rsidR="00AD49F2" w:rsidRDefault="00AD49F2" w:rsidP="00AD49F2">
      <w:pPr>
        <w:pStyle w:val="Overskrift2"/>
        <w:numPr>
          <w:ilvl w:val="0"/>
          <w:numId w:val="1"/>
        </w:numPr>
        <w:rPr>
          <w:lang w:val="en-US"/>
        </w:rPr>
      </w:pPr>
      <w:bookmarkStart w:id="12" w:name="_Toc169253962"/>
      <w:r>
        <w:rPr>
          <w:lang w:val="en-US"/>
        </w:rPr>
        <w:t>P</w:t>
      </w:r>
      <w:r w:rsidRPr="00AD49F2">
        <w:rPr>
          <w:lang w:val="en-US"/>
        </w:rPr>
        <w:t>roposed use and scope of competitive bidding processes</w:t>
      </w:r>
      <w:bookmarkEnd w:id="12"/>
      <w:r w:rsidRPr="00AD49F2">
        <w:rPr>
          <w:lang w:val="en-US"/>
        </w:rPr>
        <w:t xml:space="preserve"> </w:t>
      </w:r>
    </w:p>
    <w:p w14:paraId="0FF9FB52" w14:textId="5243338A" w:rsidR="00A0541D" w:rsidRPr="00F605DB" w:rsidRDefault="00743B43" w:rsidP="003B6FA9">
      <w:pPr>
        <w:jc w:val="both"/>
        <w:rPr>
          <w:lang w:val="en-US"/>
        </w:rPr>
      </w:pPr>
      <w:bookmarkStart w:id="13" w:name="_Hlk167897337"/>
      <w:r>
        <w:rPr>
          <w:lang w:val="en-US"/>
        </w:rPr>
        <w:t>A</w:t>
      </w:r>
      <w:r w:rsidR="00A0541D" w:rsidRPr="00743B43">
        <w:rPr>
          <w:lang w:val="en-US"/>
        </w:rPr>
        <w:t xml:space="preserve">id will be granted through up to two competitive bidding rounds and disbursed from 2025 to 2034. Subject to the European Commission’s approval, the DEA intends to initiate the first competitive bidding process in early 2025 in order for </w:t>
      </w:r>
      <w:r w:rsidR="00A0541D" w:rsidRPr="00ED5C36">
        <w:rPr>
          <w:lang w:val="en-US"/>
        </w:rPr>
        <w:t>granting of aid in 2025 to be possible.</w:t>
      </w:r>
      <w:r w:rsidR="003B6FA9" w:rsidRPr="003B6FA9">
        <w:rPr>
          <w:rFonts w:cs="Arial"/>
          <w:iCs/>
          <w:szCs w:val="20"/>
          <w:lang w:val="en-US"/>
        </w:rPr>
        <w:t xml:space="preserve"> </w:t>
      </w:r>
      <w:r w:rsidR="003B6FA9">
        <w:rPr>
          <w:rFonts w:cs="Arial"/>
          <w:iCs/>
          <w:szCs w:val="20"/>
          <w:lang w:val="en-US"/>
        </w:rPr>
        <w:t>U</w:t>
      </w:r>
      <w:r w:rsidR="003B6FA9" w:rsidRPr="003B6FA9">
        <w:rPr>
          <w:rFonts w:cs="Arial"/>
          <w:iCs/>
          <w:szCs w:val="20"/>
          <w:lang w:val="en-US"/>
        </w:rPr>
        <w:t>ndertakings are expected to compete solely based on their bid for price pr. ton avoided CO</w:t>
      </w:r>
      <w:r w:rsidR="003B6FA9" w:rsidRPr="00AB6DEC">
        <w:rPr>
          <w:rFonts w:cs="Arial"/>
          <w:iCs/>
          <w:szCs w:val="20"/>
          <w:vertAlign w:val="subscript"/>
          <w:lang w:val="en-US"/>
        </w:rPr>
        <w:t>2</w:t>
      </w:r>
      <w:r w:rsidR="003B6FA9" w:rsidRPr="003B6FA9">
        <w:rPr>
          <w:rFonts w:cs="Arial"/>
          <w:iCs/>
          <w:szCs w:val="20"/>
          <w:lang w:val="en-US"/>
        </w:rPr>
        <w:t>e.</w:t>
      </w:r>
      <w:r w:rsidR="00F605DB">
        <w:rPr>
          <w:rFonts w:cs="Arial"/>
          <w:iCs/>
          <w:szCs w:val="20"/>
          <w:lang w:val="en-US"/>
        </w:rPr>
        <w:t xml:space="preserve"> A</w:t>
      </w:r>
      <w:r w:rsidR="00F605DB" w:rsidRPr="00F605DB">
        <w:rPr>
          <w:rFonts w:cs="Arial"/>
          <w:iCs/>
          <w:szCs w:val="20"/>
          <w:lang w:val="en-US"/>
        </w:rPr>
        <w:t xml:space="preserve"> maximum bid price of DKK 500 per ton of CO</w:t>
      </w:r>
      <w:r w:rsidR="00F605DB" w:rsidRPr="00F605DB">
        <w:rPr>
          <w:rFonts w:cs="Arial"/>
          <w:iCs/>
          <w:szCs w:val="20"/>
          <w:vertAlign w:val="subscript"/>
          <w:lang w:val="en-US"/>
        </w:rPr>
        <w:t>2</w:t>
      </w:r>
      <w:r w:rsidR="00F605DB" w:rsidRPr="00F605DB">
        <w:rPr>
          <w:rFonts w:cs="Arial"/>
          <w:iCs/>
          <w:szCs w:val="20"/>
          <w:lang w:val="en-US"/>
        </w:rPr>
        <w:t>e emission avoided is expected.</w:t>
      </w:r>
    </w:p>
    <w:p w14:paraId="7AAA121B" w14:textId="2E918507" w:rsidR="000015F2" w:rsidRPr="003E5410" w:rsidRDefault="000015F2" w:rsidP="000015F2">
      <w:pPr>
        <w:rPr>
          <w:rFonts w:cs="Arial"/>
          <w:iCs/>
          <w:szCs w:val="20"/>
          <w:lang w:val="en-US"/>
        </w:rPr>
      </w:pPr>
    </w:p>
    <w:p w14:paraId="675AF274" w14:textId="66FBC88F" w:rsidR="003B6FA9" w:rsidRDefault="00ED5C36" w:rsidP="003E5410">
      <w:pPr>
        <w:jc w:val="both"/>
        <w:rPr>
          <w:lang w:val="en-US"/>
        </w:rPr>
      </w:pPr>
      <w:r w:rsidRPr="003E5410">
        <w:rPr>
          <w:lang w:val="en-US"/>
        </w:rPr>
        <w:t>The DEA will ensure that the competitive bidding processes will be open and based on clear, transparent and non-discriminatory criteria. The conditions for the scheme, including the timeline for the bidding process(es), the criteria for ranking the bids and the delimitation for the projects eligible for aid, will be set out in an executive order, which will, thus, form the legal basis of the scheme. The executive order is expected to enter into force on 1 January 2025. The executive order will be supplemented by a handbook with guidance on the scheme for the bidders.</w:t>
      </w:r>
    </w:p>
    <w:p w14:paraId="644A0EE2" w14:textId="77777777" w:rsidR="002009E6" w:rsidRPr="003E5410" w:rsidRDefault="002009E6" w:rsidP="003E5410">
      <w:pPr>
        <w:jc w:val="both"/>
        <w:rPr>
          <w:lang w:val="en-US"/>
        </w:rPr>
      </w:pPr>
    </w:p>
    <w:p w14:paraId="61306711" w14:textId="69858B85" w:rsidR="00AD49F2" w:rsidRDefault="00AD49F2" w:rsidP="00AD49F2">
      <w:pPr>
        <w:pStyle w:val="Overskrift2"/>
        <w:numPr>
          <w:ilvl w:val="0"/>
          <w:numId w:val="1"/>
        </w:numPr>
        <w:rPr>
          <w:lang w:val="en-US"/>
        </w:rPr>
      </w:pPr>
      <w:bookmarkStart w:id="14" w:name="_Toc169253963"/>
      <w:bookmarkEnd w:id="13"/>
      <w:r>
        <w:rPr>
          <w:lang w:val="en-US"/>
        </w:rPr>
        <w:t>P</w:t>
      </w:r>
      <w:r w:rsidRPr="00AD49F2">
        <w:rPr>
          <w:lang w:val="en-US"/>
        </w:rPr>
        <w:t>roposed safeguards to ensure compatibility with the Union’s climate targets</w:t>
      </w:r>
      <w:bookmarkEnd w:id="14"/>
    </w:p>
    <w:p w14:paraId="46E2210B" w14:textId="1F255ED4" w:rsidR="00ED5C36" w:rsidRDefault="00ED5C36" w:rsidP="000015F2">
      <w:pPr>
        <w:rPr>
          <w:lang w:val="en-US"/>
        </w:rPr>
      </w:pPr>
      <w:r w:rsidRPr="00ED5C36">
        <w:rPr>
          <w:lang w:val="en-US"/>
        </w:rPr>
        <w:t>The Danish Climate Act of June 2020 sets a legally binding target for Denmark to become climate neutral in 2050 and two intermediate goals in 2025 and 2030 of achieving 50-54% and 70% reduction of national greenhouse gas (GHG) emissions compared to 1990</w:t>
      </w:r>
      <w:r>
        <w:rPr>
          <w:lang w:val="en-US"/>
        </w:rPr>
        <w:t>.</w:t>
      </w:r>
      <w:r>
        <w:rPr>
          <w:rStyle w:val="Fodnotehenvisning"/>
          <w:lang w:val="en-US"/>
        </w:rPr>
        <w:footnoteReference w:id="6"/>
      </w:r>
      <w:r w:rsidRPr="00ED5C36">
        <w:rPr>
          <w:lang w:val="en-US"/>
        </w:rPr>
        <w:t xml:space="preserve"> </w:t>
      </w:r>
      <w:r w:rsidR="00755AAB">
        <w:rPr>
          <w:lang w:val="en-US"/>
        </w:rPr>
        <w:t>The current Danish government has since moved up the goal of climate neutrality to 2045</w:t>
      </w:r>
      <w:r w:rsidR="00BE6A69">
        <w:rPr>
          <w:lang w:val="en-US"/>
        </w:rPr>
        <w:t xml:space="preserve"> and set a new goal of 110% reduction </w:t>
      </w:r>
      <w:r w:rsidR="00BE6A69" w:rsidRPr="00ED5C36">
        <w:rPr>
          <w:lang w:val="en-US"/>
        </w:rPr>
        <w:t>of national GHG emissions compared to 1990</w:t>
      </w:r>
      <w:r w:rsidR="00755AAB">
        <w:rPr>
          <w:lang w:val="en-US"/>
        </w:rPr>
        <w:t xml:space="preserve">. </w:t>
      </w:r>
      <w:r w:rsidRPr="00ED5C36">
        <w:rPr>
          <w:lang w:val="en-US"/>
        </w:rPr>
        <w:t>These goals complement the EU’s climate protection target in the EU Climate Law of reducing GHG emissions by at least 55% by 2030 and becoming climate neutral by 2050</w:t>
      </w:r>
      <w:r>
        <w:rPr>
          <w:lang w:val="en-US"/>
        </w:rPr>
        <w:t>.</w:t>
      </w:r>
      <w:r>
        <w:rPr>
          <w:rStyle w:val="Fodnotehenvisning"/>
          <w:lang w:val="en-US"/>
        </w:rPr>
        <w:footnoteReference w:id="7"/>
      </w:r>
      <w:r w:rsidRPr="00ED5C36">
        <w:rPr>
          <w:lang w:val="en-US"/>
        </w:rPr>
        <w:t xml:space="preserve"> </w:t>
      </w:r>
    </w:p>
    <w:p w14:paraId="4DB8807C" w14:textId="77777777" w:rsidR="00ED5C36" w:rsidRDefault="00ED5C36" w:rsidP="000015F2">
      <w:pPr>
        <w:rPr>
          <w:lang w:val="en-US"/>
        </w:rPr>
      </w:pPr>
    </w:p>
    <w:p w14:paraId="6CB5CBD3" w14:textId="043C3AED" w:rsidR="003B6FA9" w:rsidRDefault="00ED5C36" w:rsidP="00ED5C36">
      <w:pPr>
        <w:jc w:val="both"/>
        <w:rPr>
          <w:lang w:val="en-US"/>
        </w:rPr>
      </w:pPr>
      <w:r>
        <w:rPr>
          <w:rFonts w:cs="Arial"/>
          <w:iCs/>
          <w:szCs w:val="20"/>
          <w:lang w:val="en-US"/>
        </w:rPr>
        <w:t>As mentioned above, t</w:t>
      </w:r>
      <w:r w:rsidRPr="00554706">
        <w:rPr>
          <w:rFonts w:cs="Arial"/>
          <w:iCs/>
          <w:szCs w:val="20"/>
          <w:lang w:val="en-US"/>
        </w:rPr>
        <w:t>he</w:t>
      </w:r>
      <w:r>
        <w:rPr>
          <w:rFonts w:cs="Arial"/>
          <w:iCs/>
          <w:szCs w:val="20"/>
          <w:lang w:val="en-US"/>
        </w:rPr>
        <w:t xml:space="preserve"> operation aid scheme is part of the Green Tax</w:t>
      </w:r>
      <w:r w:rsidRPr="00554706">
        <w:rPr>
          <w:rFonts w:cs="Arial"/>
          <w:iCs/>
          <w:szCs w:val="20"/>
          <w:lang w:val="en-US"/>
        </w:rPr>
        <w:t xml:space="preserve"> </w:t>
      </w:r>
      <w:r>
        <w:rPr>
          <w:rFonts w:cs="Arial"/>
          <w:iCs/>
          <w:szCs w:val="20"/>
          <w:lang w:val="en-US"/>
        </w:rPr>
        <w:t>R</w:t>
      </w:r>
      <w:r w:rsidRPr="00554706">
        <w:rPr>
          <w:rFonts w:cs="Arial"/>
          <w:iCs/>
          <w:szCs w:val="20"/>
          <w:lang w:val="en-US"/>
        </w:rPr>
        <w:t>eform</w:t>
      </w:r>
      <w:r>
        <w:rPr>
          <w:rFonts w:cs="Arial"/>
          <w:iCs/>
          <w:szCs w:val="20"/>
          <w:lang w:val="en-US"/>
        </w:rPr>
        <w:t xml:space="preserve"> which</w:t>
      </w:r>
      <w:r w:rsidRPr="00554706">
        <w:rPr>
          <w:rFonts w:cs="Arial"/>
          <w:iCs/>
          <w:szCs w:val="20"/>
          <w:lang w:val="en-US"/>
        </w:rPr>
        <w:t xml:space="preserve"> </w:t>
      </w:r>
      <w:r w:rsidR="00CF3568">
        <w:rPr>
          <w:rFonts w:cs="Arial"/>
          <w:iCs/>
          <w:szCs w:val="20"/>
          <w:lang w:val="en-US"/>
        </w:rPr>
        <w:t>constitutes</w:t>
      </w:r>
      <w:r w:rsidRPr="00554706">
        <w:rPr>
          <w:rFonts w:cs="Arial"/>
          <w:iCs/>
          <w:szCs w:val="20"/>
          <w:lang w:val="en-US"/>
        </w:rPr>
        <w:t xml:space="preserve"> the largest single contribution to Denmark's 2030 climate goal</w:t>
      </w:r>
      <w:r w:rsidRPr="000401D1">
        <w:rPr>
          <w:rFonts w:cs="Arial"/>
          <w:iCs/>
          <w:szCs w:val="20"/>
          <w:lang w:val="en-US"/>
        </w:rPr>
        <w:t xml:space="preserve">. With the reform, </w:t>
      </w:r>
      <w:r>
        <w:rPr>
          <w:rFonts w:cs="Arial"/>
          <w:iCs/>
          <w:szCs w:val="20"/>
          <w:lang w:val="en-US"/>
        </w:rPr>
        <w:t xml:space="preserve">Denmark is set to </w:t>
      </w:r>
      <w:r w:rsidRPr="000401D1">
        <w:rPr>
          <w:rFonts w:cs="Arial"/>
          <w:iCs/>
          <w:szCs w:val="20"/>
          <w:lang w:val="en-US"/>
        </w:rPr>
        <w:t>reduce CO</w:t>
      </w:r>
      <w:r w:rsidRPr="00554706">
        <w:rPr>
          <w:rFonts w:cs="Arial"/>
          <w:iCs/>
          <w:szCs w:val="20"/>
          <w:vertAlign w:val="subscript"/>
          <w:lang w:val="en-US"/>
        </w:rPr>
        <w:t>2</w:t>
      </w:r>
      <w:r>
        <w:rPr>
          <w:rFonts w:cs="Arial"/>
          <w:iCs/>
          <w:szCs w:val="20"/>
          <w:vertAlign w:val="subscript"/>
          <w:lang w:val="en-US"/>
        </w:rPr>
        <w:t xml:space="preserve"> </w:t>
      </w:r>
      <w:r w:rsidRPr="000401D1">
        <w:rPr>
          <w:rFonts w:cs="Arial"/>
          <w:iCs/>
          <w:szCs w:val="20"/>
          <w:lang w:val="en-US"/>
        </w:rPr>
        <w:t xml:space="preserve">emissions </w:t>
      </w:r>
      <w:r>
        <w:rPr>
          <w:rFonts w:cs="Arial"/>
          <w:iCs/>
          <w:szCs w:val="20"/>
          <w:lang w:val="en-US"/>
        </w:rPr>
        <w:t xml:space="preserve">by </w:t>
      </w:r>
      <w:r w:rsidRPr="000401D1">
        <w:rPr>
          <w:rFonts w:cs="Arial"/>
          <w:iCs/>
          <w:szCs w:val="20"/>
          <w:lang w:val="en-US"/>
        </w:rPr>
        <w:t>4</w:t>
      </w:r>
      <w:r>
        <w:rPr>
          <w:rFonts w:cs="Arial"/>
          <w:iCs/>
          <w:szCs w:val="20"/>
          <w:lang w:val="en-US"/>
        </w:rPr>
        <w:t>.</w:t>
      </w:r>
      <w:r w:rsidRPr="000401D1">
        <w:rPr>
          <w:rFonts w:cs="Arial"/>
          <w:iCs/>
          <w:szCs w:val="20"/>
          <w:lang w:val="en-US"/>
        </w:rPr>
        <w:t>3 million ton</w:t>
      </w:r>
      <w:r>
        <w:rPr>
          <w:rFonts w:cs="Arial"/>
          <w:iCs/>
          <w:szCs w:val="20"/>
          <w:lang w:val="en-US"/>
        </w:rPr>
        <w:t xml:space="preserve">s </w:t>
      </w:r>
      <w:r w:rsidR="009A32C5">
        <w:rPr>
          <w:rFonts w:cs="Arial"/>
          <w:iCs/>
          <w:szCs w:val="20"/>
          <w:lang w:val="en-US"/>
        </w:rPr>
        <w:t>in</w:t>
      </w:r>
      <w:r w:rsidR="009A32C5" w:rsidRPr="000401D1">
        <w:rPr>
          <w:rFonts w:cs="Arial"/>
          <w:iCs/>
          <w:szCs w:val="20"/>
          <w:lang w:val="en-US"/>
        </w:rPr>
        <w:t xml:space="preserve"> </w:t>
      </w:r>
      <w:r w:rsidRPr="000401D1">
        <w:rPr>
          <w:rFonts w:cs="Arial"/>
          <w:iCs/>
          <w:szCs w:val="20"/>
          <w:lang w:val="en-US"/>
        </w:rPr>
        <w:t>2030</w:t>
      </w:r>
      <w:r>
        <w:rPr>
          <w:rFonts w:cs="Arial"/>
          <w:iCs/>
          <w:szCs w:val="20"/>
          <w:lang w:val="en-US"/>
        </w:rPr>
        <w:t>, with the majority of the reductions stemming from the Danish industry</w:t>
      </w:r>
      <w:r w:rsidRPr="000401D1">
        <w:rPr>
          <w:rFonts w:cs="Arial"/>
          <w:iCs/>
          <w:szCs w:val="20"/>
          <w:lang w:val="en-US"/>
        </w:rPr>
        <w:t xml:space="preserve">. </w:t>
      </w:r>
      <w:r w:rsidR="00CF3568">
        <w:rPr>
          <w:rFonts w:cs="Arial"/>
          <w:iCs/>
          <w:szCs w:val="20"/>
          <w:lang w:val="en-US"/>
        </w:rPr>
        <w:t>A</w:t>
      </w:r>
      <w:r w:rsidR="003C78B7">
        <w:rPr>
          <w:rFonts w:cs="Arial"/>
          <w:iCs/>
          <w:szCs w:val="20"/>
          <w:lang w:val="en-US"/>
        </w:rPr>
        <w:t xml:space="preserve">id </w:t>
      </w:r>
      <w:r w:rsidR="00CF3568">
        <w:rPr>
          <w:rFonts w:cs="Arial"/>
          <w:iCs/>
          <w:szCs w:val="20"/>
          <w:lang w:val="en-US"/>
        </w:rPr>
        <w:t xml:space="preserve">under the scheme </w:t>
      </w:r>
      <w:r w:rsidR="003C78B7">
        <w:rPr>
          <w:rFonts w:cs="Arial"/>
          <w:iCs/>
          <w:szCs w:val="20"/>
          <w:lang w:val="en-US"/>
        </w:rPr>
        <w:t xml:space="preserve">will be awarded based on </w:t>
      </w:r>
      <w:r w:rsidR="003C78B7" w:rsidRPr="000401D1">
        <w:rPr>
          <w:rFonts w:cs="Arial"/>
          <w:iCs/>
          <w:szCs w:val="20"/>
          <w:lang w:val="en-US"/>
        </w:rPr>
        <w:t>CO</w:t>
      </w:r>
      <w:r w:rsidR="003C78B7" w:rsidRPr="00554706">
        <w:rPr>
          <w:rFonts w:cs="Arial"/>
          <w:iCs/>
          <w:szCs w:val="20"/>
          <w:vertAlign w:val="subscript"/>
          <w:lang w:val="en-US"/>
        </w:rPr>
        <w:t>2</w:t>
      </w:r>
      <w:r w:rsidR="003C78B7">
        <w:rPr>
          <w:rFonts w:cs="Arial"/>
          <w:iCs/>
          <w:szCs w:val="20"/>
          <w:vertAlign w:val="subscript"/>
          <w:lang w:val="en-US"/>
        </w:rPr>
        <w:t xml:space="preserve"> </w:t>
      </w:r>
      <w:r w:rsidR="00CF3568">
        <w:rPr>
          <w:rFonts w:cs="Arial"/>
          <w:iCs/>
          <w:szCs w:val="20"/>
          <w:lang w:val="en-US"/>
        </w:rPr>
        <w:t>reduction</w:t>
      </w:r>
      <w:r w:rsidR="003C78B7" w:rsidRPr="000401D1">
        <w:rPr>
          <w:rFonts w:cs="Arial"/>
          <w:iCs/>
          <w:szCs w:val="20"/>
          <w:lang w:val="en-US"/>
        </w:rPr>
        <w:t>s</w:t>
      </w:r>
      <w:r w:rsidR="003C78B7">
        <w:rPr>
          <w:rFonts w:cs="Arial"/>
          <w:iCs/>
          <w:szCs w:val="20"/>
          <w:lang w:val="en-US"/>
        </w:rPr>
        <w:t xml:space="preserve"> and as such the </w:t>
      </w:r>
      <w:r>
        <w:rPr>
          <w:rFonts w:cs="Arial"/>
          <w:iCs/>
          <w:szCs w:val="20"/>
          <w:lang w:val="en-US"/>
        </w:rPr>
        <w:t xml:space="preserve">scheme is expected to </w:t>
      </w:r>
      <w:r w:rsidR="003C78B7">
        <w:rPr>
          <w:rFonts w:cs="Arial"/>
          <w:iCs/>
          <w:szCs w:val="20"/>
          <w:lang w:val="en-US"/>
        </w:rPr>
        <w:t xml:space="preserve">reduce </w:t>
      </w:r>
      <w:r w:rsidR="003C78B7" w:rsidRPr="000401D1">
        <w:rPr>
          <w:rFonts w:cs="Arial"/>
          <w:iCs/>
          <w:szCs w:val="20"/>
          <w:lang w:val="en-US"/>
        </w:rPr>
        <w:t>CO</w:t>
      </w:r>
      <w:r w:rsidR="003C78B7" w:rsidRPr="00554706">
        <w:rPr>
          <w:rFonts w:cs="Arial"/>
          <w:iCs/>
          <w:szCs w:val="20"/>
          <w:vertAlign w:val="subscript"/>
          <w:lang w:val="en-US"/>
        </w:rPr>
        <w:t>2</w:t>
      </w:r>
      <w:r w:rsidR="003C78B7">
        <w:rPr>
          <w:rFonts w:cs="Arial"/>
          <w:iCs/>
          <w:szCs w:val="20"/>
          <w:vertAlign w:val="subscript"/>
          <w:lang w:val="en-US"/>
        </w:rPr>
        <w:t xml:space="preserve"> </w:t>
      </w:r>
      <w:r w:rsidR="003C78B7" w:rsidRPr="000401D1">
        <w:rPr>
          <w:rFonts w:cs="Arial"/>
          <w:iCs/>
          <w:szCs w:val="20"/>
          <w:lang w:val="en-US"/>
        </w:rPr>
        <w:t>emissions</w:t>
      </w:r>
      <w:r w:rsidR="003C78B7">
        <w:rPr>
          <w:rFonts w:cs="Arial"/>
          <w:iCs/>
          <w:szCs w:val="20"/>
          <w:lang w:val="en-US"/>
        </w:rPr>
        <w:t xml:space="preserve"> further</w:t>
      </w:r>
      <w:r w:rsidR="003C78B7" w:rsidRPr="000401D1">
        <w:rPr>
          <w:rFonts w:cs="Arial"/>
          <w:iCs/>
          <w:szCs w:val="20"/>
          <w:lang w:val="en-US"/>
        </w:rPr>
        <w:t xml:space="preserve"> </w:t>
      </w:r>
      <w:r w:rsidR="003C78B7">
        <w:rPr>
          <w:rFonts w:cs="Arial"/>
          <w:iCs/>
          <w:szCs w:val="20"/>
          <w:lang w:val="en-US"/>
        </w:rPr>
        <w:t xml:space="preserve">by 0.05 </w:t>
      </w:r>
      <w:r w:rsidR="003C78B7" w:rsidRPr="000401D1">
        <w:rPr>
          <w:rFonts w:cs="Arial"/>
          <w:iCs/>
          <w:szCs w:val="20"/>
          <w:lang w:val="en-US"/>
        </w:rPr>
        <w:t>million ton</w:t>
      </w:r>
      <w:r w:rsidR="003C78B7">
        <w:rPr>
          <w:rFonts w:cs="Arial"/>
          <w:iCs/>
          <w:szCs w:val="20"/>
          <w:lang w:val="en-US"/>
        </w:rPr>
        <w:t>s in 2025 and</w:t>
      </w:r>
      <w:r w:rsidR="003C78B7" w:rsidRPr="000401D1">
        <w:rPr>
          <w:rFonts w:cs="Arial"/>
          <w:iCs/>
          <w:szCs w:val="20"/>
          <w:lang w:val="en-US"/>
        </w:rPr>
        <w:t xml:space="preserve"> 203</w:t>
      </w:r>
      <w:r w:rsidR="003C78B7">
        <w:rPr>
          <w:rFonts w:cs="Arial"/>
          <w:iCs/>
          <w:szCs w:val="20"/>
          <w:lang w:val="en-US"/>
        </w:rPr>
        <w:t xml:space="preserve">0. </w:t>
      </w:r>
      <w:r w:rsidR="003C78B7">
        <w:rPr>
          <w:lang w:val="en-US"/>
        </w:rPr>
        <w:t>T</w:t>
      </w:r>
      <w:r w:rsidRPr="00ED5C36">
        <w:rPr>
          <w:lang w:val="en-US"/>
        </w:rPr>
        <w:t xml:space="preserve">he scheme will </w:t>
      </w:r>
      <w:r w:rsidR="00CF3568">
        <w:rPr>
          <w:lang w:val="en-US"/>
        </w:rPr>
        <w:t>therefore contribute to Denmark</w:t>
      </w:r>
      <w:r w:rsidR="005A1200">
        <w:rPr>
          <w:lang w:val="en-US"/>
        </w:rPr>
        <w:t xml:space="preserve">’s climate goals and thereby EU’s climate targets. </w:t>
      </w:r>
    </w:p>
    <w:p w14:paraId="35265906" w14:textId="77777777" w:rsidR="003B6FA9" w:rsidRDefault="003B6FA9" w:rsidP="00ED5C36">
      <w:pPr>
        <w:jc w:val="both"/>
        <w:rPr>
          <w:lang w:val="en-US"/>
        </w:rPr>
      </w:pPr>
    </w:p>
    <w:p w14:paraId="29B12830" w14:textId="3550CE0A" w:rsidR="003B6FA9" w:rsidRPr="003B6FA9" w:rsidRDefault="003B6FA9" w:rsidP="003B6FA9">
      <w:pPr>
        <w:autoSpaceDE w:val="0"/>
        <w:autoSpaceDN w:val="0"/>
        <w:adjustRightInd w:val="0"/>
        <w:jc w:val="both"/>
        <w:rPr>
          <w:rFonts w:cs="Arial"/>
          <w:iCs/>
          <w:szCs w:val="20"/>
          <w:lang w:val="en-US"/>
        </w:rPr>
      </w:pPr>
      <w:r w:rsidRPr="003B6FA9">
        <w:rPr>
          <w:lang w:val="en-US"/>
        </w:rPr>
        <w:t xml:space="preserve">The DEA believes that the </w:t>
      </w:r>
      <w:proofErr w:type="spellStart"/>
      <w:r w:rsidR="00DB2EA5">
        <w:rPr>
          <w:lang w:val="en-US"/>
        </w:rPr>
        <w:t>eligiblity</w:t>
      </w:r>
      <w:proofErr w:type="spellEnd"/>
      <w:r w:rsidR="00DB2EA5" w:rsidRPr="003B6FA9">
        <w:rPr>
          <w:lang w:val="en-US"/>
        </w:rPr>
        <w:t xml:space="preserve"> </w:t>
      </w:r>
      <w:r w:rsidRPr="003B6FA9">
        <w:rPr>
          <w:lang w:val="en-US"/>
        </w:rPr>
        <w:t>of projects where beneficiaries make a transition to natural gas is justified</w:t>
      </w:r>
      <w:r>
        <w:rPr>
          <w:lang w:val="en-US"/>
        </w:rPr>
        <w:t xml:space="preserve"> because they will entail reductions in CO</w:t>
      </w:r>
      <w:r w:rsidRPr="003B6FA9">
        <w:rPr>
          <w:vertAlign w:val="subscript"/>
          <w:lang w:val="en-US"/>
        </w:rPr>
        <w:t>2</w:t>
      </w:r>
      <w:r>
        <w:rPr>
          <w:lang w:val="en-US"/>
        </w:rPr>
        <w:t>e emissions</w:t>
      </w:r>
      <w:r w:rsidRPr="003B6FA9">
        <w:rPr>
          <w:lang w:val="en-US"/>
        </w:rPr>
        <w:t xml:space="preserve">. </w:t>
      </w:r>
      <w:r>
        <w:rPr>
          <w:rFonts w:ascii="ArialMT" w:hAnsi="ArialMT" w:cs="ArialMT"/>
          <w:szCs w:val="20"/>
          <w:lang w:val="en-US"/>
        </w:rPr>
        <w:t xml:space="preserve">Though Denmark does not have a national decarbonization plan with binding targets, cf. CEEAG point 129, concerning phasing out natural gas usage or production of biogas, the </w:t>
      </w:r>
      <w:r w:rsidR="00A126B3">
        <w:rPr>
          <w:rFonts w:ascii="ArialMT" w:hAnsi="ArialMT" w:cs="ArialMT"/>
          <w:szCs w:val="20"/>
          <w:lang w:val="en-US"/>
        </w:rPr>
        <w:t xml:space="preserve">Ministry, Energy and </w:t>
      </w:r>
      <w:proofErr w:type="spellStart"/>
      <w:r w:rsidR="00A126B3">
        <w:rPr>
          <w:rFonts w:ascii="ArialMT" w:hAnsi="ArialMT" w:cs="ArialMT"/>
          <w:szCs w:val="20"/>
          <w:lang w:val="en-US"/>
        </w:rPr>
        <w:t>Utilites</w:t>
      </w:r>
      <w:proofErr w:type="spellEnd"/>
      <w:r w:rsidR="00A126B3">
        <w:rPr>
          <w:rFonts w:ascii="ArialMT" w:hAnsi="ArialMT" w:cs="ArialMT"/>
          <w:szCs w:val="20"/>
          <w:lang w:val="en-US"/>
        </w:rPr>
        <w:t xml:space="preserve"> </w:t>
      </w:r>
      <w:r w:rsidRPr="00105865">
        <w:rPr>
          <w:rFonts w:ascii="ArialMT" w:hAnsi="ArialMT" w:cs="ArialMT"/>
          <w:szCs w:val="20"/>
          <w:lang w:val="en-US"/>
        </w:rPr>
        <w:t>project</w:t>
      </w:r>
      <w:r>
        <w:rPr>
          <w:rFonts w:ascii="ArialMT" w:hAnsi="ArialMT" w:cs="ArialMT"/>
          <w:szCs w:val="20"/>
          <w:lang w:val="en-US"/>
        </w:rPr>
        <w:t>s</w:t>
      </w:r>
      <w:r w:rsidRPr="00105865">
        <w:rPr>
          <w:rFonts w:ascii="ArialMT" w:hAnsi="ArialMT" w:cs="ArialMT"/>
          <w:szCs w:val="20"/>
          <w:lang w:val="en-US"/>
        </w:rPr>
        <w:t xml:space="preserve"> that 100% of the gas us</w:t>
      </w:r>
      <w:r>
        <w:rPr>
          <w:rFonts w:ascii="ArialMT" w:hAnsi="ArialMT" w:cs="ArialMT"/>
          <w:szCs w:val="20"/>
          <w:lang w:val="en-US"/>
        </w:rPr>
        <w:t xml:space="preserve">age </w:t>
      </w:r>
      <w:r w:rsidRPr="00105865">
        <w:rPr>
          <w:rFonts w:ascii="ArialMT" w:hAnsi="ArialMT" w:cs="ArialMT"/>
          <w:szCs w:val="20"/>
          <w:lang w:val="en-US"/>
        </w:rPr>
        <w:t>in Denmark will be biogas</w:t>
      </w:r>
      <w:r>
        <w:rPr>
          <w:rFonts w:ascii="ArialMT" w:hAnsi="ArialMT" w:cs="ArialMT"/>
          <w:szCs w:val="20"/>
          <w:lang w:val="en-US"/>
        </w:rPr>
        <w:t xml:space="preserve"> from 2029</w:t>
      </w:r>
      <w:r w:rsidRPr="00105865">
        <w:rPr>
          <w:rFonts w:ascii="ArialMT" w:hAnsi="ArialMT" w:cs="ArialMT"/>
          <w:szCs w:val="20"/>
          <w:lang w:val="en-US"/>
        </w:rPr>
        <w:t>.</w:t>
      </w:r>
      <w:r>
        <w:rPr>
          <w:rFonts w:ascii="ArialMT" w:hAnsi="ArialMT" w:cs="ArialMT"/>
          <w:szCs w:val="20"/>
          <w:lang w:val="en-US"/>
        </w:rPr>
        <w:t xml:space="preserve"> </w:t>
      </w:r>
      <w:r w:rsidRPr="003B6FA9">
        <w:rPr>
          <w:lang w:val="en-US"/>
        </w:rPr>
        <w:t>The</w:t>
      </w:r>
      <w:r>
        <w:rPr>
          <w:lang w:val="en-US"/>
        </w:rPr>
        <w:t>refore, the</w:t>
      </w:r>
      <w:r w:rsidRPr="003B6FA9">
        <w:rPr>
          <w:lang w:val="en-US"/>
        </w:rPr>
        <w:t xml:space="preserve"> DEA believes that the risk of a lock-in effect is minimal.</w:t>
      </w:r>
      <w:r>
        <w:rPr>
          <w:lang w:val="en-US"/>
        </w:rPr>
        <w:t xml:space="preserve"> Furthermore, </w:t>
      </w:r>
      <w:r w:rsidRPr="003B6FA9">
        <w:rPr>
          <w:rFonts w:asciiTheme="majorHAnsi" w:hAnsiTheme="majorHAnsi" w:cstheme="majorHAnsi"/>
          <w:szCs w:val="20"/>
          <w:lang w:val="en-US"/>
        </w:rPr>
        <w:t>the operation aid scheme is expected to incentivize the use of biogas instead of natural gas as the calculation of CO</w:t>
      </w:r>
      <w:r w:rsidRPr="003B6FA9">
        <w:rPr>
          <w:rFonts w:asciiTheme="majorHAnsi" w:hAnsiTheme="majorHAnsi" w:cstheme="majorHAnsi"/>
          <w:szCs w:val="20"/>
          <w:vertAlign w:val="subscript"/>
          <w:lang w:val="en-US"/>
        </w:rPr>
        <w:t>2</w:t>
      </w:r>
      <w:r w:rsidRPr="003B6FA9">
        <w:rPr>
          <w:rFonts w:asciiTheme="majorHAnsi" w:hAnsiTheme="majorHAnsi" w:cstheme="majorHAnsi"/>
          <w:szCs w:val="20"/>
          <w:lang w:val="en-US"/>
        </w:rPr>
        <w:t xml:space="preserve">e emissions avoided, on which basis the aid is granted, will take into account the lower </w:t>
      </w:r>
      <w:r w:rsidRPr="003B6FA9">
        <w:rPr>
          <w:rFonts w:asciiTheme="majorHAnsi" w:hAnsiTheme="majorHAnsi" w:cstheme="majorHAnsi"/>
          <w:szCs w:val="20"/>
          <w:lang w:val="en-US"/>
        </w:rPr>
        <w:lastRenderedPageBreak/>
        <w:t>emissions from biogas (if documented by certificates of origin) compared to natural gas. If an undertaking has bought certificates showing that (part of its) gas usage for the project is biogas that has been produced without state aid, the CO</w:t>
      </w:r>
      <w:r w:rsidRPr="003B6FA9">
        <w:rPr>
          <w:rFonts w:asciiTheme="majorHAnsi" w:hAnsiTheme="majorHAnsi" w:cstheme="majorHAnsi"/>
          <w:szCs w:val="20"/>
          <w:vertAlign w:val="subscript"/>
          <w:lang w:val="en-US"/>
        </w:rPr>
        <w:t>2</w:t>
      </w:r>
      <w:r w:rsidRPr="003B6FA9">
        <w:rPr>
          <w:rFonts w:asciiTheme="majorHAnsi" w:hAnsiTheme="majorHAnsi" w:cstheme="majorHAnsi"/>
          <w:szCs w:val="20"/>
          <w:lang w:val="en-US"/>
        </w:rPr>
        <w:t>e emissions from this usage will be viewed as 0.</w:t>
      </w:r>
      <w:r w:rsidR="00973E81">
        <w:rPr>
          <w:rFonts w:asciiTheme="majorHAnsi" w:hAnsiTheme="majorHAnsi" w:cstheme="majorHAnsi"/>
          <w:szCs w:val="20"/>
          <w:lang w:val="en-US"/>
        </w:rPr>
        <w:t xml:space="preserve"> The DEA, therefore, believes that the scheme includes sufficient safeguards to ensure the Union’s climate targets.</w:t>
      </w:r>
    </w:p>
    <w:p w14:paraId="434654F1" w14:textId="560A4C30" w:rsidR="000015F2" w:rsidRPr="00ED5C36" w:rsidRDefault="000015F2" w:rsidP="00ED5C36">
      <w:pPr>
        <w:jc w:val="both"/>
        <w:rPr>
          <w:rFonts w:cs="Arial"/>
          <w:iCs/>
          <w:szCs w:val="20"/>
          <w:lang w:val="en-US"/>
        </w:rPr>
      </w:pPr>
    </w:p>
    <w:p w14:paraId="61306712" w14:textId="7C358367" w:rsidR="00AD49F2" w:rsidRDefault="00AD49F2" w:rsidP="00AD49F2">
      <w:pPr>
        <w:pStyle w:val="Overskrift2"/>
        <w:numPr>
          <w:ilvl w:val="0"/>
          <w:numId w:val="1"/>
        </w:numPr>
        <w:rPr>
          <w:lang w:val="en-US"/>
        </w:rPr>
      </w:pPr>
      <w:bookmarkStart w:id="15" w:name="_Toc169253964"/>
      <w:r>
        <w:rPr>
          <w:lang w:val="en-US"/>
        </w:rPr>
        <w:t>Consultation questions</w:t>
      </w:r>
      <w:bookmarkEnd w:id="15"/>
    </w:p>
    <w:p w14:paraId="3910E102" w14:textId="0CC29E29" w:rsidR="00EC4B9F" w:rsidRDefault="00EC4B9F" w:rsidP="000015F2">
      <w:pPr>
        <w:rPr>
          <w:lang w:val="en-US"/>
        </w:rPr>
      </w:pPr>
      <w:r w:rsidRPr="00EC4B9F">
        <w:rPr>
          <w:lang w:val="en-US"/>
        </w:rPr>
        <w:t xml:space="preserve">The DEA invites potential bidders, relevant market operators and other interested parties to comment on the following: </w:t>
      </w:r>
    </w:p>
    <w:p w14:paraId="213A4C02" w14:textId="77777777" w:rsidR="00EC4B9F" w:rsidRDefault="00EC4B9F" w:rsidP="000015F2">
      <w:pPr>
        <w:rPr>
          <w:lang w:val="en-US"/>
        </w:rPr>
      </w:pPr>
    </w:p>
    <w:p w14:paraId="79C98507" w14:textId="388F36FF" w:rsidR="00EC4B9F" w:rsidRPr="00DC4AA5" w:rsidRDefault="00DC4AA5" w:rsidP="00EC4B9F">
      <w:pPr>
        <w:pStyle w:val="Listeafsnit"/>
        <w:numPr>
          <w:ilvl w:val="0"/>
          <w:numId w:val="3"/>
        </w:numPr>
        <w:rPr>
          <w:b/>
          <w:lang w:val="en-US"/>
        </w:rPr>
      </w:pPr>
      <w:r>
        <w:rPr>
          <w:b/>
          <w:lang w:val="en-US"/>
        </w:rPr>
        <w:t>Criteria to delimit eligibility</w:t>
      </w:r>
    </w:p>
    <w:p w14:paraId="368BF091" w14:textId="452A5C9D" w:rsidR="00EC4B9F" w:rsidRDefault="00DC4AA5" w:rsidP="00DB76BD">
      <w:pPr>
        <w:pStyle w:val="Listeafsnit"/>
        <w:rPr>
          <w:lang w:val="en-US"/>
        </w:rPr>
      </w:pPr>
      <w:r w:rsidRPr="00DC4AA5">
        <w:rPr>
          <w:lang w:val="en-US"/>
        </w:rPr>
        <w:t xml:space="preserve">The DEA finds that the two criteria </w:t>
      </w:r>
      <w:r>
        <w:rPr>
          <w:lang w:val="en-US"/>
        </w:rPr>
        <w:t xml:space="preserve">that are expected to be </w:t>
      </w:r>
      <w:r w:rsidRPr="00DC4AA5">
        <w:rPr>
          <w:lang w:val="en-US"/>
        </w:rPr>
        <w:t xml:space="preserve">used to delimit the eligibility </w:t>
      </w:r>
      <w:r w:rsidR="00885D82">
        <w:rPr>
          <w:lang w:val="en-US"/>
        </w:rPr>
        <w:t xml:space="preserve">of undertakings </w:t>
      </w:r>
      <w:r w:rsidRPr="00DC4AA5">
        <w:rPr>
          <w:lang w:val="en-US"/>
        </w:rPr>
        <w:t xml:space="preserve">are based on objective considerations </w:t>
      </w:r>
      <w:r>
        <w:rPr>
          <w:lang w:val="en-US"/>
        </w:rPr>
        <w:t>and will accommodate the political agreement on transition aid</w:t>
      </w:r>
      <w:r w:rsidR="001253C0">
        <w:rPr>
          <w:lang w:val="en-US"/>
        </w:rPr>
        <w:t xml:space="preserve">, ensuring that all competing activities </w:t>
      </w:r>
      <w:r w:rsidR="00CB4EAF">
        <w:rPr>
          <w:lang w:val="en-US"/>
        </w:rPr>
        <w:t>may participate in the competitive bidding process in accordance with principles in the CEEAG</w:t>
      </w:r>
      <w:r>
        <w:rPr>
          <w:lang w:val="en-US"/>
        </w:rPr>
        <w:t xml:space="preserve">. </w:t>
      </w:r>
      <w:r w:rsidR="00EC4B9F" w:rsidRPr="00DC4AA5">
        <w:rPr>
          <w:lang w:val="en-US"/>
        </w:rPr>
        <w:t xml:space="preserve">However, the DEA welcomes any comments regarding </w:t>
      </w:r>
      <w:r w:rsidR="00F66A81" w:rsidRPr="00F66A81">
        <w:rPr>
          <w:lang w:val="en-US"/>
        </w:rPr>
        <w:t xml:space="preserve">whether the thresholds accommodate the undertakings </w:t>
      </w:r>
      <w:r w:rsidR="00F605DB">
        <w:rPr>
          <w:lang w:val="en-US"/>
        </w:rPr>
        <w:t xml:space="preserve">that </w:t>
      </w:r>
      <w:r w:rsidR="00F66A81" w:rsidRPr="00F66A81">
        <w:rPr>
          <w:lang w:val="en-US"/>
        </w:rPr>
        <w:t>fac</w:t>
      </w:r>
      <w:r w:rsidR="00F605DB">
        <w:rPr>
          <w:lang w:val="en-US"/>
        </w:rPr>
        <w:t>e</w:t>
      </w:r>
      <w:r w:rsidR="00F66A81" w:rsidRPr="00F66A81">
        <w:rPr>
          <w:lang w:val="en-US"/>
        </w:rPr>
        <w:t xml:space="preserve"> </w:t>
      </w:r>
      <w:r w:rsidR="00F605DB">
        <w:rPr>
          <w:lang w:val="en-US"/>
        </w:rPr>
        <w:t xml:space="preserve">the </w:t>
      </w:r>
      <w:r w:rsidR="00F66A81" w:rsidRPr="00F66A81">
        <w:rPr>
          <w:lang w:val="en-US"/>
        </w:rPr>
        <w:t xml:space="preserve">most difficulties shifting to greener fuels </w:t>
      </w:r>
      <w:r w:rsidR="00F605DB">
        <w:rPr>
          <w:lang w:val="en-US"/>
        </w:rPr>
        <w:t xml:space="preserve">and will be most </w:t>
      </w:r>
      <w:r w:rsidR="00F605DB" w:rsidRPr="00F605DB">
        <w:rPr>
          <w:lang w:val="en-US"/>
        </w:rPr>
        <w:t>impacted by the new CO</w:t>
      </w:r>
      <w:r w:rsidR="00F605DB" w:rsidRPr="00904042">
        <w:rPr>
          <w:vertAlign w:val="subscript"/>
          <w:lang w:val="en-US"/>
        </w:rPr>
        <w:t>2</w:t>
      </w:r>
      <w:r w:rsidR="00F605DB" w:rsidRPr="00F605DB">
        <w:rPr>
          <w:lang w:val="en-US"/>
        </w:rPr>
        <w:t xml:space="preserve"> taxation </w:t>
      </w:r>
      <w:r w:rsidR="00F66A81" w:rsidRPr="00F66A81">
        <w:rPr>
          <w:lang w:val="en-US"/>
        </w:rPr>
        <w:t xml:space="preserve">and </w:t>
      </w:r>
      <w:r w:rsidR="00F605DB">
        <w:rPr>
          <w:lang w:val="en-US"/>
        </w:rPr>
        <w:t xml:space="preserve">comments on </w:t>
      </w:r>
      <w:r w:rsidR="00F66A81" w:rsidRPr="00F66A81">
        <w:rPr>
          <w:lang w:val="en-US"/>
        </w:rPr>
        <w:t xml:space="preserve">the effect </w:t>
      </w:r>
      <w:r w:rsidR="00F605DB">
        <w:rPr>
          <w:lang w:val="en-US"/>
        </w:rPr>
        <w:t xml:space="preserve">of the criteria </w:t>
      </w:r>
      <w:r w:rsidR="00F66A81" w:rsidRPr="00F66A81">
        <w:rPr>
          <w:lang w:val="en-US"/>
        </w:rPr>
        <w:t>on the competition for the funds under the scheme</w:t>
      </w:r>
      <w:r w:rsidR="00EC4B9F" w:rsidRPr="00DC4AA5">
        <w:rPr>
          <w:lang w:val="en-US"/>
        </w:rPr>
        <w:t xml:space="preserve">. </w:t>
      </w:r>
    </w:p>
    <w:p w14:paraId="496385B8" w14:textId="77777777" w:rsidR="00667FF5" w:rsidRDefault="00667FF5" w:rsidP="00667FF5">
      <w:pPr>
        <w:pStyle w:val="Listeafsnit"/>
        <w:rPr>
          <w:lang w:val="en-US"/>
        </w:rPr>
      </w:pPr>
    </w:p>
    <w:p w14:paraId="6B8580BA" w14:textId="645597EA" w:rsidR="00667FF5" w:rsidRPr="00C742FA" w:rsidRDefault="00667FF5" w:rsidP="00C742FA">
      <w:pPr>
        <w:pStyle w:val="Listeafsnit"/>
        <w:numPr>
          <w:ilvl w:val="0"/>
          <w:numId w:val="3"/>
        </w:numPr>
        <w:rPr>
          <w:b/>
          <w:lang w:val="en-US"/>
        </w:rPr>
      </w:pPr>
      <w:r w:rsidRPr="00C742FA">
        <w:rPr>
          <w:b/>
          <w:lang w:val="en-US"/>
        </w:rPr>
        <w:t xml:space="preserve">Non-exclusion of projects where there </w:t>
      </w:r>
      <w:r w:rsidR="003E5410">
        <w:rPr>
          <w:b/>
          <w:lang w:val="en-US"/>
        </w:rPr>
        <w:t>is</w:t>
      </w:r>
      <w:r w:rsidRPr="00C742FA">
        <w:rPr>
          <w:b/>
          <w:lang w:val="en-US"/>
        </w:rPr>
        <w:t xml:space="preserve"> no </w:t>
      </w:r>
      <w:r w:rsidR="003E5410">
        <w:rPr>
          <w:rFonts w:cs="Arial"/>
          <w:b/>
          <w:lang w:val="en-US"/>
        </w:rPr>
        <w:t>“</w:t>
      </w:r>
      <w:r w:rsidRPr="00C742FA">
        <w:rPr>
          <w:b/>
          <w:lang w:val="en-US"/>
        </w:rPr>
        <w:t>start of work</w:t>
      </w:r>
      <w:r w:rsidR="003E5410">
        <w:rPr>
          <w:b/>
          <w:lang w:val="en-US"/>
        </w:rPr>
        <w:t>”</w:t>
      </w:r>
    </w:p>
    <w:p w14:paraId="7CD012C5" w14:textId="30FA718E" w:rsidR="00667FF5" w:rsidRPr="00113173" w:rsidRDefault="00A126B3" w:rsidP="00113173">
      <w:pPr>
        <w:pStyle w:val="Listeafsnit"/>
        <w:autoSpaceDE w:val="0"/>
        <w:autoSpaceDN w:val="0"/>
        <w:adjustRightInd w:val="0"/>
        <w:jc w:val="both"/>
        <w:rPr>
          <w:rFonts w:ascii="ArialMT" w:hAnsi="ArialMT" w:cs="ArialMT"/>
          <w:szCs w:val="20"/>
          <w:lang w:val="en-US"/>
        </w:rPr>
      </w:pPr>
      <w:bookmarkStart w:id="16" w:name="_Hlk168919585"/>
      <w:r>
        <w:rPr>
          <w:rFonts w:ascii="ArialMT" w:hAnsi="ArialMT" w:cs="ArialMT"/>
          <w:szCs w:val="20"/>
          <w:lang w:val="en-US"/>
        </w:rPr>
        <w:t xml:space="preserve">As elaborated above, </w:t>
      </w:r>
      <w:bookmarkEnd w:id="16"/>
      <w:r>
        <w:rPr>
          <w:rFonts w:ascii="ArialMT" w:hAnsi="ArialMT" w:cs="ArialMT"/>
          <w:szCs w:val="20"/>
          <w:lang w:val="en-US"/>
        </w:rPr>
        <w:t>t</w:t>
      </w:r>
      <w:r w:rsidR="00113173">
        <w:rPr>
          <w:rFonts w:ascii="ArialMT" w:hAnsi="ArialMT" w:cs="ArialMT"/>
          <w:szCs w:val="20"/>
          <w:lang w:val="en-US"/>
        </w:rPr>
        <w:t>he DEA finds the inclusion of projects where the work has started, i.e. equipment purchased and installed, in the scheme to be justified</w:t>
      </w:r>
      <w:r w:rsidR="006C75F1">
        <w:rPr>
          <w:rFonts w:ascii="ArialMT" w:hAnsi="ArialMT" w:cs="ArialMT"/>
          <w:szCs w:val="20"/>
          <w:lang w:val="en-US"/>
        </w:rPr>
        <w:t xml:space="preserve"> and that such projects do not have a noteworthy advantage compared to other projects</w:t>
      </w:r>
      <w:r w:rsidR="00113173">
        <w:rPr>
          <w:rFonts w:ascii="ArialMT" w:hAnsi="ArialMT" w:cs="ArialMT"/>
          <w:szCs w:val="20"/>
          <w:lang w:val="en-US"/>
        </w:rPr>
        <w:t xml:space="preserve">. </w:t>
      </w:r>
      <w:r w:rsidR="00113173" w:rsidRPr="00113173">
        <w:rPr>
          <w:rFonts w:ascii="ArialMT" w:hAnsi="ArialMT" w:cs="ArialMT"/>
          <w:szCs w:val="20"/>
          <w:lang w:val="en-US"/>
        </w:rPr>
        <w:t xml:space="preserve">Nonetheless, the DEA </w:t>
      </w:r>
      <w:r w:rsidR="00113173">
        <w:rPr>
          <w:rFonts w:ascii="ArialMT" w:hAnsi="ArialMT" w:cs="ArialMT"/>
          <w:szCs w:val="20"/>
          <w:lang w:val="en-US"/>
        </w:rPr>
        <w:t>welcomes</w:t>
      </w:r>
      <w:r w:rsidR="00113173" w:rsidRPr="00113173">
        <w:rPr>
          <w:rFonts w:ascii="ArialMT" w:hAnsi="ArialMT" w:cs="ArialMT"/>
          <w:szCs w:val="20"/>
          <w:lang w:val="en-US"/>
        </w:rPr>
        <w:t xml:space="preserve"> reflections on the matter</w:t>
      </w:r>
      <w:r w:rsidR="00113173">
        <w:rPr>
          <w:rFonts w:ascii="ArialMT" w:hAnsi="ArialMT" w:cs="ArialMT"/>
          <w:szCs w:val="20"/>
          <w:lang w:val="en-US"/>
        </w:rPr>
        <w:t>.</w:t>
      </w:r>
    </w:p>
    <w:p w14:paraId="3249A7D3" w14:textId="33F5A176" w:rsidR="00667FF5" w:rsidRDefault="00667FF5" w:rsidP="00C742FA">
      <w:pPr>
        <w:rPr>
          <w:lang w:val="en-US"/>
        </w:rPr>
      </w:pPr>
    </w:p>
    <w:p w14:paraId="713FF1C6" w14:textId="11CA0826" w:rsidR="00667FF5" w:rsidRPr="00C742FA" w:rsidRDefault="000440BC" w:rsidP="00C742FA">
      <w:pPr>
        <w:pStyle w:val="Listeafsnit"/>
        <w:numPr>
          <w:ilvl w:val="0"/>
          <w:numId w:val="3"/>
        </w:numPr>
        <w:rPr>
          <w:b/>
          <w:lang w:val="en-US"/>
        </w:rPr>
      </w:pPr>
      <w:r w:rsidRPr="00C742FA">
        <w:rPr>
          <w:b/>
          <w:lang w:val="en-US"/>
        </w:rPr>
        <w:t>Proposed use and scope of competitive bidding process</w:t>
      </w:r>
    </w:p>
    <w:p w14:paraId="0EA75DD8" w14:textId="1B88352C" w:rsidR="000440BC" w:rsidRPr="00C23BCA" w:rsidRDefault="00C23BCA" w:rsidP="00C742FA">
      <w:pPr>
        <w:pStyle w:val="Listeafsnit"/>
        <w:rPr>
          <w:lang w:val="en-US"/>
        </w:rPr>
      </w:pPr>
      <w:r>
        <w:rPr>
          <w:lang w:val="en-US"/>
        </w:rPr>
        <w:t>The DEA believes that, though the target group for the operation aid comprises many different sectors and therefore different projects, the</w:t>
      </w:r>
      <w:r w:rsidRPr="00C23BCA">
        <w:rPr>
          <w:lang w:val="en-US"/>
        </w:rPr>
        <w:t xml:space="preserve"> undertakings from the different sectors will compete on a level play field</w:t>
      </w:r>
      <w:r>
        <w:rPr>
          <w:lang w:val="en-US"/>
        </w:rPr>
        <w:t>.</w:t>
      </w:r>
      <w:r w:rsidRPr="00C23BCA">
        <w:rPr>
          <w:lang w:val="en-US"/>
        </w:rPr>
        <w:t xml:space="preserve"> </w:t>
      </w:r>
      <w:r>
        <w:rPr>
          <w:lang w:val="en-US"/>
        </w:rPr>
        <w:t>Nevertheless</w:t>
      </w:r>
      <w:r w:rsidRPr="00C23BCA">
        <w:rPr>
          <w:lang w:val="en-US"/>
        </w:rPr>
        <w:t>, the DEA welcomes opinions on how the</w:t>
      </w:r>
      <w:r>
        <w:rPr>
          <w:lang w:val="en-US"/>
        </w:rPr>
        <w:t xml:space="preserve"> bidding</w:t>
      </w:r>
      <w:r w:rsidRPr="00C23BCA">
        <w:rPr>
          <w:lang w:val="en-US"/>
        </w:rPr>
        <w:t xml:space="preserve"> process c</w:t>
      </w:r>
      <w:r>
        <w:rPr>
          <w:lang w:val="en-US"/>
        </w:rPr>
        <w:t>an</w:t>
      </w:r>
      <w:r w:rsidRPr="00C23BCA">
        <w:rPr>
          <w:lang w:val="en-US"/>
        </w:rPr>
        <w:t xml:space="preserve"> be amended to achieve more </w:t>
      </w:r>
      <w:r>
        <w:rPr>
          <w:lang w:val="en-US"/>
        </w:rPr>
        <w:t xml:space="preserve">fair </w:t>
      </w:r>
      <w:r w:rsidRPr="00C23BCA">
        <w:rPr>
          <w:lang w:val="en-US"/>
        </w:rPr>
        <w:t>competition for the funds.</w:t>
      </w:r>
    </w:p>
    <w:p w14:paraId="16860815" w14:textId="0BCEEC64" w:rsidR="000440BC" w:rsidRDefault="000440BC" w:rsidP="00C742FA">
      <w:pPr>
        <w:pStyle w:val="Listeafsnit"/>
        <w:rPr>
          <w:lang w:val="en-US"/>
        </w:rPr>
      </w:pPr>
    </w:p>
    <w:p w14:paraId="1C4F826F" w14:textId="1B9B572B" w:rsidR="000440BC" w:rsidRPr="00C742FA" w:rsidRDefault="0091101D" w:rsidP="00C742FA">
      <w:pPr>
        <w:pStyle w:val="Listeafsnit"/>
        <w:numPr>
          <w:ilvl w:val="0"/>
          <w:numId w:val="3"/>
        </w:numPr>
        <w:rPr>
          <w:b/>
          <w:lang w:val="en-US"/>
        </w:rPr>
      </w:pPr>
      <w:r w:rsidRPr="00C742FA">
        <w:rPr>
          <w:b/>
          <w:lang w:val="en-US"/>
        </w:rPr>
        <w:t>Aid for industrial production based on natural gas</w:t>
      </w:r>
    </w:p>
    <w:p w14:paraId="316BD2AE" w14:textId="6EEE3AD3" w:rsidR="0091101D" w:rsidRPr="00667FF5" w:rsidRDefault="00A126B3" w:rsidP="00C23BCA">
      <w:pPr>
        <w:pStyle w:val="Listeafsnit"/>
        <w:rPr>
          <w:lang w:val="en-US"/>
        </w:rPr>
      </w:pPr>
      <w:r>
        <w:rPr>
          <w:rFonts w:ascii="ArialMT" w:hAnsi="ArialMT" w:cs="ArialMT"/>
          <w:szCs w:val="20"/>
          <w:lang w:val="en-US"/>
        </w:rPr>
        <w:t>As elaborated above,</w:t>
      </w:r>
      <w:r w:rsidRPr="000247D7" w:rsidDel="00A126B3">
        <w:rPr>
          <w:rStyle w:val="Kommentarhenvisning"/>
          <w:lang w:val="en-US"/>
        </w:rPr>
        <w:t xml:space="preserve"> </w:t>
      </w:r>
      <w:r>
        <w:rPr>
          <w:lang w:val="en-US"/>
        </w:rPr>
        <w:t>t</w:t>
      </w:r>
      <w:r w:rsidR="00C23BCA" w:rsidRPr="00C23BCA">
        <w:rPr>
          <w:lang w:val="en-US"/>
        </w:rPr>
        <w:t>he DEA believes that the inclusion of projects where beneficiaries make a transition to natural gas is justified</w:t>
      </w:r>
      <w:r w:rsidR="00C23BCA">
        <w:rPr>
          <w:lang w:val="en-US"/>
        </w:rPr>
        <w:t xml:space="preserve"> and that </w:t>
      </w:r>
      <w:r w:rsidR="00C23BCA" w:rsidRPr="00C23BCA">
        <w:rPr>
          <w:lang w:val="en-US"/>
        </w:rPr>
        <w:t>the risk of a lock-in effect is minimal</w:t>
      </w:r>
      <w:r w:rsidR="005074F6">
        <w:rPr>
          <w:lang w:val="en-US"/>
        </w:rPr>
        <w:t>, thereby ensuring compatibility with the Union’s climate targets</w:t>
      </w:r>
      <w:r w:rsidR="00C23BCA" w:rsidRPr="00C23BCA">
        <w:rPr>
          <w:lang w:val="en-US"/>
        </w:rPr>
        <w:t xml:space="preserve">. However, the DEA </w:t>
      </w:r>
      <w:r w:rsidR="00C23BCA">
        <w:rPr>
          <w:lang w:val="en-US"/>
        </w:rPr>
        <w:t>welcomes considerations</w:t>
      </w:r>
      <w:r w:rsidR="00C23BCA" w:rsidRPr="00C23BCA">
        <w:rPr>
          <w:lang w:val="en-US"/>
        </w:rPr>
        <w:t xml:space="preserve"> on whether additional safeguards might be needed</w:t>
      </w:r>
      <w:r w:rsidR="00C23BCA">
        <w:rPr>
          <w:lang w:val="en-US"/>
        </w:rPr>
        <w:t xml:space="preserve"> to further reduce the </w:t>
      </w:r>
      <w:r w:rsidR="00C23BCA" w:rsidRPr="00C23BCA">
        <w:rPr>
          <w:lang w:val="en-US"/>
        </w:rPr>
        <w:t>risk of a lock-in effect</w:t>
      </w:r>
      <w:r w:rsidR="00C23BCA">
        <w:rPr>
          <w:lang w:val="en-US"/>
        </w:rPr>
        <w:t>.</w:t>
      </w:r>
    </w:p>
    <w:p w14:paraId="61306713" w14:textId="77777777" w:rsidR="00AD49F2" w:rsidRPr="00AD49F2" w:rsidRDefault="00AD49F2" w:rsidP="00AD49F2">
      <w:pPr>
        <w:pStyle w:val="Overskrift2"/>
        <w:numPr>
          <w:ilvl w:val="0"/>
          <w:numId w:val="1"/>
        </w:numPr>
        <w:rPr>
          <w:lang w:val="en-US"/>
        </w:rPr>
      </w:pPr>
      <w:bookmarkStart w:id="17" w:name="_Toc169253965"/>
      <w:r>
        <w:rPr>
          <w:lang w:val="en-US"/>
        </w:rPr>
        <w:lastRenderedPageBreak/>
        <w:t>Participation on the consultation</w:t>
      </w:r>
      <w:bookmarkEnd w:id="17"/>
    </w:p>
    <w:p w14:paraId="61306758" w14:textId="6DD84293" w:rsidR="00DF0A6C" w:rsidRPr="005A1200" w:rsidRDefault="00354DBF" w:rsidP="005A1200">
      <w:pPr>
        <w:rPr>
          <w:lang w:val="en-US"/>
        </w:rPr>
      </w:pPr>
      <w:r w:rsidRPr="00354DBF">
        <w:rPr>
          <w:lang w:val="en-US"/>
        </w:rPr>
        <w:t xml:space="preserve">The deadline for submitting input to the public consultation is </w:t>
      </w:r>
      <w:r w:rsidR="00B06A92">
        <w:rPr>
          <w:lang w:val="en-US"/>
        </w:rPr>
        <w:t>2</w:t>
      </w:r>
      <w:r w:rsidR="00885D82">
        <w:rPr>
          <w:lang w:val="en-US"/>
        </w:rPr>
        <w:t xml:space="preserve"> </w:t>
      </w:r>
      <w:r w:rsidR="00B06A92">
        <w:rPr>
          <w:lang w:val="en-US"/>
        </w:rPr>
        <w:t>September</w:t>
      </w:r>
      <w:r w:rsidRPr="00354DBF">
        <w:rPr>
          <w:lang w:val="en-US"/>
        </w:rPr>
        <w:t xml:space="preserve"> 202</w:t>
      </w:r>
      <w:r>
        <w:rPr>
          <w:lang w:val="en-US"/>
        </w:rPr>
        <w:t>4</w:t>
      </w:r>
      <w:r w:rsidRPr="00354DBF">
        <w:rPr>
          <w:lang w:val="en-US"/>
        </w:rPr>
        <w:t xml:space="preserve">. </w:t>
      </w:r>
      <w:r w:rsidRPr="00A3065E">
        <w:rPr>
          <w:lang w:val="en-US"/>
        </w:rPr>
        <w:t>Input to the public consultation can be submitted in writing by e-mail annotated with j.no. 202</w:t>
      </w:r>
      <w:r w:rsidR="00A3065E" w:rsidRPr="00A3065E">
        <w:rPr>
          <w:lang w:val="en-US"/>
        </w:rPr>
        <w:t>4</w:t>
      </w:r>
      <w:r w:rsidRPr="00A3065E">
        <w:rPr>
          <w:lang w:val="en-US"/>
        </w:rPr>
        <w:t>-1</w:t>
      </w:r>
      <w:r w:rsidR="00A3065E">
        <w:rPr>
          <w:lang w:val="en-US"/>
        </w:rPr>
        <w:t>180</w:t>
      </w:r>
      <w:r w:rsidRPr="00A3065E">
        <w:rPr>
          <w:lang w:val="en-US"/>
        </w:rPr>
        <w:t xml:space="preserve"> to the DEA, ens@ens.dk with copy to </w:t>
      </w:r>
      <w:r w:rsidR="00A3065E">
        <w:rPr>
          <w:lang w:val="en-US"/>
        </w:rPr>
        <w:t>antgm</w:t>
      </w:r>
      <w:r w:rsidRPr="00A3065E">
        <w:rPr>
          <w:lang w:val="en-US"/>
        </w:rPr>
        <w:t>@ens.dk</w:t>
      </w:r>
      <w:r w:rsidR="00A3065E">
        <w:rPr>
          <w:lang w:val="en-US"/>
        </w:rPr>
        <w:t>,</w:t>
      </w:r>
      <w:r w:rsidRPr="00A3065E">
        <w:rPr>
          <w:lang w:val="en-US"/>
        </w:rPr>
        <w:t xml:space="preserve"> or by regular mail to </w:t>
      </w:r>
      <w:proofErr w:type="spellStart"/>
      <w:r w:rsidRPr="00A3065E">
        <w:rPr>
          <w:lang w:val="en-US"/>
        </w:rPr>
        <w:t>Energistyrelsen</w:t>
      </w:r>
      <w:proofErr w:type="spellEnd"/>
      <w:r w:rsidRPr="00A3065E">
        <w:rPr>
          <w:lang w:val="en-US"/>
        </w:rPr>
        <w:t xml:space="preserve">, Carsten </w:t>
      </w:r>
      <w:proofErr w:type="spellStart"/>
      <w:r w:rsidRPr="00A3065E">
        <w:rPr>
          <w:lang w:val="en-US"/>
        </w:rPr>
        <w:t>Niebuhrs</w:t>
      </w:r>
      <w:proofErr w:type="spellEnd"/>
      <w:r w:rsidRPr="00A3065E">
        <w:rPr>
          <w:lang w:val="en-US"/>
        </w:rPr>
        <w:t xml:space="preserve"> </w:t>
      </w:r>
      <w:proofErr w:type="spellStart"/>
      <w:r w:rsidRPr="00A3065E">
        <w:rPr>
          <w:lang w:val="en-US"/>
        </w:rPr>
        <w:t>Gade</w:t>
      </w:r>
      <w:proofErr w:type="spellEnd"/>
      <w:r w:rsidRPr="00A3065E">
        <w:rPr>
          <w:lang w:val="en-US"/>
        </w:rPr>
        <w:t xml:space="preserve"> 43, 1577 </w:t>
      </w:r>
      <w:proofErr w:type="spellStart"/>
      <w:r w:rsidRPr="00A3065E">
        <w:rPr>
          <w:lang w:val="en-US"/>
        </w:rPr>
        <w:t>København</w:t>
      </w:r>
      <w:proofErr w:type="spellEnd"/>
      <w:r w:rsidRPr="00A3065E">
        <w:rPr>
          <w:lang w:val="en-US"/>
        </w:rPr>
        <w:t xml:space="preserve"> V.</w:t>
      </w:r>
    </w:p>
    <w:sectPr w:rsidR="00DF0A6C" w:rsidRPr="005A1200" w:rsidSect="000A08E2">
      <w:headerReference w:type="default" r:id="rId12"/>
      <w:footerReference w:type="default" r:id="rId13"/>
      <w:headerReference w:type="first" r:id="rId14"/>
      <w:footerReference w:type="first" r:id="rId15"/>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F6A82" w14:textId="77777777" w:rsidR="00CF1672" w:rsidRDefault="00CF1672" w:rsidP="008969C1">
      <w:pPr>
        <w:spacing w:line="240" w:lineRule="auto"/>
      </w:pPr>
      <w:r>
        <w:separator/>
      </w:r>
    </w:p>
  </w:endnote>
  <w:endnote w:type="continuationSeparator" w:id="0">
    <w:p w14:paraId="72DEFB6E" w14:textId="77777777" w:rsidR="00CF1672" w:rsidRDefault="00CF1672" w:rsidP="008969C1">
      <w:pPr>
        <w:spacing w:line="240" w:lineRule="auto"/>
      </w:pPr>
      <w:r>
        <w:continuationSeparator/>
      </w:r>
    </w:p>
  </w:endnote>
  <w:endnote w:type="continuationNotice" w:id="1">
    <w:p w14:paraId="6B5C72F3" w14:textId="77777777" w:rsidR="00CF1672" w:rsidRDefault="00CF16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6760" w14:textId="0F066AE1" w:rsidR="00F138C8" w:rsidRPr="00835DC0" w:rsidRDefault="00F138C8">
    <w:pPr>
      <w:pStyle w:val="Sidefod"/>
      <w:rPr>
        <w:sz w:val="16"/>
        <w:szCs w:val="16"/>
      </w:rPr>
    </w:pPr>
    <w:r>
      <w:rPr>
        <w:sz w:val="16"/>
        <w:szCs w:val="16"/>
      </w:rPr>
      <w:t>Page</w:t>
    </w:r>
    <w:r w:rsidRPr="00835DC0">
      <w:rPr>
        <w:sz w:val="16"/>
        <w:szCs w:val="16"/>
      </w:rPr>
      <w:t xml:space="preserv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C64FF0">
      <w:rPr>
        <w:noProof/>
        <w:sz w:val="16"/>
        <w:szCs w:val="16"/>
      </w:rPr>
      <w:t>9</w:t>
    </w:r>
    <w:r w:rsidRPr="00835DC0">
      <w:rPr>
        <w:sz w:val="16"/>
        <w:szCs w:val="16"/>
      </w:rPr>
      <w:fldChar w:fldCharType="end"/>
    </w:r>
    <w:r w:rsidRPr="00835DC0">
      <w:rPr>
        <w:sz w:val="16"/>
        <w:szCs w:val="16"/>
      </w:rPr>
      <w:t>/</w:t>
    </w:r>
    <w:r w:rsidRPr="00835DC0">
      <w:rPr>
        <w:sz w:val="16"/>
        <w:szCs w:val="16"/>
      </w:rPr>
      <w:fldChar w:fldCharType="begin"/>
    </w:r>
    <w:r w:rsidRPr="00835DC0">
      <w:rPr>
        <w:sz w:val="16"/>
        <w:szCs w:val="16"/>
      </w:rPr>
      <w:instrText xml:space="preserve"> NUMPAGES </w:instrText>
    </w:r>
    <w:r w:rsidRPr="00835DC0">
      <w:rPr>
        <w:sz w:val="16"/>
        <w:szCs w:val="16"/>
      </w:rPr>
      <w:fldChar w:fldCharType="separate"/>
    </w:r>
    <w:r w:rsidR="00C64FF0">
      <w:rPr>
        <w:noProof/>
        <w:sz w:val="16"/>
        <w:szCs w:val="16"/>
      </w:rPr>
      <w:t>9</w:t>
    </w:r>
    <w:r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6763" w14:textId="7833C4FA" w:rsidR="00F138C8" w:rsidRPr="00835DC0" w:rsidRDefault="00F138C8">
    <w:pPr>
      <w:pStyle w:val="Sidefod"/>
      <w:rPr>
        <w:sz w:val="16"/>
        <w:szCs w:val="16"/>
      </w:rPr>
    </w:pPr>
    <w:r w:rsidRPr="00835DC0">
      <w:rPr>
        <w:noProof/>
        <w:sz w:val="16"/>
        <w:szCs w:val="16"/>
        <w:lang w:eastAsia="da-DK"/>
      </w:rPr>
      <mc:AlternateContent>
        <mc:Choice Requires="wps">
          <w:drawing>
            <wp:anchor distT="0" distB="0" distL="114300" distR="114300" simplePos="0" relativeHeight="251658240" behindDoc="0" locked="0" layoutInCell="1" allowOverlap="1" wp14:anchorId="61306768" wp14:editId="61306769">
              <wp:simplePos x="0" y="0"/>
              <wp:positionH relativeFrom="page">
                <wp:posOffset>5614670</wp:posOffset>
              </wp:positionH>
              <wp:positionV relativeFrom="page">
                <wp:posOffset>8702631</wp:posOffset>
              </wp:positionV>
              <wp:extent cx="1747520" cy="1433195"/>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06773" w14:textId="77777777" w:rsidR="00F138C8" w:rsidRPr="005121B9" w:rsidRDefault="00F138C8" w:rsidP="00DF0A6C">
                          <w:pPr>
                            <w:spacing w:line="192" w:lineRule="atLeast"/>
                            <w:rPr>
                              <w:b/>
                              <w:sz w:val="16"/>
                              <w:szCs w:val="16"/>
                              <w:lang w:val="en-US"/>
                            </w:rPr>
                          </w:pPr>
                          <w:r w:rsidRPr="005121B9">
                            <w:rPr>
                              <w:b/>
                              <w:sz w:val="16"/>
                              <w:szCs w:val="16"/>
                              <w:lang w:val="en-US"/>
                            </w:rPr>
                            <w:t>Danish Energy Agency</w:t>
                          </w:r>
                        </w:p>
                        <w:p w14:paraId="61306774" w14:textId="77777777" w:rsidR="00F138C8" w:rsidRPr="005121B9" w:rsidRDefault="00F138C8" w:rsidP="00DF0A6C">
                          <w:pPr>
                            <w:spacing w:line="192" w:lineRule="atLeast"/>
                            <w:rPr>
                              <w:sz w:val="16"/>
                              <w:szCs w:val="16"/>
                              <w:lang w:val="en-US"/>
                            </w:rPr>
                          </w:pPr>
                        </w:p>
                        <w:p w14:paraId="61306775" w14:textId="77777777" w:rsidR="00F138C8" w:rsidRPr="005121B9" w:rsidRDefault="00F138C8" w:rsidP="00DF0A6C">
                          <w:pPr>
                            <w:spacing w:line="192" w:lineRule="atLeast"/>
                            <w:rPr>
                              <w:sz w:val="16"/>
                              <w:szCs w:val="16"/>
                              <w:lang w:val="en-US"/>
                            </w:rPr>
                          </w:pPr>
                          <w:r w:rsidRPr="005121B9">
                            <w:rPr>
                              <w:sz w:val="16"/>
                              <w:szCs w:val="16"/>
                              <w:lang w:val="en-US"/>
                            </w:rPr>
                            <w:t xml:space="preserve">Carsten </w:t>
                          </w:r>
                          <w:proofErr w:type="spellStart"/>
                          <w:r w:rsidRPr="005121B9">
                            <w:rPr>
                              <w:sz w:val="16"/>
                              <w:szCs w:val="16"/>
                              <w:lang w:val="en-US"/>
                            </w:rPr>
                            <w:t>Niebuhrs</w:t>
                          </w:r>
                          <w:proofErr w:type="spellEnd"/>
                          <w:r w:rsidRPr="005121B9">
                            <w:rPr>
                              <w:sz w:val="16"/>
                              <w:szCs w:val="16"/>
                              <w:lang w:val="en-US"/>
                            </w:rPr>
                            <w:t xml:space="preserve"> </w:t>
                          </w:r>
                          <w:proofErr w:type="spellStart"/>
                          <w:r w:rsidRPr="005121B9">
                            <w:rPr>
                              <w:sz w:val="16"/>
                              <w:szCs w:val="16"/>
                              <w:lang w:val="en-US"/>
                            </w:rPr>
                            <w:t>Gade</w:t>
                          </w:r>
                          <w:proofErr w:type="spellEnd"/>
                          <w:r w:rsidRPr="005121B9">
                            <w:rPr>
                              <w:sz w:val="16"/>
                              <w:szCs w:val="16"/>
                              <w:lang w:val="en-US"/>
                            </w:rPr>
                            <w:t xml:space="preserve"> 43</w:t>
                          </w:r>
                        </w:p>
                        <w:p w14:paraId="61306776" w14:textId="77777777" w:rsidR="00F138C8" w:rsidRDefault="00F138C8" w:rsidP="00DF0A6C">
                          <w:pPr>
                            <w:spacing w:line="192" w:lineRule="atLeast"/>
                            <w:rPr>
                              <w:sz w:val="16"/>
                              <w:szCs w:val="16"/>
                            </w:rPr>
                          </w:pPr>
                          <w:r>
                            <w:rPr>
                              <w:sz w:val="16"/>
                              <w:szCs w:val="16"/>
                            </w:rPr>
                            <w:t>1577 København V</w:t>
                          </w:r>
                        </w:p>
                        <w:p w14:paraId="61306777" w14:textId="77777777" w:rsidR="00F138C8" w:rsidRPr="00F714AB" w:rsidRDefault="00F138C8" w:rsidP="00DF0A6C">
                          <w:pPr>
                            <w:spacing w:line="192" w:lineRule="atLeast"/>
                            <w:rPr>
                              <w:sz w:val="16"/>
                              <w:szCs w:val="16"/>
                            </w:rPr>
                          </w:pPr>
                        </w:p>
                        <w:p w14:paraId="61306778" w14:textId="77777777" w:rsidR="00F138C8" w:rsidRPr="00110084" w:rsidRDefault="00F138C8" w:rsidP="00DF0A6C">
                          <w:pPr>
                            <w:spacing w:line="192" w:lineRule="atLeast"/>
                            <w:rPr>
                              <w:sz w:val="16"/>
                              <w:szCs w:val="16"/>
                            </w:rPr>
                          </w:pPr>
                          <w:r w:rsidRPr="00110084">
                            <w:rPr>
                              <w:sz w:val="16"/>
                              <w:szCs w:val="16"/>
                            </w:rPr>
                            <w:t>T: +45 3392 6700</w:t>
                          </w:r>
                        </w:p>
                        <w:p w14:paraId="61306779" w14:textId="77777777" w:rsidR="00F138C8" w:rsidRDefault="00F138C8" w:rsidP="00DF0A6C">
                          <w:pPr>
                            <w:spacing w:line="192" w:lineRule="atLeast"/>
                            <w:rPr>
                              <w:sz w:val="16"/>
                              <w:szCs w:val="16"/>
                            </w:rPr>
                          </w:pPr>
                          <w:r w:rsidRPr="00110084">
                            <w:rPr>
                              <w:sz w:val="16"/>
                              <w:szCs w:val="16"/>
                            </w:rPr>
                            <w:t>E: ens@ens.dk</w:t>
                          </w:r>
                        </w:p>
                        <w:p w14:paraId="6130677A" w14:textId="77777777" w:rsidR="00F138C8" w:rsidRPr="00F714AB" w:rsidRDefault="00F138C8" w:rsidP="00DF0A6C">
                          <w:pPr>
                            <w:spacing w:line="192" w:lineRule="atLeast"/>
                            <w:rPr>
                              <w:sz w:val="16"/>
                              <w:szCs w:val="16"/>
                            </w:rPr>
                          </w:pPr>
                        </w:p>
                        <w:p w14:paraId="6130677B" w14:textId="77777777" w:rsidR="00F138C8" w:rsidRPr="00F714AB" w:rsidRDefault="00F138C8" w:rsidP="00F714AB">
                          <w:pPr>
                            <w:spacing w:line="192" w:lineRule="atLeast"/>
                            <w:rPr>
                              <w:sz w:val="16"/>
                              <w:szCs w:val="16"/>
                            </w:rPr>
                          </w:pPr>
                          <w:r>
                            <w:rPr>
                              <w:sz w:val="16"/>
                              <w:szCs w:val="16"/>
                            </w:rPr>
                            <w:t>www.ens</w:t>
                          </w:r>
                          <w:r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306768" id="_x0000_t202" coordsize="21600,21600" o:spt="202" path="m,l,21600r21600,l21600,xe">
              <v:stroke joinstyle="miter"/>
              <v:path gradientshapeok="t" o:connecttype="rect"/>
            </v:shapetype>
            <v:shape id="Tekstboks 2" o:spid="_x0000_s1027" type="#_x0000_t202" style="position:absolute;margin-left:442.1pt;margin-top:685.25pt;width:137.6pt;height:11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egAIAAGQFAAAOAAAAZHJzL2Uyb0RvYy54bWysVN9P2zAQfp+0/8Hy+0hbWhgVKepATJMQ&#10;oMHEs+vYNML2efa1SffX7+wkpWJ7YdqLc/F9d74f3935RWsN26oQa3AlHx+NOFNOQlW755L/eLz+&#10;9JmziMJVwoBTJd+pyC8WHz+cN36uJrAGU6nAyImL88aXfI3o50UR5VpZEY/AK0dKDcEKpN/wXFRB&#10;NOTdmmIyGp0UDYTKB5AqRrq96pR8kf1rrSTeaR0VMlNyig3zGfK5SmexOBfz5yD8upZ9GOIforCi&#10;dvTo3tWVQME2of7Dla1lgAgajyTYArSupco5UDbj0ZtsHtbCq5wLFSf6fZni/3Mrb7f3gdVVySec&#10;OWGpRY/qJeIKXiKbpPI0Ps4J9eAJh+0XaKnNw32ky5R1q4NNX8qHkZ4KvdsXV7XIZDI6nZ7OJqSS&#10;pBtPj4/HZ7Pkp3g19yHiVwWWJaHkgbqXiyq2NxE76ABJrzm4ro3JHTSONSU/OZ6NssFeQ86NS1iV&#10;udC7SSl1oWcJd0YljHHflaZa5AzSRWahujSBbQXxR0ipHObks19CJ5SmIN5j2ONfo3qPcZfH8DI4&#10;3Bvb2kHI2b8Ju3oZQtYdnmp+kHcSsV21fatXUO2o0wG6UYleXtfUjRsR8V4Emg3qIM073tGhDVDV&#10;oZc4W0P49bf7hCfKkpazhmat5PHnRgTFmfnmiMxn4+k0DWf+mc5OE0vCoWZ1qHEbewnUjjFtFi+z&#10;mPBoBlEHsE+0FpbpVVIJJ+ntkuMgXmK3AWitSLVcZhCNoxd44x68TK5TdxLXHtsnEXxPSCQu38Iw&#10;lWL+hpcdNlk6WG4QdJ1JmwrcVbUvPI1ypn2/dtKuOPzPqNfluPgNAAD//wMAUEsDBBQABgAIAAAA&#10;IQA3mRtR5QAAAA4BAAAPAAAAZHJzL2Rvd25yZXYueG1sTI/BbsIwDIbvk/YOkSftNlI6ykppilAl&#10;NGkaBxgXbmlj2mqJ0zUBuj39wmm72fo//f6cr0aj2QUH11kSMJ1EwJBqqzpqBBw+Nk8pMOclKakt&#10;oYBvdLAq7u9ymSl7pR1e9r5hoYRcJgW03vcZ565u0Ug3sT1SyE52MNKHdWi4GuQ1lBvN4yiacyM7&#10;Chda2WPZYv25PxsBb+VmK3dVbNIfXb6+n9b91+GYCPH4MK6XwDyO/g+Gm35QhyI4VfZMyjEtIE1n&#10;cUBD8PwSJcBuyDRZzIBVYUoW8xh4kfP/bxS/AAAA//8DAFBLAQItABQABgAIAAAAIQC2gziS/gAA&#10;AOEBAAATAAAAAAAAAAAAAAAAAAAAAABbQ29udGVudF9UeXBlc10ueG1sUEsBAi0AFAAGAAgAAAAh&#10;ADj9If/WAAAAlAEAAAsAAAAAAAAAAAAAAAAALwEAAF9yZWxzLy5yZWxzUEsBAi0AFAAGAAgAAAAh&#10;ALf5d96AAgAAZAUAAA4AAAAAAAAAAAAAAAAALgIAAGRycy9lMm9Eb2MueG1sUEsBAi0AFAAGAAgA&#10;AAAhADeZG1HlAAAADgEAAA8AAAAAAAAAAAAAAAAA2gQAAGRycy9kb3ducmV2LnhtbFBLBQYAAAAA&#10;BAAEAPMAAADsBQAAAAA=&#10;" filled="f" stroked="f" strokeweight=".5pt">
              <v:textbox>
                <w:txbxContent>
                  <w:p w14:paraId="61306773" w14:textId="77777777" w:rsidR="00F138C8" w:rsidRPr="005121B9" w:rsidRDefault="00F138C8" w:rsidP="00DF0A6C">
                    <w:pPr>
                      <w:spacing w:line="192" w:lineRule="atLeast"/>
                      <w:rPr>
                        <w:b/>
                        <w:sz w:val="16"/>
                        <w:szCs w:val="16"/>
                        <w:lang w:val="en-US"/>
                      </w:rPr>
                    </w:pPr>
                    <w:r w:rsidRPr="005121B9">
                      <w:rPr>
                        <w:b/>
                        <w:sz w:val="16"/>
                        <w:szCs w:val="16"/>
                        <w:lang w:val="en-US"/>
                      </w:rPr>
                      <w:t>Danish Energy Agency</w:t>
                    </w:r>
                  </w:p>
                  <w:p w14:paraId="61306774" w14:textId="77777777" w:rsidR="00F138C8" w:rsidRPr="005121B9" w:rsidRDefault="00F138C8" w:rsidP="00DF0A6C">
                    <w:pPr>
                      <w:spacing w:line="192" w:lineRule="atLeast"/>
                      <w:rPr>
                        <w:sz w:val="16"/>
                        <w:szCs w:val="16"/>
                        <w:lang w:val="en-US"/>
                      </w:rPr>
                    </w:pPr>
                  </w:p>
                  <w:p w14:paraId="61306775" w14:textId="77777777" w:rsidR="00F138C8" w:rsidRPr="005121B9" w:rsidRDefault="00F138C8" w:rsidP="00DF0A6C">
                    <w:pPr>
                      <w:spacing w:line="192" w:lineRule="atLeast"/>
                      <w:rPr>
                        <w:sz w:val="16"/>
                        <w:szCs w:val="16"/>
                        <w:lang w:val="en-US"/>
                      </w:rPr>
                    </w:pPr>
                    <w:r w:rsidRPr="005121B9">
                      <w:rPr>
                        <w:sz w:val="16"/>
                        <w:szCs w:val="16"/>
                        <w:lang w:val="en-US"/>
                      </w:rPr>
                      <w:t xml:space="preserve">Carsten </w:t>
                    </w:r>
                    <w:proofErr w:type="spellStart"/>
                    <w:r w:rsidRPr="005121B9">
                      <w:rPr>
                        <w:sz w:val="16"/>
                        <w:szCs w:val="16"/>
                        <w:lang w:val="en-US"/>
                      </w:rPr>
                      <w:t>Niebuhrs</w:t>
                    </w:r>
                    <w:proofErr w:type="spellEnd"/>
                    <w:r w:rsidRPr="005121B9">
                      <w:rPr>
                        <w:sz w:val="16"/>
                        <w:szCs w:val="16"/>
                        <w:lang w:val="en-US"/>
                      </w:rPr>
                      <w:t xml:space="preserve"> </w:t>
                    </w:r>
                    <w:proofErr w:type="spellStart"/>
                    <w:r w:rsidRPr="005121B9">
                      <w:rPr>
                        <w:sz w:val="16"/>
                        <w:szCs w:val="16"/>
                        <w:lang w:val="en-US"/>
                      </w:rPr>
                      <w:t>Gade</w:t>
                    </w:r>
                    <w:proofErr w:type="spellEnd"/>
                    <w:r w:rsidRPr="005121B9">
                      <w:rPr>
                        <w:sz w:val="16"/>
                        <w:szCs w:val="16"/>
                        <w:lang w:val="en-US"/>
                      </w:rPr>
                      <w:t xml:space="preserve"> 43</w:t>
                    </w:r>
                  </w:p>
                  <w:p w14:paraId="61306776" w14:textId="77777777" w:rsidR="00F138C8" w:rsidRDefault="00F138C8" w:rsidP="00DF0A6C">
                    <w:pPr>
                      <w:spacing w:line="192" w:lineRule="atLeast"/>
                      <w:rPr>
                        <w:sz w:val="16"/>
                        <w:szCs w:val="16"/>
                      </w:rPr>
                    </w:pPr>
                    <w:r>
                      <w:rPr>
                        <w:sz w:val="16"/>
                        <w:szCs w:val="16"/>
                      </w:rPr>
                      <w:t>1577 København V</w:t>
                    </w:r>
                  </w:p>
                  <w:p w14:paraId="61306777" w14:textId="77777777" w:rsidR="00F138C8" w:rsidRPr="00F714AB" w:rsidRDefault="00F138C8" w:rsidP="00DF0A6C">
                    <w:pPr>
                      <w:spacing w:line="192" w:lineRule="atLeast"/>
                      <w:rPr>
                        <w:sz w:val="16"/>
                        <w:szCs w:val="16"/>
                      </w:rPr>
                    </w:pPr>
                  </w:p>
                  <w:p w14:paraId="61306778" w14:textId="77777777" w:rsidR="00F138C8" w:rsidRPr="00110084" w:rsidRDefault="00F138C8" w:rsidP="00DF0A6C">
                    <w:pPr>
                      <w:spacing w:line="192" w:lineRule="atLeast"/>
                      <w:rPr>
                        <w:sz w:val="16"/>
                        <w:szCs w:val="16"/>
                      </w:rPr>
                    </w:pPr>
                    <w:r w:rsidRPr="00110084">
                      <w:rPr>
                        <w:sz w:val="16"/>
                        <w:szCs w:val="16"/>
                      </w:rPr>
                      <w:t>T: +45 3392 6700</w:t>
                    </w:r>
                  </w:p>
                  <w:p w14:paraId="61306779" w14:textId="77777777" w:rsidR="00F138C8" w:rsidRDefault="00F138C8" w:rsidP="00DF0A6C">
                    <w:pPr>
                      <w:spacing w:line="192" w:lineRule="atLeast"/>
                      <w:rPr>
                        <w:sz w:val="16"/>
                        <w:szCs w:val="16"/>
                      </w:rPr>
                    </w:pPr>
                    <w:r w:rsidRPr="00110084">
                      <w:rPr>
                        <w:sz w:val="16"/>
                        <w:szCs w:val="16"/>
                      </w:rPr>
                      <w:t>E: ens@ens.dk</w:t>
                    </w:r>
                  </w:p>
                  <w:p w14:paraId="6130677A" w14:textId="77777777" w:rsidR="00F138C8" w:rsidRPr="00F714AB" w:rsidRDefault="00F138C8" w:rsidP="00DF0A6C">
                    <w:pPr>
                      <w:spacing w:line="192" w:lineRule="atLeast"/>
                      <w:rPr>
                        <w:sz w:val="16"/>
                        <w:szCs w:val="16"/>
                      </w:rPr>
                    </w:pPr>
                  </w:p>
                  <w:p w14:paraId="6130677B" w14:textId="77777777" w:rsidR="00F138C8" w:rsidRPr="00F714AB" w:rsidRDefault="00F138C8" w:rsidP="00F714AB">
                    <w:pPr>
                      <w:spacing w:line="192" w:lineRule="atLeast"/>
                      <w:rPr>
                        <w:sz w:val="16"/>
                        <w:szCs w:val="16"/>
                      </w:rPr>
                    </w:pPr>
                    <w:r>
                      <w:rPr>
                        <w:sz w:val="16"/>
                        <w:szCs w:val="16"/>
                      </w:rPr>
                      <w:t>www.ens</w:t>
                    </w:r>
                    <w:r w:rsidRPr="00F714AB">
                      <w:rPr>
                        <w:sz w:val="16"/>
                        <w:szCs w:val="16"/>
                      </w:rPr>
                      <w:t>.dk</w:t>
                    </w:r>
                  </w:p>
                </w:txbxContent>
              </v:textbox>
              <w10:wrap anchorx="page" anchory="page"/>
            </v:shape>
          </w:pict>
        </mc:Fallback>
      </mc:AlternateContent>
    </w:r>
    <w:r>
      <w:rPr>
        <w:sz w:val="16"/>
        <w:szCs w:val="16"/>
      </w:rPr>
      <w:t>Page</w:t>
    </w:r>
    <w:r w:rsidRPr="00835DC0">
      <w:rPr>
        <w:sz w:val="16"/>
        <w:szCs w:val="16"/>
      </w:rPr>
      <w:t xml:space="preserv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C64FF0">
      <w:rPr>
        <w:noProof/>
        <w:sz w:val="16"/>
        <w:szCs w:val="16"/>
      </w:rPr>
      <w:t>1</w:t>
    </w:r>
    <w:r w:rsidRPr="00835DC0">
      <w:rPr>
        <w:sz w:val="16"/>
        <w:szCs w:val="16"/>
      </w:rPr>
      <w:fldChar w:fldCharType="end"/>
    </w:r>
    <w:r w:rsidRPr="00835DC0">
      <w:rPr>
        <w:sz w:val="16"/>
        <w:szCs w:val="16"/>
      </w:rPr>
      <w:t>/</w:t>
    </w:r>
    <w:r w:rsidRPr="00835DC0">
      <w:rPr>
        <w:sz w:val="16"/>
        <w:szCs w:val="16"/>
      </w:rPr>
      <w:fldChar w:fldCharType="begin"/>
    </w:r>
    <w:r w:rsidRPr="00835DC0">
      <w:rPr>
        <w:sz w:val="16"/>
        <w:szCs w:val="16"/>
      </w:rPr>
      <w:instrText xml:space="preserve"> NUMPAGES </w:instrText>
    </w:r>
    <w:r w:rsidRPr="00835DC0">
      <w:rPr>
        <w:sz w:val="16"/>
        <w:szCs w:val="16"/>
      </w:rPr>
      <w:fldChar w:fldCharType="separate"/>
    </w:r>
    <w:r w:rsidR="00C64FF0">
      <w:rPr>
        <w:noProof/>
        <w:sz w:val="16"/>
        <w:szCs w:val="16"/>
      </w:rPr>
      <w:t>9</w:t>
    </w:r>
    <w:r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58025" w14:textId="77777777" w:rsidR="00CF1672" w:rsidRDefault="00CF1672" w:rsidP="008969C1">
      <w:pPr>
        <w:spacing w:line="240" w:lineRule="auto"/>
      </w:pPr>
      <w:r>
        <w:separator/>
      </w:r>
    </w:p>
  </w:footnote>
  <w:footnote w:type="continuationSeparator" w:id="0">
    <w:p w14:paraId="40AC5FF8" w14:textId="77777777" w:rsidR="00CF1672" w:rsidRDefault="00CF1672" w:rsidP="008969C1">
      <w:pPr>
        <w:spacing w:line="240" w:lineRule="auto"/>
      </w:pPr>
      <w:r>
        <w:continuationSeparator/>
      </w:r>
    </w:p>
  </w:footnote>
  <w:footnote w:type="continuationNotice" w:id="1">
    <w:p w14:paraId="52A097FF" w14:textId="77777777" w:rsidR="00CF1672" w:rsidRDefault="00CF1672">
      <w:pPr>
        <w:spacing w:line="240" w:lineRule="auto"/>
      </w:pPr>
    </w:p>
  </w:footnote>
  <w:footnote w:id="2">
    <w:p w14:paraId="709EC560" w14:textId="77777777" w:rsidR="00F138C8" w:rsidRPr="001E51FF" w:rsidRDefault="00F138C8" w:rsidP="009663F5">
      <w:pPr>
        <w:pStyle w:val="Fodnotetekst"/>
        <w:rPr>
          <w:sz w:val="16"/>
          <w:szCs w:val="16"/>
          <w:lang w:val="en-US"/>
        </w:rPr>
      </w:pPr>
      <w:r w:rsidRPr="001E51FF">
        <w:rPr>
          <w:rStyle w:val="Fodnotehenvisning"/>
          <w:sz w:val="16"/>
          <w:szCs w:val="16"/>
        </w:rPr>
        <w:footnoteRef/>
      </w:r>
      <w:r w:rsidRPr="001E51FF">
        <w:rPr>
          <w:sz w:val="16"/>
          <w:szCs w:val="16"/>
          <w:lang w:val="en-US"/>
        </w:rPr>
        <w:t xml:space="preserve"> Consolidated version of the Treaty on the Function of the European Union of 9 May 2008 (2008/C 115/91).</w:t>
      </w:r>
    </w:p>
  </w:footnote>
  <w:footnote w:id="3">
    <w:p w14:paraId="51595DF0" w14:textId="77777777" w:rsidR="00F138C8" w:rsidRPr="001E51FF" w:rsidRDefault="00F138C8" w:rsidP="009663F5">
      <w:pPr>
        <w:pStyle w:val="Fodnotetekst"/>
        <w:rPr>
          <w:sz w:val="16"/>
          <w:szCs w:val="16"/>
          <w:lang w:val="en-US"/>
        </w:rPr>
      </w:pPr>
      <w:r w:rsidRPr="001E51FF">
        <w:rPr>
          <w:rStyle w:val="Fodnotehenvisning"/>
          <w:sz w:val="16"/>
          <w:szCs w:val="16"/>
        </w:rPr>
        <w:footnoteRef/>
      </w:r>
      <w:r w:rsidRPr="001E51FF">
        <w:rPr>
          <w:sz w:val="16"/>
          <w:szCs w:val="16"/>
          <w:lang w:val="en-US"/>
        </w:rPr>
        <w:t xml:space="preserve"> Communication from the Commission, Guidelines on State aid for climate, environmental protection and energy 2022 (2022/C 80/01) (“CEEAG”).</w:t>
      </w:r>
    </w:p>
  </w:footnote>
  <w:footnote w:id="4">
    <w:p w14:paraId="5193CB64" w14:textId="47170E0A" w:rsidR="00F138C8" w:rsidRPr="001E51FF" w:rsidRDefault="00F138C8" w:rsidP="00680E90">
      <w:pPr>
        <w:pStyle w:val="Fodnotetekst"/>
        <w:rPr>
          <w:sz w:val="16"/>
          <w:szCs w:val="16"/>
          <w:lang w:val="en-US"/>
        </w:rPr>
      </w:pPr>
      <w:r w:rsidRPr="001E51FF">
        <w:rPr>
          <w:rStyle w:val="Fodnotehenvisning"/>
          <w:sz w:val="16"/>
          <w:szCs w:val="16"/>
        </w:rPr>
        <w:footnoteRef/>
      </w:r>
      <w:r w:rsidRPr="001E51FF">
        <w:rPr>
          <w:sz w:val="16"/>
          <w:szCs w:val="16"/>
          <w:lang w:val="en-US"/>
        </w:rPr>
        <w:t xml:space="preserve"> Agreement between the Government and the Liberal Party of Denmark, the Green Left, the Danish Social Liberal Party and the Conservative People’s Party on: Green Tax Reform for Industry, etc. (24 June 2022). Available in Danish at: </w:t>
      </w:r>
      <w:hyperlink r:id="rId1" w:history="1">
        <w:r w:rsidRPr="001E51FF">
          <w:rPr>
            <w:rStyle w:val="Hyperlink"/>
            <w:sz w:val="16"/>
            <w:szCs w:val="16"/>
            <w:lang w:val="en-US"/>
          </w:rPr>
          <w:t>https://fm.dk/media/26070/aftale-om-groen-skattereform-for-industri-mv-a.pdf</w:t>
        </w:r>
      </w:hyperlink>
      <w:r w:rsidRPr="001E51FF">
        <w:rPr>
          <w:sz w:val="16"/>
          <w:szCs w:val="16"/>
          <w:lang w:val="en-US"/>
        </w:rPr>
        <w:t xml:space="preserve">.   </w:t>
      </w:r>
    </w:p>
  </w:footnote>
  <w:footnote w:id="5">
    <w:p w14:paraId="5ACFD18C" w14:textId="5F04D4AE" w:rsidR="000E73D3" w:rsidRPr="000E73D3" w:rsidRDefault="000E73D3">
      <w:pPr>
        <w:pStyle w:val="Fodnotetekst"/>
        <w:rPr>
          <w:lang w:val="en-US"/>
        </w:rPr>
      </w:pPr>
      <w:r>
        <w:rPr>
          <w:rStyle w:val="Fodnotehenvisning"/>
        </w:rPr>
        <w:footnoteRef/>
      </w:r>
      <w:r w:rsidRPr="000E73D3">
        <w:rPr>
          <w:lang w:val="en-US"/>
        </w:rPr>
        <w:t xml:space="preserve"> </w:t>
      </w:r>
      <w:r w:rsidRPr="001E51FF">
        <w:rPr>
          <w:sz w:val="16"/>
          <w:szCs w:val="16"/>
          <w:lang w:val="en-US"/>
        </w:rPr>
        <w:t>Agreement between the Government</w:t>
      </w:r>
      <w:r>
        <w:rPr>
          <w:sz w:val="16"/>
          <w:szCs w:val="16"/>
          <w:lang w:val="en-US"/>
        </w:rPr>
        <w:t xml:space="preserve">, </w:t>
      </w:r>
      <w:r w:rsidRPr="001E51FF">
        <w:rPr>
          <w:sz w:val="16"/>
          <w:szCs w:val="16"/>
          <w:lang w:val="en-US"/>
        </w:rPr>
        <w:t xml:space="preserve">the Green Left, the Danish Social Liberal Party and the Conservative People’s Party on: </w:t>
      </w:r>
      <w:r>
        <w:rPr>
          <w:sz w:val="16"/>
          <w:szCs w:val="16"/>
          <w:lang w:val="en-US"/>
        </w:rPr>
        <w:t xml:space="preserve">Transitional aid from </w:t>
      </w:r>
      <w:r w:rsidRPr="001E51FF">
        <w:rPr>
          <w:sz w:val="16"/>
          <w:szCs w:val="16"/>
          <w:lang w:val="en-US"/>
        </w:rPr>
        <w:t>Green Tax Reform for Industry, etc. (</w:t>
      </w:r>
      <w:r>
        <w:rPr>
          <w:sz w:val="16"/>
          <w:szCs w:val="16"/>
          <w:lang w:val="en-US"/>
        </w:rPr>
        <w:t>19</w:t>
      </w:r>
      <w:r w:rsidRPr="001E51FF">
        <w:rPr>
          <w:sz w:val="16"/>
          <w:szCs w:val="16"/>
          <w:lang w:val="en-US"/>
        </w:rPr>
        <w:t xml:space="preserve"> </w:t>
      </w:r>
      <w:r>
        <w:rPr>
          <w:sz w:val="16"/>
          <w:szCs w:val="16"/>
          <w:lang w:val="en-US"/>
        </w:rPr>
        <w:t>March</w:t>
      </w:r>
      <w:r w:rsidRPr="001E51FF">
        <w:rPr>
          <w:sz w:val="16"/>
          <w:szCs w:val="16"/>
          <w:lang w:val="en-US"/>
        </w:rPr>
        <w:t xml:space="preserve"> 2022). Available in Danish at:</w:t>
      </w:r>
      <w:r>
        <w:rPr>
          <w:sz w:val="16"/>
          <w:szCs w:val="16"/>
          <w:lang w:val="en-US"/>
        </w:rPr>
        <w:t xml:space="preserve"> </w:t>
      </w:r>
      <w:hyperlink r:id="rId2" w:history="1">
        <w:r w:rsidRPr="00144270">
          <w:rPr>
            <w:rStyle w:val="Hyperlink"/>
            <w:sz w:val="16"/>
            <w:szCs w:val="16"/>
            <w:lang w:val="en-US"/>
          </w:rPr>
          <w:t>https://kefm.dk/Media/638464473286741456/Aftale%20om%20omstillingsst%C3%B8tten.pdf</w:t>
        </w:r>
      </w:hyperlink>
      <w:r w:rsidRPr="001E51FF">
        <w:rPr>
          <w:sz w:val="16"/>
          <w:szCs w:val="16"/>
          <w:lang w:val="en-US"/>
        </w:rPr>
        <w:t xml:space="preserve">.   </w:t>
      </w:r>
    </w:p>
  </w:footnote>
  <w:footnote w:id="6">
    <w:p w14:paraId="405C94C2" w14:textId="348D0DF9" w:rsidR="00F138C8" w:rsidRPr="00ED5C36" w:rsidRDefault="00F138C8">
      <w:pPr>
        <w:pStyle w:val="Fodnotetekst"/>
        <w:rPr>
          <w:lang w:val="en-US"/>
        </w:rPr>
      </w:pPr>
      <w:r>
        <w:rPr>
          <w:rStyle w:val="Fodnotehenvisning"/>
        </w:rPr>
        <w:footnoteRef/>
      </w:r>
      <w:r w:rsidRPr="00ED5C36">
        <w:rPr>
          <w:lang w:val="en-US"/>
        </w:rPr>
        <w:t xml:space="preserve"> Consolidated Act no. 2580 of 13 December 2021 on the Climate, available in Danish at: </w:t>
      </w:r>
      <w:hyperlink r:id="rId3" w:history="1">
        <w:r w:rsidRPr="00AC4EDA">
          <w:rPr>
            <w:rStyle w:val="Hyperlink"/>
            <w:lang w:val="en-US"/>
          </w:rPr>
          <w:t>https://www.retsinformation.dk/eli/lta/2021/2580</w:t>
        </w:r>
      </w:hyperlink>
      <w:r w:rsidRPr="00ED5C36">
        <w:rPr>
          <w:lang w:val="en-US"/>
        </w:rPr>
        <w:t xml:space="preserve">. </w:t>
      </w:r>
    </w:p>
  </w:footnote>
  <w:footnote w:id="7">
    <w:p w14:paraId="5E466D51" w14:textId="24591120" w:rsidR="00F138C8" w:rsidRPr="00ED5C36" w:rsidRDefault="00F138C8">
      <w:pPr>
        <w:pStyle w:val="Fodnotetekst"/>
        <w:rPr>
          <w:lang w:val="en-US"/>
        </w:rPr>
      </w:pPr>
      <w:r>
        <w:rPr>
          <w:rStyle w:val="Fodnotehenvisning"/>
        </w:rPr>
        <w:footnoteRef/>
      </w:r>
      <w:r w:rsidRPr="00ED5C36">
        <w:rPr>
          <w:lang w:val="en-US"/>
        </w:rPr>
        <w:t xml:space="preserve"> Regulation (EU) 2021/1119 of the European Parliament and of the Council of 30 June 2021 establishing the framework for achieving climate neutrality and mending Regulations (EC) No 401/2009 (EU) 2018/199 (European Climate Law).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675F" w14:textId="77777777" w:rsidR="00F138C8" w:rsidRDefault="00F138C8">
    <w:pPr>
      <w:pStyle w:val="Sidehoved"/>
    </w:pPr>
    <w:r>
      <w:rPr>
        <w:noProof/>
        <w:lang w:eastAsia="da-DK"/>
      </w:rPr>
      <w:drawing>
        <wp:anchor distT="0" distB="0" distL="114300" distR="114300" simplePos="0" relativeHeight="251658241" behindDoc="0" locked="0" layoutInCell="1" allowOverlap="1" wp14:anchorId="61306764" wp14:editId="61306765">
          <wp:simplePos x="0" y="0"/>
          <wp:positionH relativeFrom="margin">
            <wp:posOffset>-24516</wp:posOffset>
          </wp:positionH>
          <wp:positionV relativeFrom="paragraph">
            <wp:posOffset>97450</wp:posOffset>
          </wp:positionV>
          <wp:extent cx="2383200" cy="6480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383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6761" w14:textId="77777777" w:rsidR="00F138C8" w:rsidRDefault="00F138C8">
    <w:pPr>
      <w:pStyle w:val="Sidehoved"/>
    </w:pPr>
  </w:p>
  <w:p w14:paraId="61306762" w14:textId="77777777" w:rsidR="00F138C8" w:rsidRPr="005E3FC3" w:rsidRDefault="00F138C8">
    <w:pPr>
      <w:pStyle w:val="Sidehoved"/>
      <w:rPr>
        <w:b/>
      </w:rPr>
    </w:pPr>
    <w:r>
      <w:rPr>
        <w:b/>
        <w:noProof/>
        <w:lang w:eastAsia="da-DK"/>
      </w:rPr>
      <w:drawing>
        <wp:anchor distT="0" distB="0" distL="114300" distR="114300" simplePos="0" relativeHeight="251658242" behindDoc="0" locked="0" layoutInCell="1" allowOverlap="1" wp14:anchorId="61306766" wp14:editId="61306767">
          <wp:simplePos x="0" y="0"/>
          <wp:positionH relativeFrom="margin">
            <wp:posOffset>-24765</wp:posOffset>
          </wp:positionH>
          <wp:positionV relativeFrom="paragraph">
            <wp:posOffset>97790</wp:posOffset>
          </wp:positionV>
          <wp:extent cx="2386800" cy="6480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2386800" cy="648000"/>
                  </a:xfrm>
                  <a:prstGeom prst="rect">
                    <a:avLst/>
                  </a:prstGeom>
                </pic:spPr>
              </pic:pic>
            </a:graphicData>
          </a:graphic>
          <wp14:sizeRelH relativeFrom="margin">
            <wp14:pctWidth>0</wp14:pctWidth>
          </wp14:sizeRelH>
          <wp14:sizeRelV relativeFrom="margin">
            <wp14:pctHeight>0</wp14:pctHeight>
          </wp14:sizeRelV>
        </wp:anchor>
      </w:drawing>
    </w:r>
    <w:r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549"/>
    <w:multiLevelType w:val="hybridMultilevel"/>
    <w:tmpl w:val="82B0F89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38F110D"/>
    <w:multiLevelType w:val="multilevel"/>
    <w:tmpl w:val="68502A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1F05F0C"/>
    <w:multiLevelType w:val="hybridMultilevel"/>
    <w:tmpl w:val="47DC39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8985024"/>
    <w:multiLevelType w:val="hybridMultilevel"/>
    <w:tmpl w:val="85441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4081DB7"/>
    <w:multiLevelType w:val="hybridMultilevel"/>
    <w:tmpl w:val="99F4C2B8"/>
    <w:lvl w:ilvl="0" w:tplc="4A46CCC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C8"/>
    <w:rsid w:val="000015F2"/>
    <w:rsid w:val="00022817"/>
    <w:rsid w:val="000247D7"/>
    <w:rsid w:val="00031F70"/>
    <w:rsid w:val="00036061"/>
    <w:rsid w:val="0004219D"/>
    <w:rsid w:val="000440BC"/>
    <w:rsid w:val="00045732"/>
    <w:rsid w:val="00065C74"/>
    <w:rsid w:val="00066728"/>
    <w:rsid w:val="00086163"/>
    <w:rsid w:val="000A08E2"/>
    <w:rsid w:val="000D7BA0"/>
    <w:rsid w:val="000E1477"/>
    <w:rsid w:val="000E3AC9"/>
    <w:rsid w:val="000E73D3"/>
    <w:rsid w:val="001032C8"/>
    <w:rsid w:val="00110084"/>
    <w:rsid w:val="001112B2"/>
    <w:rsid w:val="00113173"/>
    <w:rsid w:val="00121749"/>
    <w:rsid w:val="001253C0"/>
    <w:rsid w:val="0013113E"/>
    <w:rsid w:val="00134DD6"/>
    <w:rsid w:val="00135FA2"/>
    <w:rsid w:val="00140C61"/>
    <w:rsid w:val="00164D3D"/>
    <w:rsid w:val="00193547"/>
    <w:rsid w:val="001A2430"/>
    <w:rsid w:val="001B5125"/>
    <w:rsid w:val="001C54D0"/>
    <w:rsid w:val="001F10A2"/>
    <w:rsid w:val="001F331D"/>
    <w:rsid w:val="002009E6"/>
    <w:rsid w:val="002138F4"/>
    <w:rsid w:val="00240E99"/>
    <w:rsid w:val="00243940"/>
    <w:rsid w:val="002611C9"/>
    <w:rsid w:val="00272FE3"/>
    <w:rsid w:val="0027768F"/>
    <w:rsid w:val="002861AB"/>
    <w:rsid w:val="00296E6F"/>
    <w:rsid w:val="002A4EDA"/>
    <w:rsid w:val="002C135B"/>
    <w:rsid w:val="002E542B"/>
    <w:rsid w:val="002F14E7"/>
    <w:rsid w:val="0030532D"/>
    <w:rsid w:val="0034007A"/>
    <w:rsid w:val="00347BCC"/>
    <w:rsid w:val="00352DBE"/>
    <w:rsid w:val="00353AC6"/>
    <w:rsid w:val="00354DBF"/>
    <w:rsid w:val="003A5E78"/>
    <w:rsid w:val="003B31EC"/>
    <w:rsid w:val="003B5DBB"/>
    <w:rsid w:val="003B6FA9"/>
    <w:rsid w:val="003B7BC4"/>
    <w:rsid w:val="003B7D18"/>
    <w:rsid w:val="003C34CF"/>
    <w:rsid w:val="003C78B7"/>
    <w:rsid w:val="003E5410"/>
    <w:rsid w:val="003F3A16"/>
    <w:rsid w:val="0040641C"/>
    <w:rsid w:val="004129C4"/>
    <w:rsid w:val="00413E19"/>
    <w:rsid w:val="0042558B"/>
    <w:rsid w:val="0042642E"/>
    <w:rsid w:val="004456A7"/>
    <w:rsid w:val="0044613C"/>
    <w:rsid w:val="00451B7C"/>
    <w:rsid w:val="004704DA"/>
    <w:rsid w:val="004A0CFD"/>
    <w:rsid w:val="004A7854"/>
    <w:rsid w:val="004B53D4"/>
    <w:rsid w:val="004B5B56"/>
    <w:rsid w:val="004C41E8"/>
    <w:rsid w:val="004C645B"/>
    <w:rsid w:val="004D5CFB"/>
    <w:rsid w:val="004F5C81"/>
    <w:rsid w:val="00502AFB"/>
    <w:rsid w:val="005074F6"/>
    <w:rsid w:val="005114C9"/>
    <w:rsid w:val="00527652"/>
    <w:rsid w:val="00531E90"/>
    <w:rsid w:val="005340A7"/>
    <w:rsid w:val="0053649E"/>
    <w:rsid w:val="00556827"/>
    <w:rsid w:val="00583115"/>
    <w:rsid w:val="00591F3B"/>
    <w:rsid w:val="005A1200"/>
    <w:rsid w:val="005A45B2"/>
    <w:rsid w:val="005E3FC3"/>
    <w:rsid w:val="00603E5E"/>
    <w:rsid w:val="00605CCB"/>
    <w:rsid w:val="00614B40"/>
    <w:rsid w:val="006202F5"/>
    <w:rsid w:val="006270D9"/>
    <w:rsid w:val="00637376"/>
    <w:rsid w:val="00643305"/>
    <w:rsid w:val="00665F29"/>
    <w:rsid w:val="00667FF1"/>
    <w:rsid w:val="00667FF5"/>
    <w:rsid w:val="006803EB"/>
    <w:rsid w:val="00680E90"/>
    <w:rsid w:val="006A0AC5"/>
    <w:rsid w:val="006C75F1"/>
    <w:rsid w:val="006D6210"/>
    <w:rsid w:val="006E691D"/>
    <w:rsid w:val="006F09A8"/>
    <w:rsid w:val="007074F2"/>
    <w:rsid w:val="00721870"/>
    <w:rsid w:val="00743B43"/>
    <w:rsid w:val="00755AAB"/>
    <w:rsid w:val="007636C2"/>
    <w:rsid w:val="00775CD2"/>
    <w:rsid w:val="00795B66"/>
    <w:rsid w:val="007B75E6"/>
    <w:rsid w:val="007D7217"/>
    <w:rsid w:val="00800E2B"/>
    <w:rsid w:val="00802C9E"/>
    <w:rsid w:val="00804D82"/>
    <w:rsid w:val="008176EC"/>
    <w:rsid w:val="00822E62"/>
    <w:rsid w:val="00826140"/>
    <w:rsid w:val="00835DC0"/>
    <w:rsid w:val="008626C8"/>
    <w:rsid w:val="00885D82"/>
    <w:rsid w:val="00895059"/>
    <w:rsid w:val="008959BC"/>
    <w:rsid w:val="00895A1C"/>
    <w:rsid w:val="008969C1"/>
    <w:rsid w:val="008C708B"/>
    <w:rsid w:val="008D2C42"/>
    <w:rsid w:val="008F2666"/>
    <w:rsid w:val="008F4DB7"/>
    <w:rsid w:val="00904042"/>
    <w:rsid w:val="0091101D"/>
    <w:rsid w:val="0091465C"/>
    <w:rsid w:val="00922145"/>
    <w:rsid w:val="00923F35"/>
    <w:rsid w:val="00935EBC"/>
    <w:rsid w:val="00941A73"/>
    <w:rsid w:val="0095103F"/>
    <w:rsid w:val="00965BA9"/>
    <w:rsid w:val="009663F5"/>
    <w:rsid w:val="00971513"/>
    <w:rsid w:val="00973E81"/>
    <w:rsid w:val="009A32C5"/>
    <w:rsid w:val="009C3381"/>
    <w:rsid w:val="009D3FB5"/>
    <w:rsid w:val="00A0541D"/>
    <w:rsid w:val="00A126B3"/>
    <w:rsid w:val="00A3065E"/>
    <w:rsid w:val="00A46851"/>
    <w:rsid w:val="00A52BD2"/>
    <w:rsid w:val="00A53376"/>
    <w:rsid w:val="00A53C43"/>
    <w:rsid w:val="00A854AD"/>
    <w:rsid w:val="00A9284C"/>
    <w:rsid w:val="00A97EC2"/>
    <w:rsid w:val="00AA10A4"/>
    <w:rsid w:val="00AA2E52"/>
    <w:rsid w:val="00AB4885"/>
    <w:rsid w:val="00AC60EA"/>
    <w:rsid w:val="00AD0AA2"/>
    <w:rsid w:val="00AD49F2"/>
    <w:rsid w:val="00B06A92"/>
    <w:rsid w:val="00B12E08"/>
    <w:rsid w:val="00B1566A"/>
    <w:rsid w:val="00B17C10"/>
    <w:rsid w:val="00B536E9"/>
    <w:rsid w:val="00B60A80"/>
    <w:rsid w:val="00B6621C"/>
    <w:rsid w:val="00B76C6A"/>
    <w:rsid w:val="00B80EA0"/>
    <w:rsid w:val="00B842B5"/>
    <w:rsid w:val="00B932FD"/>
    <w:rsid w:val="00BA0FCB"/>
    <w:rsid w:val="00BC0B2C"/>
    <w:rsid w:val="00BC1C56"/>
    <w:rsid w:val="00BD2772"/>
    <w:rsid w:val="00BD32A7"/>
    <w:rsid w:val="00BE6A69"/>
    <w:rsid w:val="00C20E5C"/>
    <w:rsid w:val="00C23BCA"/>
    <w:rsid w:val="00C46BE7"/>
    <w:rsid w:val="00C4750C"/>
    <w:rsid w:val="00C57DC2"/>
    <w:rsid w:val="00C64FF0"/>
    <w:rsid w:val="00C651CC"/>
    <w:rsid w:val="00C66274"/>
    <w:rsid w:val="00C742FA"/>
    <w:rsid w:val="00C76EC2"/>
    <w:rsid w:val="00C932B9"/>
    <w:rsid w:val="00CB3A7C"/>
    <w:rsid w:val="00CB4EAF"/>
    <w:rsid w:val="00CC3E60"/>
    <w:rsid w:val="00CD48B3"/>
    <w:rsid w:val="00CF1672"/>
    <w:rsid w:val="00CF3568"/>
    <w:rsid w:val="00D00F4D"/>
    <w:rsid w:val="00D1257F"/>
    <w:rsid w:val="00D12E7B"/>
    <w:rsid w:val="00D21554"/>
    <w:rsid w:val="00D218D5"/>
    <w:rsid w:val="00D357CF"/>
    <w:rsid w:val="00D42175"/>
    <w:rsid w:val="00D50881"/>
    <w:rsid w:val="00D82819"/>
    <w:rsid w:val="00D93447"/>
    <w:rsid w:val="00DA2491"/>
    <w:rsid w:val="00DA6E05"/>
    <w:rsid w:val="00DA7419"/>
    <w:rsid w:val="00DB2EA5"/>
    <w:rsid w:val="00DB76BD"/>
    <w:rsid w:val="00DC2214"/>
    <w:rsid w:val="00DC4AA5"/>
    <w:rsid w:val="00DD1186"/>
    <w:rsid w:val="00DE0419"/>
    <w:rsid w:val="00DE0682"/>
    <w:rsid w:val="00DF0A6C"/>
    <w:rsid w:val="00E02CC5"/>
    <w:rsid w:val="00E2222D"/>
    <w:rsid w:val="00E452E8"/>
    <w:rsid w:val="00E5440A"/>
    <w:rsid w:val="00E65202"/>
    <w:rsid w:val="00EA0CDE"/>
    <w:rsid w:val="00EB6E23"/>
    <w:rsid w:val="00EC4B9F"/>
    <w:rsid w:val="00ED066E"/>
    <w:rsid w:val="00ED5C36"/>
    <w:rsid w:val="00EE48E5"/>
    <w:rsid w:val="00F126B7"/>
    <w:rsid w:val="00F138C8"/>
    <w:rsid w:val="00F146FA"/>
    <w:rsid w:val="00F3314C"/>
    <w:rsid w:val="00F33E27"/>
    <w:rsid w:val="00F41592"/>
    <w:rsid w:val="00F605DB"/>
    <w:rsid w:val="00F66A81"/>
    <w:rsid w:val="00F714AB"/>
    <w:rsid w:val="00F80588"/>
    <w:rsid w:val="00F82162"/>
    <w:rsid w:val="00F867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066FD"/>
  <w15:docId w15:val="{FB7857F8-C2B9-46AA-81BF-10B40F4A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90"/>
    <w:pPr>
      <w:spacing w:after="0" w:line="280" w:lineRule="atLeast"/>
    </w:pPr>
    <w:rPr>
      <w:rFonts w:ascii="Arial" w:hAnsi="Arial"/>
      <w:sz w:val="20"/>
    </w:rPr>
  </w:style>
  <w:style w:type="paragraph" w:styleId="Overskrift1">
    <w:name w:val="heading 1"/>
    <w:basedOn w:val="Titel"/>
    <w:next w:val="Normal"/>
    <w:link w:val="Overskrift1Tegn"/>
    <w:uiPriority w:val="9"/>
    <w:qFormat/>
    <w:rsid w:val="00B60A80"/>
    <w:pPr>
      <w:outlineLvl w:val="0"/>
    </w:pPr>
  </w:style>
  <w:style w:type="paragraph" w:styleId="Overskrift2">
    <w:name w:val="heading 2"/>
    <w:basedOn w:val="Normal"/>
    <w:next w:val="Normal"/>
    <w:link w:val="Overskrift2Tegn"/>
    <w:uiPriority w:val="9"/>
    <w:unhideWhenUsed/>
    <w:qFormat/>
    <w:rsid w:val="00B60A80"/>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B60A80"/>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B60A80"/>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semiHidden/>
    <w:unhideWhenUsed/>
    <w:qFormat/>
    <w:rsid w:val="00B60A80"/>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B60A80"/>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B60A80"/>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B60A80"/>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B60A80"/>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semiHidden/>
    <w:rsid w:val="00B60A80"/>
    <w:rPr>
      <w:rFonts w:asciiTheme="majorHAnsi" w:eastAsiaTheme="majorEastAsia" w:hAnsiTheme="majorHAnsi" w:cstheme="majorBidi"/>
      <w:i/>
      <w:color w:val="00707D" w:themeColor="accent1" w:themeShade="BF"/>
      <w:sz w:val="20"/>
    </w:rPr>
  </w:style>
  <w:style w:type="paragraph" w:styleId="Indholdsfortegnelse2">
    <w:name w:val="toc 2"/>
    <w:basedOn w:val="Normal"/>
    <w:next w:val="Normal"/>
    <w:autoRedefine/>
    <w:uiPriority w:val="39"/>
    <w:unhideWhenUsed/>
    <w:rsid w:val="00AD49F2"/>
    <w:pPr>
      <w:spacing w:after="100"/>
      <w:ind w:left="200"/>
    </w:pPr>
  </w:style>
  <w:style w:type="paragraph" w:styleId="Overskrift">
    <w:name w:val="TOC Heading"/>
    <w:basedOn w:val="Overskrift1"/>
    <w:next w:val="Normal"/>
    <w:uiPriority w:val="39"/>
    <w:unhideWhenUsed/>
    <w:qFormat/>
    <w:rsid w:val="00AD49F2"/>
    <w:pPr>
      <w:keepNext/>
      <w:keepLines/>
      <w:spacing w:before="240" w:line="259" w:lineRule="auto"/>
      <w:contextualSpacing w:val="0"/>
      <w:outlineLvl w:val="9"/>
    </w:pPr>
    <w:rPr>
      <w:b w:val="0"/>
      <w:color w:val="00707D" w:themeColor="accent1" w:themeShade="BF"/>
      <w:sz w:val="32"/>
      <w:szCs w:val="32"/>
      <w:lang w:eastAsia="da-DK"/>
    </w:rPr>
  </w:style>
  <w:style w:type="paragraph" w:styleId="Listeafsnit">
    <w:name w:val="List Paragraph"/>
    <w:basedOn w:val="Normal"/>
    <w:uiPriority w:val="34"/>
    <w:qFormat/>
    <w:rsid w:val="008F4DB7"/>
    <w:pPr>
      <w:ind w:left="720"/>
      <w:contextualSpacing/>
    </w:pPr>
  </w:style>
  <w:style w:type="character" w:styleId="Kommentarhenvisning">
    <w:name w:val="annotation reference"/>
    <w:basedOn w:val="Standardskrifttypeiafsnit"/>
    <w:uiPriority w:val="99"/>
    <w:semiHidden/>
    <w:unhideWhenUsed/>
    <w:rsid w:val="001112B2"/>
    <w:rPr>
      <w:sz w:val="16"/>
      <w:szCs w:val="16"/>
    </w:rPr>
  </w:style>
  <w:style w:type="paragraph" w:styleId="Kommentartekst">
    <w:name w:val="annotation text"/>
    <w:basedOn w:val="Normal"/>
    <w:link w:val="KommentartekstTegn"/>
    <w:semiHidden/>
    <w:unhideWhenUsed/>
    <w:rsid w:val="001112B2"/>
    <w:pPr>
      <w:spacing w:line="240" w:lineRule="auto"/>
    </w:pPr>
    <w:rPr>
      <w:szCs w:val="20"/>
    </w:rPr>
  </w:style>
  <w:style w:type="character" w:customStyle="1" w:styleId="KommentartekstTegn">
    <w:name w:val="Kommentartekst Tegn"/>
    <w:basedOn w:val="Standardskrifttypeiafsnit"/>
    <w:link w:val="Kommentartekst"/>
    <w:semiHidden/>
    <w:rsid w:val="001112B2"/>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12B2"/>
    <w:rPr>
      <w:b/>
      <w:bCs/>
    </w:rPr>
  </w:style>
  <w:style w:type="character" w:customStyle="1" w:styleId="KommentaremneTegn">
    <w:name w:val="Kommentaremne Tegn"/>
    <w:basedOn w:val="KommentartekstTegn"/>
    <w:link w:val="Kommentaremne"/>
    <w:uiPriority w:val="99"/>
    <w:semiHidden/>
    <w:rsid w:val="001112B2"/>
    <w:rPr>
      <w:rFonts w:ascii="Arial" w:hAnsi="Arial"/>
      <w:b/>
      <w:bCs/>
      <w:sz w:val="20"/>
      <w:szCs w:val="20"/>
    </w:rPr>
  </w:style>
  <w:style w:type="paragraph" w:styleId="Fodnotetekst">
    <w:name w:val="footnote text"/>
    <w:basedOn w:val="Normal"/>
    <w:link w:val="FodnotetekstTegn"/>
    <w:uiPriority w:val="21"/>
    <w:unhideWhenUsed/>
    <w:rsid w:val="00066728"/>
    <w:pPr>
      <w:spacing w:line="240" w:lineRule="auto"/>
    </w:pPr>
    <w:rPr>
      <w:szCs w:val="20"/>
    </w:rPr>
  </w:style>
  <w:style w:type="character" w:customStyle="1" w:styleId="FodnotetekstTegn">
    <w:name w:val="Fodnotetekst Tegn"/>
    <w:basedOn w:val="Standardskrifttypeiafsnit"/>
    <w:link w:val="Fodnotetekst"/>
    <w:uiPriority w:val="21"/>
    <w:rsid w:val="00066728"/>
    <w:rPr>
      <w:rFonts w:ascii="Arial" w:hAnsi="Arial"/>
      <w:sz w:val="20"/>
      <w:szCs w:val="20"/>
    </w:rPr>
  </w:style>
  <w:style w:type="character" w:styleId="Fodnotehenvisning">
    <w:name w:val="footnote reference"/>
    <w:aliases w:val="Footnote,Footnote symbol,Nota,Footnote number,de nota al pie,Ref,Char,SUPERS,Voetnootmarkering,Char1,fr,o,(NECG) Footnote Reference,Times 10 Point,Exposant 3 Point,Footnote Reference Number,Footnote reference number,FR, Char, Char1,F"/>
    <w:basedOn w:val="Standardskrifttypeiafsnit"/>
    <w:link w:val="SUPERSChar"/>
    <w:uiPriority w:val="21"/>
    <w:unhideWhenUsed/>
    <w:qFormat/>
    <w:rsid w:val="00066728"/>
    <w:rPr>
      <w:vertAlign w:val="superscript"/>
    </w:rPr>
  </w:style>
  <w:style w:type="paragraph" w:customStyle="1" w:styleId="SUPERSChar">
    <w:name w:val="SUPERS Char"/>
    <w:aliases w:val="EN Footnote Reference Char"/>
    <w:basedOn w:val="Normal"/>
    <w:link w:val="Fodnotehenvisning"/>
    <w:uiPriority w:val="21"/>
    <w:rsid w:val="00066728"/>
    <w:pPr>
      <w:spacing w:after="160" w:line="240" w:lineRule="exact"/>
    </w:pPr>
    <w:rPr>
      <w:rFonts w:asciiTheme="minorHAnsi" w:hAnsiTheme="minorHAnsi"/>
      <w:sz w:val="22"/>
      <w:vertAlign w:val="superscript"/>
    </w:rPr>
  </w:style>
  <w:style w:type="paragraph" w:styleId="NormalWeb">
    <w:name w:val="Normal (Web)"/>
    <w:basedOn w:val="Normal"/>
    <w:uiPriority w:val="99"/>
    <w:semiHidden/>
    <w:unhideWhenUsed/>
    <w:rsid w:val="00C57DC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Ulstomtale1">
    <w:name w:val="Uløst omtale1"/>
    <w:basedOn w:val="Standardskrifttypeiafsnit"/>
    <w:uiPriority w:val="99"/>
    <w:semiHidden/>
    <w:unhideWhenUsed/>
    <w:rsid w:val="00ED5C36"/>
    <w:rPr>
      <w:color w:val="605E5C"/>
      <w:shd w:val="clear" w:color="auto" w:fill="E1DFDD"/>
    </w:rPr>
  </w:style>
  <w:style w:type="paragraph" w:styleId="Korrektur">
    <w:name w:val="Revision"/>
    <w:hidden/>
    <w:uiPriority w:val="99"/>
    <w:semiHidden/>
    <w:rsid w:val="00B842B5"/>
    <w:pPr>
      <w:spacing w:after="0" w:line="240" w:lineRule="auto"/>
    </w:pPr>
    <w:rPr>
      <w:rFonts w:ascii="Arial" w:hAnsi="Arial"/>
      <w:sz w:val="20"/>
    </w:rPr>
  </w:style>
  <w:style w:type="paragraph" w:styleId="Indholdsfortegnelse3">
    <w:name w:val="toc 3"/>
    <w:basedOn w:val="Normal"/>
    <w:next w:val="Normal"/>
    <w:autoRedefine/>
    <w:uiPriority w:val="39"/>
    <w:unhideWhenUsed/>
    <w:rsid w:val="007074F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4798">
      <w:bodyDiv w:val="1"/>
      <w:marLeft w:val="0"/>
      <w:marRight w:val="0"/>
      <w:marTop w:val="0"/>
      <w:marBottom w:val="0"/>
      <w:divBdr>
        <w:top w:val="none" w:sz="0" w:space="0" w:color="auto"/>
        <w:left w:val="none" w:sz="0" w:space="0" w:color="auto"/>
        <w:bottom w:val="none" w:sz="0" w:space="0" w:color="auto"/>
        <w:right w:val="none" w:sz="0" w:space="0" w:color="auto"/>
      </w:divBdr>
    </w:div>
    <w:div w:id="1016926603">
      <w:bodyDiv w:val="1"/>
      <w:marLeft w:val="0"/>
      <w:marRight w:val="0"/>
      <w:marTop w:val="0"/>
      <w:marBottom w:val="0"/>
      <w:divBdr>
        <w:top w:val="none" w:sz="0" w:space="0" w:color="auto"/>
        <w:left w:val="none" w:sz="0" w:space="0" w:color="auto"/>
        <w:bottom w:val="none" w:sz="0" w:space="0" w:color="auto"/>
        <w:right w:val="none" w:sz="0" w:space="0" w:color="auto"/>
      </w:divBdr>
    </w:div>
    <w:div w:id="1181161828">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5738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1/2580" TargetMode="External"/><Relationship Id="rId2" Type="http://schemas.openxmlformats.org/officeDocument/2006/relationships/hyperlink" Target="https://kefm.dk/Media/638464473286741456/Aftale%20om%20omstillingsst%C3%B8tten.pdf" TargetMode="External"/><Relationship Id="rId1" Type="http://schemas.openxmlformats.org/officeDocument/2006/relationships/hyperlink" Target="https://fm.dk/media/26070/aftale-om-groen-skattereform-for-industri-mv-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62176\AppData\Local\cBrain\F2\.tmp\de5f8e2a84504872a90b1f4ec5544d30.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03603c2-af68-450f-bcf8-c14f8406c284">GR0E-1446448027-712</_dlc_DocId>
    <_dlc_DocIdUrl xmlns="e03603c2-af68-450f-bcf8-c14f8406c284">
      <Url>https://sp.ens.dk/sites/goe/iet/_layouts/15/DocIdRedir.aspx?ID=GR0E-1446448027-712</Url>
      <Description>GR0E-1446448027-712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052D6592F6154D9FEDC08E14744A74" ma:contentTypeVersion="4" ma:contentTypeDescription="Opret et nyt dokument." ma:contentTypeScope="" ma:versionID="9c04b04142f431197a73422b4300cfec">
  <xsd:schema xmlns:xsd="http://www.w3.org/2001/XMLSchema" xmlns:xs="http://www.w3.org/2001/XMLSchema" xmlns:p="http://schemas.microsoft.com/office/2006/metadata/properties" xmlns:ns2="e03603c2-af68-450f-bcf8-c14f8406c284" xmlns:ns3="dc657fdb-48d5-4e7f-87a8-fea5b1e3bc18" targetNamespace="http://schemas.microsoft.com/office/2006/metadata/properties" ma:root="true" ma:fieldsID="325e257c4298d2eeed0e2ea8bf43085c" ns2:_="" ns3:_="">
    <xsd:import namespace="e03603c2-af68-450f-bcf8-c14f8406c284"/>
    <xsd:import namespace="dc657fdb-48d5-4e7f-87a8-fea5b1e3bc1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603c2-af68-450f-bcf8-c14f8406c284"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657fdb-48d5-4e7f-87a8-fea5b1e3bc18"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61F3-1D64-4C79-A942-9FC25347E0F3}">
  <ds:schemaRefs>
    <ds:schemaRef ds:uri="http://schemas.microsoft.com/sharepoint/v3/contenttype/forms"/>
  </ds:schemaRefs>
</ds:datastoreItem>
</file>

<file path=customXml/itemProps2.xml><?xml version="1.0" encoding="utf-8"?>
<ds:datastoreItem xmlns:ds="http://schemas.openxmlformats.org/officeDocument/2006/customXml" ds:itemID="{82E7528F-8899-44E0-9269-60D7F111B110}">
  <ds:schemaRefs>
    <ds:schemaRef ds:uri="http://schemas.microsoft.com/office/2006/metadata/properties"/>
    <ds:schemaRef ds:uri="http://schemas.microsoft.com/office/infopath/2007/PartnerControls"/>
    <ds:schemaRef ds:uri="e03603c2-af68-450f-bcf8-c14f8406c284"/>
  </ds:schemaRefs>
</ds:datastoreItem>
</file>

<file path=customXml/itemProps3.xml><?xml version="1.0" encoding="utf-8"?>
<ds:datastoreItem xmlns:ds="http://schemas.openxmlformats.org/officeDocument/2006/customXml" ds:itemID="{1EDA0DFE-8CB3-4411-BFE1-DD6943A64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603c2-af68-450f-bcf8-c14f8406c284"/>
    <ds:schemaRef ds:uri="dc657fdb-48d5-4e7f-87a8-fea5b1e3b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F23E3-80D7-4BEF-AE36-7AE15409465F}">
  <ds:schemaRefs>
    <ds:schemaRef ds:uri="http://schemas.microsoft.com/sharepoint/events"/>
  </ds:schemaRefs>
</ds:datastoreItem>
</file>

<file path=customXml/itemProps5.xml><?xml version="1.0" encoding="utf-8"?>
<ds:datastoreItem xmlns:ds="http://schemas.openxmlformats.org/officeDocument/2006/customXml" ds:itemID="{F224A971-2F11-438B-8C60-B7636957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de5f8e2a84504872a90b1f4ec5544d30.dotx</Template>
  <TotalTime>0</TotalTime>
  <Pages>9</Pages>
  <Words>2207</Words>
  <Characters>13465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Anette Guldmann</dc:creator>
  <cp:lastModifiedBy>Andreas Bundgaard</cp:lastModifiedBy>
  <cp:revision>2</cp:revision>
  <cp:lastPrinted>2023-11-01T09:14:00Z</cp:lastPrinted>
  <dcterms:created xsi:type="dcterms:W3CDTF">2024-08-02T13:16:00Z</dcterms:created>
  <dcterms:modified xsi:type="dcterms:W3CDTF">2024-08-02T13:16:00Z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0x010100CF052D6592F6154D9FEDC08E14744A74</vt:lpwstr>
  </property>
  <property fmtid="{D5CDD505-2E9C-101B-9397-08002B2CF9AE}" pid="3" name="_dlc_DocIdItemGuid">
    <vt:lpwstr>51542309-5bac-4b6d-bc20-3f276c162615</vt:lpwstr>
  </property>
</Properties>
</file>