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3981F" w14:textId="77777777" w:rsidR="00FE25D3" w:rsidRPr="003E2C77" w:rsidRDefault="00FE25D3" w:rsidP="00FE25D3">
      <w:pPr>
        <w:rPr>
          <w:rStyle w:val="StyleCalibri11ptBoldAllcaps"/>
        </w:rPr>
      </w:pPr>
      <w:bookmarkStart w:id="0" w:name="_Hlk518467323"/>
      <w:bookmarkStart w:id="1" w:name="_Hlk518467271"/>
      <w:bookmarkStart w:id="2" w:name="_GoBack"/>
      <w:bookmarkEnd w:id="2"/>
      <w:r w:rsidRPr="003E2C77">
        <w:rPr>
          <w:rStyle w:val="StyleCalibri11ptBoldAllcaps"/>
        </w:rPr>
        <w:t>Middelgrundsfortet</w:t>
      </w:r>
    </w:p>
    <w:p w14:paraId="4AEFB873" w14:textId="77777777" w:rsidR="00FE25D3" w:rsidRPr="003E2C77" w:rsidRDefault="00FE25D3" w:rsidP="00FE25D3">
      <w:pPr>
        <w:pStyle w:val="Title11pkt"/>
      </w:pPr>
      <w:bookmarkStart w:id="3" w:name="bmkSubject"/>
      <w:bookmarkEnd w:id="3"/>
      <w:r>
        <w:t>Vurdering af miljøfarlige stoffer i sediment i kabelkorridoren</w:t>
      </w:r>
    </w:p>
    <w:p w14:paraId="284A853D" w14:textId="77777777" w:rsidR="00FE25D3" w:rsidRDefault="00FE25D3" w:rsidP="00AD6323">
      <w:pPr>
        <w:pStyle w:val="TitleBold11pkt"/>
      </w:pPr>
    </w:p>
    <w:p w14:paraId="4EA01C55" w14:textId="77777777" w:rsidR="00AD6323" w:rsidRDefault="00AD6323" w:rsidP="00AD6323">
      <w:pPr>
        <w:pStyle w:val="TitleBold11pkt"/>
      </w:pPr>
      <w:r>
        <w:t>Baggrund</w:t>
      </w:r>
    </w:p>
    <w:p w14:paraId="0BC68B20" w14:textId="6EA81D10" w:rsidR="00AD6323" w:rsidRPr="00B04A14" w:rsidRDefault="22B2FD84" w:rsidP="22B2FD84">
      <w:pPr>
        <w:rPr>
          <w:sz w:val="22"/>
          <w:szCs w:val="22"/>
        </w:rPr>
      </w:pPr>
      <w:r w:rsidRPr="22B2FD84">
        <w:rPr>
          <w:sz w:val="22"/>
          <w:szCs w:val="22"/>
        </w:rPr>
        <w:t>I forbindelse med, at Middelgrundsfortet skal anvendes til rekreative formål, skal der etableres forsyningsledninger fra land ved Lynetten rensningsanlæg til Middelgrundsfortet, herunder el, fiber, drikkevand og spildevandsledning. Alle ledninger vil blive nedlagt samtidig og i samme tracé. For at undersøge evt. miljøpåvirkninger ved anlægsarbejdet, er der udtaget prøver i kabelkorridoren til analyse for indhold af miljøfarlige stoffer i sedimentet, der kan risikere at blive spredt i Øresund under anlægsarbejdet. Nærværende notat, beskriver indhold af miljøfarlige stoffer i sediment i kabelkorridoren samt risiko for spredning til omkringliggende miljø, ved hjælp af spredningsberegning.</w:t>
      </w:r>
    </w:p>
    <w:p w14:paraId="082E9B6F" w14:textId="62A139E9" w:rsidR="22B2FD84" w:rsidRDefault="22B2FD84" w:rsidP="22B2FD84">
      <w:pPr>
        <w:rPr>
          <w:sz w:val="22"/>
          <w:szCs w:val="22"/>
        </w:rPr>
      </w:pPr>
      <w:r w:rsidRPr="22B2FD84">
        <w:rPr>
          <w:sz w:val="22"/>
          <w:szCs w:val="22"/>
        </w:rPr>
        <w:t>Nærværende notat er en Middelgrundsfondens opdatering af tidligere notat udarbejdet og fremsendt af NIRAS maj 2017</w:t>
      </w:r>
    </w:p>
    <w:p w14:paraId="672A6659" w14:textId="77777777" w:rsidR="00AD6323" w:rsidRDefault="00AD6323" w:rsidP="00AD6323"/>
    <w:p w14:paraId="660F6D9A" w14:textId="77777777" w:rsidR="00AD6323" w:rsidRPr="00FA71AF" w:rsidRDefault="00AD6323" w:rsidP="00AD6323">
      <w:pPr>
        <w:pStyle w:val="Overskrift2"/>
      </w:pPr>
      <w:r>
        <w:t>Prøvetagning og analyse</w:t>
      </w:r>
    </w:p>
    <w:p w14:paraId="7D7D5E86" w14:textId="7EAAA320" w:rsidR="00AD6323" w:rsidRPr="00B04A14" w:rsidRDefault="00AD6323" w:rsidP="22B2FD84">
      <w:pPr>
        <w:tabs>
          <w:tab w:val="left" w:pos="3864"/>
        </w:tabs>
        <w:rPr>
          <w:sz w:val="22"/>
          <w:szCs w:val="22"/>
        </w:rPr>
      </w:pPr>
      <w:r w:rsidRPr="00B04A14">
        <w:rPr>
          <w:sz w:val="22"/>
          <w:szCs w:val="22"/>
        </w:rPr>
        <w:t xml:space="preserve">Prøvetagningen er en kombination af sedimentprøver udtaget i 2017  samt sedimentprøver udtaget i 2010 i forbindelse med udvidelsen af Københavns Nordhavn. </w:t>
      </w:r>
    </w:p>
    <w:p w14:paraId="233A9875" w14:textId="61CDD24C" w:rsidR="00AD6323" w:rsidRDefault="00AD6323" w:rsidP="22B2FD84">
      <w:pPr>
        <w:tabs>
          <w:tab w:val="left" w:pos="3864"/>
        </w:tabs>
        <w:rPr>
          <w:sz w:val="22"/>
          <w:szCs w:val="22"/>
        </w:rPr>
      </w:pPr>
      <w:r w:rsidRPr="00B04A14">
        <w:rPr>
          <w:sz w:val="22"/>
          <w:szCs w:val="22"/>
        </w:rPr>
        <w:t xml:space="preserve">I januar 2017, er der prøvetaget sediment i 0-0,30 m’s dybde. Prøverne er udtaget som blandeprøver og hver prøve består af 5 nedstik, der er udtaget, blandet og derefter overført til prøveemballage. Prøvetagningspunkter kan ses af </w:t>
      </w:r>
      <w:r w:rsidRPr="52E599C5">
        <w:fldChar w:fldCharType="begin"/>
      </w:r>
      <w:r w:rsidRPr="00B04A14">
        <w:rPr>
          <w:sz w:val="22"/>
          <w:szCs w:val="22"/>
        </w:rPr>
        <w:instrText xml:space="preserve"> REF _Ref476648121 \h  \* MERGEFORMAT </w:instrText>
      </w:r>
      <w:r w:rsidRPr="52E599C5">
        <w:rPr>
          <w:sz w:val="22"/>
          <w:szCs w:val="22"/>
        </w:rPr>
        <w:fldChar w:fldCharType="separate"/>
      </w:r>
      <w:r w:rsidRPr="00B04A14">
        <w:rPr>
          <w:sz w:val="22"/>
          <w:szCs w:val="22"/>
        </w:rPr>
        <w:t xml:space="preserve">Figur </w:t>
      </w:r>
      <w:r w:rsidRPr="00B04A14">
        <w:rPr>
          <w:noProof/>
          <w:sz w:val="22"/>
          <w:szCs w:val="22"/>
        </w:rPr>
        <w:t>1</w:t>
      </w:r>
      <w:r w:rsidRPr="52E599C5">
        <w:fldChar w:fldCharType="end"/>
      </w:r>
      <w:r w:rsidRPr="00B04A14">
        <w:rPr>
          <w:sz w:val="22"/>
          <w:szCs w:val="22"/>
        </w:rPr>
        <w:t xml:space="preserve">. der blev i alt udtaget 6 sedimentprøver med relevans til dette tracé. Efter prøvetagning blev prøverne kørt direkte til analyse hos ALS laboratoriet, hvor der blev analyseret for polyaromatiske hydrocarboner (PAH’er, 9 forskellige), polychlorerede biphenoler (PCB, 7 forskellige), metaller og TBT-cation. I forbindelse med prøvetagningen, blev sedimentet visuelt bedømt og indholdet af organisk materiale (glødetab) er bestemt ved analyse. Organisk materiale er væsentlig at inddrage da områder med fint materiale og højt organisk indhold oftest indeholder de højeste koncentrationer af miljøfarlige stoffer, idet de miljøfarlige stoffer i høj grad bindes til meget finkornede fraktioner af ler, silt og organisk materiale. Den visuelle beskrivelse af prøverne, har medført en antagelse om, at sammensætningen af sedimentet i kabelkorridoren er som beskrevet i tabel 1. denne sammensætning er baggrund for beregningen af sedimentspredning. </w:t>
      </w:r>
    </w:p>
    <w:p w14:paraId="6983EFC9" w14:textId="77777777" w:rsidR="00FE25D3" w:rsidRPr="00B04A14" w:rsidRDefault="00FE25D3" w:rsidP="22B2FD84">
      <w:pPr>
        <w:tabs>
          <w:tab w:val="left" w:pos="3864"/>
        </w:tabs>
        <w:rPr>
          <w:sz w:val="22"/>
          <w:szCs w:val="22"/>
        </w:rPr>
      </w:pPr>
    </w:p>
    <w:p w14:paraId="70E67FBD" w14:textId="511F9F21" w:rsidR="52E599C5" w:rsidRDefault="22B2FD84" w:rsidP="22B2FD84">
      <w:pPr>
        <w:rPr>
          <w:sz w:val="22"/>
          <w:szCs w:val="22"/>
        </w:rPr>
      </w:pPr>
      <w:r w:rsidRPr="22B2FD84">
        <w:rPr>
          <w:sz w:val="22"/>
          <w:szCs w:val="22"/>
        </w:rPr>
        <w:t>Prøverne fra 2010 er udtaget af Naturfocus og analyseret på Milana laboratoriet</w:t>
      </w:r>
    </w:p>
    <w:bookmarkEnd w:id="0"/>
    <w:p w14:paraId="0592F453" w14:textId="77777777" w:rsidR="00FE25D3" w:rsidRDefault="00FE25D3" w:rsidP="22B2FD84">
      <w:pPr>
        <w:rPr>
          <w:sz w:val="22"/>
          <w:szCs w:val="22"/>
        </w:rPr>
      </w:pPr>
    </w:p>
    <w:p w14:paraId="4CFF41BE" w14:textId="77777777" w:rsidR="00AD6323" w:rsidRDefault="00AD6323" w:rsidP="00AD6323">
      <w:pPr>
        <w:pStyle w:val="Billedtekst"/>
        <w:keepNext/>
      </w:pPr>
      <w:bookmarkStart w:id="4" w:name="_Hlk518467346"/>
      <w:r>
        <w:lastRenderedPageBreak/>
        <w:t xml:space="preserve">Tabel </w:t>
      </w:r>
      <w:fldSimple w:instr=" SEQ Tabel \* ARABIC ">
        <w:r>
          <w:rPr>
            <w:noProof/>
          </w:rPr>
          <w:t>1</w:t>
        </w:r>
      </w:fldSimple>
      <w:r>
        <w:t>. Sammensætning af sediment i kabelkorridoren, ud fra en visuel vurdering.</w:t>
      </w:r>
    </w:p>
    <w:tbl>
      <w:tblPr>
        <w:tblStyle w:val="Tabel-Gitter"/>
        <w:tblW w:w="0" w:type="auto"/>
        <w:tblLook w:val="04A0" w:firstRow="1" w:lastRow="0" w:firstColumn="1" w:lastColumn="0" w:noHBand="0" w:noVBand="1"/>
      </w:tblPr>
      <w:tblGrid>
        <w:gridCol w:w="4493"/>
        <w:gridCol w:w="4426"/>
      </w:tblGrid>
      <w:tr w:rsidR="00AD6323" w14:paraId="37165587" w14:textId="77777777" w:rsidTr="00AD6323">
        <w:tc>
          <w:tcPr>
            <w:tcW w:w="6788" w:type="dxa"/>
          </w:tcPr>
          <w:p w14:paraId="08876061" w14:textId="77777777" w:rsidR="00AD6323" w:rsidRDefault="00AD6323" w:rsidP="00AD6323">
            <w:pPr>
              <w:tabs>
                <w:tab w:val="left" w:pos="3864"/>
              </w:tabs>
            </w:pPr>
            <w:r>
              <w:t>sedimenttype</w:t>
            </w:r>
          </w:p>
        </w:tc>
        <w:tc>
          <w:tcPr>
            <w:tcW w:w="6788" w:type="dxa"/>
          </w:tcPr>
          <w:p w14:paraId="738E4A12" w14:textId="77777777" w:rsidR="00AD6323" w:rsidRDefault="00AD6323" w:rsidP="00AD6323">
            <w:pPr>
              <w:tabs>
                <w:tab w:val="left" w:pos="3864"/>
              </w:tabs>
            </w:pPr>
            <w:r>
              <w:t>%-vise andel</w:t>
            </w:r>
          </w:p>
        </w:tc>
      </w:tr>
      <w:tr w:rsidR="00AD6323" w14:paraId="784F1D28" w14:textId="77777777" w:rsidTr="00AD6323">
        <w:tc>
          <w:tcPr>
            <w:tcW w:w="6788" w:type="dxa"/>
          </w:tcPr>
          <w:p w14:paraId="66390C45" w14:textId="77777777" w:rsidR="00AD6323" w:rsidRDefault="00AD6323" w:rsidP="00AD6323">
            <w:pPr>
              <w:tabs>
                <w:tab w:val="left" w:pos="3864"/>
              </w:tabs>
            </w:pPr>
            <w:r>
              <w:t>Ler</w:t>
            </w:r>
          </w:p>
        </w:tc>
        <w:tc>
          <w:tcPr>
            <w:tcW w:w="6788" w:type="dxa"/>
          </w:tcPr>
          <w:p w14:paraId="5D369756" w14:textId="77777777" w:rsidR="00AD6323" w:rsidRDefault="00AD6323" w:rsidP="00AD6323">
            <w:pPr>
              <w:tabs>
                <w:tab w:val="left" w:pos="3864"/>
              </w:tabs>
            </w:pPr>
            <w:r>
              <w:t>10</w:t>
            </w:r>
          </w:p>
        </w:tc>
      </w:tr>
      <w:tr w:rsidR="00AD6323" w14:paraId="6E9B2540" w14:textId="77777777" w:rsidTr="00AD6323">
        <w:tc>
          <w:tcPr>
            <w:tcW w:w="6788" w:type="dxa"/>
          </w:tcPr>
          <w:p w14:paraId="179098D1" w14:textId="77777777" w:rsidR="00AD6323" w:rsidRDefault="00AD6323" w:rsidP="00AD6323">
            <w:pPr>
              <w:tabs>
                <w:tab w:val="left" w:pos="3864"/>
              </w:tabs>
            </w:pPr>
            <w:r>
              <w:t>Silt</w:t>
            </w:r>
          </w:p>
        </w:tc>
        <w:tc>
          <w:tcPr>
            <w:tcW w:w="6788" w:type="dxa"/>
          </w:tcPr>
          <w:p w14:paraId="219897CE" w14:textId="77777777" w:rsidR="00AD6323" w:rsidRDefault="00AD6323" w:rsidP="00AD6323">
            <w:pPr>
              <w:tabs>
                <w:tab w:val="left" w:pos="3864"/>
              </w:tabs>
            </w:pPr>
            <w:r>
              <w:t>30</w:t>
            </w:r>
          </w:p>
        </w:tc>
      </w:tr>
      <w:tr w:rsidR="00AD6323" w14:paraId="5A1A77F0" w14:textId="77777777" w:rsidTr="00AD6323">
        <w:tc>
          <w:tcPr>
            <w:tcW w:w="6788" w:type="dxa"/>
          </w:tcPr>
          <w:p w14:paraId="51C6008D" w14:textId="77777777" w:rsidR="00AD6323" w:rsidRDefault="00AD6323" w:rsidP="00AD6323">
            <w:pPr>
              <w:tabs>
                <w:tab w:val="left" w:pos="3864"/>
              </w:tabs>
            </w:pPr>
            <w:r>
              <w:t>Finsand</w:t>
            </w:r>
          </w:p>
        </w:tc>
        <w:tc>
          <w:tcPr>
            <w:tcW w:w="6788" w:type="dxa"/>
          </w:tcPr>
          <w:p w14:paraId="5007C906" w14:textId="77777777" w:rsidR="00AD6323" w:rsidRDefault="00AD6323" w:rsidP="00AD6323">
            <w:pPr>
              <w:tabs>
                <w:tab w:val="left" w:pos="3864"/>
              </w:tabs>
            </w:pPr>
            <w:r>
              <w:t>20</w:t>
            </w:r>
          </w:p>
        </w:tc>
      </w:tr>
      <w:tr w:rsidR="00AD6323" w14:paraId="6DA32AA8" w14:textId="77777777" w:rsidTr="00AD6323">
        <w:tc>
          <w:tcPr>
            <w:tcW w:w="6788" w:type="dxa"/>
          </w:tcPr>
          <w:p w14:paraId="49FE2C48" w14:textId="77777777" w:rsidR="00AD6323" w:rsidRDefault="00AD6323" w:rsidP="00AD6323">
            <w:pPr>
              <w:tabs>
                <w:tab w:val="left" w:pos="3864"/>
              </w:tabs>
            </w:pPr>
            <w:r>
              <w:t>Sand, grus og småsten</w:t>
            </w:r>
          </w:p>
        </w:tc>
        <w:tc>
          <w:tcPr>
            <w:tcW w:w="6788" w:type="dxa"/>
          </w:tcPr>
          <w:p w14:paraId="704A35C2" w14:textId="77777777" w:rsidR="00AD6323" w:rsidRDefault="00AD6323" w:rsidP="00AD6323">
            <w:pPr>
              <w:tabs>
                <w:tab w:val="left" w:pos="3864"/>
              </w:tabs>
            </w:pPr>
            <w:r>
              <w:t>40</w:t>
            </w:r>
          </w:p>
        </w:tc>
      </w:tr>
    </w:tbl>
    <w:p w14:paraId="1131704F" w14:textId="77777777" w:rsidR="00B6233A" w:rsidRDefault="00B6233A" w:rsidP="00AD6323">
      <w:pPr>
        <w:tabs>
          <w:tab w:val="left" w:pos="3864"/>
        </w:tabs>
      </w:pPr>
    </w:p>
    <w:p w14:paraId="1935AD19" w14:textId="25D2D17F" w:rsidR="52E599C5" w:rsidRDefault="52E599C5" w:rsidP="52E599C5">
      <w:r>
        <w:rPr>
          <w:noProof/>
        </w:rPr>
        <w:drawing>
          <wp:inline distT="0" distB="0" distL="0" distR="0" wp14:anchorId="29224FE2" wp14:editId="2735A1D7">
            <wp:extent cx="4514850" cy="3457575"/>
            <wp:effectExtent l="0" t="0" r="0" b="0"/>
            <wp:docPr id="17587696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4514850" cy="3457575"/>
                    </a:xfrm>
                    <a:prstGeom prst="rect">
                      <a:avLst/>
                    </a:prstGeom>
                  </pic:spPr>
                </pic:pic>
              </a:graphicData>
            </a:graphic>
          </wp:inline>
        </w:drawing>
      </w:r>
    </w:p>
    <w:p w14:paraId="1772F7FE" w14:textId="277FB860" w:rsidR="00AD6323" w:rsidRPr="00DD0CC7" w:rsidRDefault="00AD6323" w:rsidP="52E599C5">
      <w:pPr>
        <w:pStyle w:val="Billedtekst"/>
        <w:rPr>
          <w:b/>
          <w:sz w:val="16"/>
          <w:szCs w:val="16"/>
        </w:rPr>
      </w:pPr>
      <w:bookmarkStart w:id="5" w:name="_Ref476648121"/>
      <w:r w:rsidRPr="00DD0CC7">
        <w:rPr>
          <w:sz w:val="16"/>
          <w:szCs w:val="16"/>
        </w:rPr>
        <w:t xml:space="preserve">Figur </w:t>
      </w:r>
      <w:r w:rsidRPr="52E599C5">
        <w:fldChar w:fldCharType="begin"/>
      </w:r>
      <w:r w:rsidRPr="00DD0CC7">
        <w:rPr>
          <w:sz w:val="16"/>
          <w:szCs w:val="16"/>
        </w:rPr>
        <w:instrText xml:space="preserve"> SEQ Figur \* ARABIC </w:instrText>
      </w:r>
      <w:r w:rsidRPr="52E599C5">
        <w:rPr>
          <w:b/>
          <w:sz w:val="16"/>
          <w:szCs w:val="16"/>
        </w:rPr>
        <w:fldChar w:fldCharType="separate"/>
      </w:r>
      <w:r w:rsidRPr="00DD0CC7">
        <w:rPr>
          <w:noProof/>
          <w:sz w:val="16"/>
          <w:szCs w:val="16"/>
        </w:rPr>
        <w:t>1</w:t>
      </w:r>
      <w:r w:rsidRPr="52E599C5">
        <w:fldChar w:fldCharType="end"/>
      </w:r>
      <w:bookmarkEnd w:id="5"/>
      <w:r w:rsidRPr="00DD0CC7">
        <w:rPr>
          <w:sz w:val="16"/>
          <w:szCs w:val="16"/>
        </w:rPr>
        <w:t>. Den planlagte kabelkorridor samt prøvetagningspunkter (M0-M11 samt S9 og S10), hvor der er analyseret for miljøfarlige stoffer.</w:t>
      </w:r>
    </w:p>
    <w:p w14:paraId="7347A824" w14:textId="6FAD059E" w:rsidR="00AD6323" w:rsidRDefault="00AD6323" w:rsidP="00AD6323">
      <w:pPr>
        <w:pStyle w:val="Overskrift2"/>
      </w:pPr>
      <w:r>
        <w:t>Miljøfarlige stoffer i sediment i kabelkorridoren</w:t>
      </w:r>
    </w:p>
    <w:p w14:paraId="41FB6C70" w14:textId="43DD3A25" w:rsidR="00FE25D3" w:rsidRDefault="00AD6323" w:rsidP="22B2FD84">
      <w:pPr>
        <w:rPr>
          <w:sz w:val="22"/>
          <w:szCs w:val="22"/>
        </w:rPr>
      </w:pPr>
      <w:r w:rsidRPr="00B04A14">
        <w:rPr>
          <w:sz w:val="22"/>
          <w:szCs w:val="22"/>
        </w:rPr>
        <w:t>Indholdet af</w:t>
      </w:r>
      <w:r w:rsidR="009D2CA1">
        <w:rPr>
          <w:sz w:val="22"/>
          <w:szCs w:val="22"/>
        </w:rPr>
        <w:tab/>
      </w:r>
      <w:r w:rsidRPr="00B04A14">
        <w:rPr>
          <w:sz w:val="22"/>
          <w:szCs w:val="22"/>
        </w:rPr>
        <w:t xml:space="preserve"> miljøfarlige stoffer ses i </w:t>
      </w:r>
      <w:r w:rsidRPr="22B2FD84">
        <w:fldChar w:fldCharType="begin"/>
      </w:r>
      <w:r w:rsidRPr="00B04A14">
        <w:rPr>
          <w:sz w:val="22"/>
          <w:szCs w:val="22"/>
        </w:rPr>
        <w:instrText xml:space="preserve"> REF _Ref476648016 \h  \* MERGEFORMAT </w:instrText>
      </w:r>
      <w:r w:rsidRPr="22B2FD84">
        <w:rPr>
          <w:sz w:val="22"/>
          <w:szCs w:val="22"/>
        </w:rPr>
        <w:fldChar w:fldCharType="separate"/>
      </w:r>
      <w:r w:rsidRPr="00B04A14">
        <w:rPr>
          <w:sz w:val="22"/>
          <w:szCs w:val="22"/>
        </w:rPr>
        <w:t xml:space="preserve">Tabel </w:t>
      </w:r>
      <w:r w:rsidRPr="00B04A14">
        <w:rPr>
          <w:noProof/>
          <w:sz w:val="22"/>
          <w:szCs w:val="22"/>
        </w:rPr>
        <w:t>2</w:t>
      </w:r>
      <w:r w:rsidRPr="22B2FD84">
        <w:fldChar w:fldCharType="end"/>
      </w:r>
      <w:r w:rsidRPr="00B04A14">
        <w:rPr>
          <w:sz w:val="22"/>
          <w:szCs w:val="22"/>
        </w:rPr>
        <w:t>, herunder indhold af tungmetaller, PAH. PCB og TBT. For indholdet af miljøfarlige stoffer gælder, at de laveste koncen</w:t>
      </w:r>
      <w:r w:rsidR="00FE25D3">
        <w:rPr>
          <w:sz w:val="22"/>
          <w:szCs w:val="22"/>
        </w:rPr>
        <w:t>o</w:t>
      </w:r>
      <w:r w:rsidRPr="00B04A14">
        <w:rPr>
          <w:sz w:val="22"/>
          <w:szCs w:val="22"/>
        </w:rPr>
        <w:t xml:space="preserve">trationer findes på station M2-M5 </w:t>
      </w:r>
      <w:r w:rsidR="00FE25D3">
        <w:rPr>
          <w:sz w:val="22"/>
          <w:szCs w:val="22"/>
        </w:rPr>
        <w:t>o</w:t>
      </w:r>
      <w:r w:rsidRPr="00B04A14">
        <w:rPr>
          <w:sz w:val="22"/>
          <w:szCs w:val="22"/>
        </w:rPr>
        <w:t xml:space="preserve">g M11 for samtlige stoffer </w:t>
      </w:r>
    </w:p>
    <w:bookmarkEnd w:id="4"/>
    <w:p w14:paraId="67F18C82" w14:textId="657BCB0B" w:rsidR="00AD6323" w:rsidRDefault="00FE25D3" w:rsidP="22B2FD84">
      <w:pPr>
        <w:rPr>
          <w:sz w:val="22"/>
          <w:szCs w:val="22"/>
        </w:rPr>
      </w:pPr>
      <w:r>
        <w:rPr>
          <w:noProof/>
          <w:sz w:val="22"/>
          <w:szCs w:val="22"/>
        </w:rPr>
        <w:lastRenderedPageBreak/>
        <w:drawing>
          <wp:inline distT="0" distB="0" distL="0" distR="0" wp14:anchorId="08C97323" wp14:editId="0AFAE4A7">
            <wp:extent cx="4859020" cy="473075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9020" cy="4730750"/>
                    </a:xfrm>
                    <a:prstGeom prst="rect">
                      <a:avLst/>
                    </a:prstGeom>
                    <a:noFill/>
                  </pic:spPr>
                </pic:pic>
              </a:graphicData>
            </a:graphic>
          </wp:inline>
        </w:drawing>
      </w:r>
    </w:p>
    <w:p w14:paraId="09D9741C" w14:textId="77777777" w:rsidR="00FE25D3" w:rsidRPr="00B04A14" w:rsidRDefault="00FE25D3" w:rsidP="22B2FD84">
      <w:pPr>
        <w:rPr>
          <w:sz w:val="22"/>
          <w:szCs w:val="22"/>
        </w:rPr>
      </w:pPr>
    </w:p>
    <w:p w14:paraId="5DAB6C7B" w14:textId="77777777" w:rsidR="00AD6323" w:rsidRDefault="00AD6323" w:rsidP="00AD6323"/>
    <w:p w14:paraId="4723E195" w14:textId="6D3EBAE0" w:rsidR="00FE25D3" w:rsidRDefault="00FE25D3" w:rsidP="00AD6323">
      <w:pPr>
        <w:pStyle w:val="Billedtekst"/>
        <w:keepNext/>
        <w:rPr>
          <w:sz w:val="16"/>
          <w:szCs w:val="16"/>
        </w:rPr>
      </w:pPr>
      <w:bookmarkStart w:id="6" w:name="_Ref476648016"/>
    </w:p>
    <w:p w14:paraId="4691F7A1" w14:textId="77777777" w:rsidR="00FE25D3" w:rsidRDefault="00FE25D3" w:rsidP="00AD6323">
      <w:pPr>
        <w:pStyle w:val="Billedtekst"/>
        <w:keepNext/>
        <w:rPr>
          <w:sz w:val="16"/>
          <w:szCs w:val="16"/>
        </w:rPr>
      </w:pPr>
    </w:p>
    <w:p w14:paraId="39D67723" w14:textId="475A2863" w:rsidR="00AD6323" w:rsidRDefault="00AD6323" w:rsidP="00AD6323">
      <w:pPr>
        <w:pStyle w:val="Billedtekst"/>
        <w:keepNext/>
        <w:rPr>
          <w:sz w:val="16"/>
          <w:szCs w:val="16"/>
        </w:rPr>
      </w:pPr>
      <w:r w:rsidRPr="00DD0CC7">
        <w:rPr>
          <w:sz w:val="16"/>
          <w:szCs w:val="16"/>
        </w:rPr>
        <w:t xml:space="preserve">Tabel </w:t>
      </w:r>
      <w:r w:rsidRPr="00DD0CC7">
        <w:rPr>
          <w:b/>
          <w:sz w:val="16"/>
          <w:szCs w:val="16"/>
        </w:rPr>
        <w:fldChar w:fldCharType="begin"/>
      </w:r>
      <w:r w:rsidRPr="00DD0CC7">
        <w:rPr>
          <w:sz w:val="16"/>
          <w:szCs w:val="16"/>
        </w:rPr>
        <w:instrText xml:space="preserve"> SEQ Tabel \* ARABIC </w:instrText>
      </w:r>
      <w:r w:rsidRPr="00DD0CC7">
        <w:rPr>
          <w:b/>
          <w:sz w:val="16"/>
          <w:szCs w:val="16"/>
        </w:rPr>
        <w:fldChar w:fldCharType="separate"/>
      </w:r>
      <w:r>
        <w:rPr>
          <w:b/>
          <w:noProof/>
          <w:sz w:val="16"/>
          <w:szCs w:val="16"/>
        </w:rPr>
        <w:t>2</w:t>
      </w:r>
      <w:r w:rsidRPr="00DD0CC7">
        <w:rPr>
          <w:b/>
          <w:sz w:val="16"/>
          <w:szCs w:val="16"/>
        </w:rPr>
        <w:fldChar w:fldCharType="end"/>
      </w:r>
      <w:bookmarkEnd w:id="6"/>
      <w:r w:rsidRPr="00DD0CC7">
        <w:rPr>
          <w:sz w:val="16"/>
          <w:szCs w:val="16"/>
        </w:rPr>
        <w:t>. Koncentrat</w:t>
      </w:r>
      <w:r>
        <w:rPr>
          <w:sz w:val="16"/>
          <w:szCs w:val="16"/>
        </w:rPr>
        <w:t>i</w:t>
      </w:r>
      <w:r w:rsidRPr="00DD0CC7">
        <w:rPr>
          <w:sz w:val="16"/>
          <w:szCs w:val="16"/>
        </w:rPr>
        <w:t>oner</w:t>
      </w:r>
      <w:r w:rsidR="00FE25D3">
        <w:rPr>
          <w:sz w:val="16"/>
          <w:szCs w:val="16"/>
        </w:rPr>
        <w:t xml:space="preserve"> af miljøfarlige stoffer i de 6 analyserede prøver </w:t>
      </w:r>
      <w:r w:rsidRPr="00DD0CC7">
        <w:rPr>
          <w:sz w:val="16"/>
          <w:szCs w:val="16"/>
        </w:rPr>
        <w:t>. PAH</w:t>
      </w:r>
      <w:r w:rsidRPr="00DD0CC7">
        <w:rPr>
          <w:sz w:val="16"/>
          <w:szCs w:val="16"/>
          <w:vertAlign w:val="superscript"/>
        </w:rPr>
        <w:t>1</w:t>
      </w:r>
      <w:r w:rsidRPr="00DD0CC7">
        <w:rPr>
          <w:sz w:val="16"/>
          <w:szCs w:val="16"/>
        </w:rPr>
        <w:t xml:space="preserve"> indeholder analyse af 9 forskellige PAH stoffer (phenanthren, anthracen, fluoranthen, pyren, benz[a]anthracen, chrysen, benz[a]pyren, indeno[1,2,3-cd]pyren og benz[ghi]perylen), PCB</w:t>
      </w:r>
      <w:r w:rsidRPr="00DD0CC7">
        <w:rPr>
          <w:sz w:val="16"/>
          <w:szCs w:val="16"/>
          <w:vertAlign w:val="superscript"/>
        </w:rPr>
        <w:t>2</w:t>
      </w:r>
      <w:r w:rsidRPr="00DD0CC7">
        <w:rPr>
          <w:sz w:val="16"/>
          <w:szCs w:val="16"/>
        </w:rPr>
        <w:t xml:space="preserve"> indeholder analyse af 7 PCB congener (28, 52, 101, 118, 138, 153 og 180). </w:t>
      </w:r>
      <w:r>
        <w:rPr>
          <w:sz w:val="16"/>
          <w:szCs w:val="16"/>
        </w:rPr>
        <w:t xml:space="preserve">Koncentrationer der overskrider nedre aktionsniveau er markeret med </w:t>
      </w:r>
      <w:r w:rsidRPr="00014874">
        <w:rPr>
          <w:b/>
          <w:sz w:val="16"/>
          <w:szCs w:val="16"/>
        </w:rPr>
        <w:t>fed</w:t>
      </w:r>
      <w:r>
        <w:rPr>
          <w:sz w:val="16"/>
          <w:szCs w:val="16"/>
        </w:rPr>
        <w:t>.</w:t>
      </w:r>
    </w:p>
    <w:p w14:paraId="4BE51115" w14:textId="68CC2B24" w:rsidR="52E599C5" w:rsidRDefault="52E599C5" w:rsidP="52E599C5">
      <w:pPr>
        <w:spacing w:line="240" w:lineRule="auto"/>
        <w:sectPr w:rsidR="52E599C5" w:rsidSect="00FE25D3">
          <w:headerReference w:type="default" r:id="rId14"/>
          <w:pgSz w:w="11906" w:h="16838" w:code="9"/>
          <w:pgMar w:top="2268" w:right="1134" w:bottom="2268" w:left="1843" w:header="0" w:footer="0" w:gutter="0"/>
          <w:cols w:space="708"/>
          <w:docGrid w:linePitch="360"/>
        </w:sectPr>
      </w:pPr>
      <w:r>
        <w:br w:type="page"/>
      </w:r>
    </w:p>
    <w:p w14:paraId="5043CB0F" w14:textId="77777777" w:rsidR="00AD6323" w:rsidRDefault="00AD6323" w:rsidP="00AD6323"/>
    <w:p w14:paraId="7D77F814" w14:textId="77777777" w:rsidR="00AD6323" w:rsidRDefault="00AD6323" w:rsidP="00AD6323">
      <w:pPr>
        <w:pStyle w:val="Overskrift2"/>
      </w:pPr>
      <w:r w:rsidRPr="0007264A">
        <w:t>Sammenligning med relevante grænseværdier</w:t>
      </w:r>
    </w:p>
    <w:p w14:paraId="2B66252D" w14:textId="77777777" w:rsidR="00AD6323" w:rsidRDefault="00AD6323" w:rsidP="22B2FD84">
      <w:pPr>
        <w:pStyle w:val="BodyText1"/>
        <w:rPr>
          <w:rFonts w:asciiTheme="minorHAnsi" w:eastAsiaTheme="minorEastAsia" w:hAnsiTheme="minorHAnsi" w:cstheme="minorBidi"/>
          <w:sz w:val="22"/>
        </w:rPr>
      </w:pPr>
      <w:r w:rsidRPr="22B2FD84">
        <w:rPr>
          <w:rFonts w:asciiTheme="minorHAnsi" w:eastAsiaTheme="minorEastAsia" w:hAnsiTheme="minorHAnsi" w:cstheme="minorBidi"/>
          <w:sz w:val="22"/>
        </w:rPr>
        <w:t>Ganske få miljøfarlige stoffer, er reguleret af miljøkvalitetskrav i sediment</w:t>
      </w:r>
      <w:r w:rsidR="009A0D78" w:rsidRPr="22B2FD84">
        <w:rPr>
          <w:rFonts w:asciiTheme="minorHAnsi" w:eastAsiaTheme="minorEastAsia" w:hAnsiTheme="minorHAnsi" w:cstheme="minorBidi"/>
          <w:sz w:val="22"/>
        </w:rPr>
        <w:t xml:space="preserve"> </w:t>
      </w:r>
      <w:sdt>
        <w:sdtPr>
          <w:rPr>
            <w:rFonts w:asciiTheme="minorHAnsi" w:hAnsiTheme="minorHAnsi"/>
            <w:sz w:val="22"/>
          </w:rPr>
          <w:id w:val="6021404"/>
          <w:citation/>
        </w:sdtPr>
        <w:sdtEndPr/>
        <w:sdtContent>
          <w:r w:rsidR="009A0D78">
            <w:rPr>
              <w:rFonts w:asciiTheme="minorHAnsi" w:hAnsiTheme="minorHAnsi"/>
              <w:sz w:val="22"/>
            </w:rPr>
            <w:fldChar w:fldCharType="begin"/>
          </w:r>
          <w:r w:rsidR="009A0D78">
            <w:rPr>
              <w:rFonts w:asciiTheme="minorHAnsi" w:hAnsiTheme="minorHAnsi"/>
              <w:sz w:val="22"/>
            </w:rPr>
            <w:instrText xml:space="preserve"> CITATION Mil151 \l 1030 </w:instrText>
          </w:r>
          <w:r w:rsidR="009A0D78">
            <w:rPr>
              <w:rFonts w:asciiTheme="minorHAnsi" w:hAnsiTheme="minorHAnsi"/>
              <w:sz w:val="22"/>
            </w:rPr>
            <w:fldChar w:fldCharType="separate"/>
          </w:r>
          <w:r w:rsidR="009A0D78" w:rsidRPr="00B04A14">
            <w:rPr>
              <w:rFonts w:asciiTheme="minorHAnsi" w:hAnsiTheme="minorHAnsi"/>
              <w:noProof/>
              <w:sz w:val="22"/>
            </w:rPr>
            <w:t>(Miljø- og Fødevareministeriet, 2016)</w:t>
          </w:r>
          <w:r w:rsidR="009A0D78">
            <w:rPr>
              <w:rFonts w:asciiTheme="minorHAnsi" w:hAnsiTheme="minorHAnsi"/>
              <w:sz w:val="22"/>
            </w:rPr>
            <w:fldChar w:fldCharType="end"/>
          </w:r>
        </w:sdtContent>
      </w:sdt>
      <w:r w:rsidRPr="22B2FD84">
        <w:rPr>
          <w:rFonts w:asciiTheme="minorHAnsi" w:eastAsiaTheme="minorEastAsia" w:hAnsiTheme="minorHAnsi" w:cstheme="minorBidi"/>
          <w:sz w:val="22"/>
        </w:rPr>
        <w:t>. De  miljøfarlige stoffer</w:t>
      </w:r>
      <w:r w:rsidR="00F765BC" w:rsidRPr="22B2FD84">
        <w:rPr>
          <w:rFonts w:asciiTheme="minorHAnsi" w:eastAsiaTheme="minorEastAsia" w:hAnsiTheme="minorHAnsi" w:cstheme="minorBidi"/>
          <w:sz w:val="22"/>
        </w:rPr>
        <w:t xml:space="preserve"> der er reguleret af miljøkvalitetskrav og dermed også indgår i vandområdeplaner</w:t>
      </w:r>
      <w:r w:rsidRPr="22B2FD84">
        <w:rPr>
          <w:rFonts w:asciiTheme="minorHAnsi" w:eastAsiaTheme="minorEastAsia" w:hAnsiTheme="minorHAnsi" w:cstheme="minorBidi"/>
          <w:sz w:val="22"/>
        </w:rPr>
        <w:t xml:space="preserve"> er ikke relevante i relation til det nærværende marine sediment</w:t>
      </w:r>
      <w:r w:rsidR="00F765BC" w:rsidRPr="22B2FD84">
        <w:rPr>
          <w:rFonts w:asciiTheme="minorHAnsi" w:eastAsiaTheme="minorEastAsia" w:hAnsiTheme="minorHAnsi" w:cstheme="minorBidi"/>
          <w:sz w:val="22"/>
        </w:rPr>
        <w:t>, da det ikke er de gængse miljøfarlige stoffer, der findes miljøkvalitetskrav i sediment for</w:t>
      </w:r>
      <w:r w:rsidRPr="22B2FD84">
        <w:rPr>
          <w:rFonts w:asciiTheme="minorHAnsi" w:eastAsiaTheme="minorEastAsia" w:hAnsiTheme="minorHAnsi" w:cstheme="minorBidi"/>
          <w:sz w:val="22"/>
        </w:rPr>
        <w:t xml:space="preserve">. Derimod findes klapvejledningen, som definerer et nedre og øvre aktionsniveau for koncentrationer af miljøfarlige stoffer i sedimenter, som ønskes klappet </w:t>
      </w:r>
      <w:sdt>
        <w:sdtPr>
          <w:rPr>
            <w:rFonts w:asciiTheme="minorHAnsi" w:hAnsiTheme="minorHAnsi"/>
            <w:sz w:val="22"/>
          </w:rPr>
          <w:id w:val="1958599859"/>
          <w:citation/>
        </w:sdtPr>
        <w:sdtEndPr/>
        <w:sdtContent>
          <w:r w:rsidRPr="0007264A">
            <w:rPr>
              <w:rFonts w:asciiTheme="minorHAnsi" w:hAnsiTheme="minorHAnsi"/>
              <w:sz w:val="22"/>
            </w:rPr>
            <w:fldChar w:fldCharType="begin"/>
          </w:r>
          <w:r w:rsidRPr="0007264A">
            <w:rPr>
              <w:rFonts w:asciiTheme="minorHAnsi" w:hAnsiTheme="minorHAnsi"/>
              <w:sz w:val="22"/>
            </w:rPr>
            <w:instrText xml:space="preserve"> CITATION Mil08 \l 1030 </w:instrText>
          </w:r>
          <w:r w:rsidRPr="0007264A">
            <w:rPr>
              <w:rFonts w:asciiTheme="minorHAnsi" w:hAnsiTheme="minorHAnsi"/>
              <w:sz w:val="22"/>
            </w:rPr>
            <w:fldChar w:fldCharType="separate"/>
          </w:r>
          <w:r w:rsidRPr="0007264A">
            <w:rPr>
              <w:rFonts w:asciiTheme="minorHAnsi" w:hAnsiTheme="minorHAnsi"/>
              <w:noProof/>
              <w:sz w:val="22"/>
            </w:rPr>
            <w:t>(VEJ nr. 9702 af 20/10/2008, 2008)</w:t>
          </w:r>
          <w:r w:rsidRPr="0007264A">
            <w:rPr>
              <w:rFonts w:asciiTheme="minorHAnsi" w:hAnsiTheme="minorHAnsi"/>
              <w:sz w:val="22"/>
            </w:rPr>
            <w:fldChar w:fldCharType="end"/>
          </w:r>
        </w:sdtContent>
      </w:sdt>
      <w:r w:rsidRPr="22B2FD84">
        <w:rPr>
          <w:rFonts w:asciiTheme="minorHAnsi" w:eastAsiaTheme="minorEastAsia" w:hAnsiTheme="minorHAnsi" w:cstheme="minorBidi"/>
          <w:sz w:val="22"/>
        </w:rPr>
        <w:t xml:space="preserve">. Det nedre aktionsniveau er defineret som det niveau, der svarer til et gennemsnitligt baggrundsniveau eller til ubetydelige koncentrationer, hvor der ikke forventes effekter. </w:t>
      </w:r>
    </w:p>
    <w:p w14:paraId="79D91FCB" w14:textId="77777777" w:rsidR="00AD6323" w:rsidRPr="0007264A" w:rsidRDefault="00AD6323" w:rsidP="00AD6323">
      <w:pPr>
        <w:pStyle w:val="BodyText1"/>
        <w:rPr>
          <w:rFonts w:asciiTheme="minorHAnsi" w:hAnsiTheme="minorHAnsi"/>
          <w:sz w:val="22"/>
        </w:rPr>
      </w:pPr>
      <w:r w:rsidRPr="0007264A">
        <w:rPr>
          <w:rFonts w:asciiTheme="minorHAnsi" w:hAnsiTheme="minorHAnsi"/>
          <w:sz w:val="22"/>
        </w:rPr>
        <w:t>Når indholdet af miljøfarlige stoffer i havbundsmaterialet ligger under det nedre aktionsniveau, kan det altid klappes. Det øvre aktionsniveau angiver det niveau, hvor der kunne være begyndende effekter. Sediment, der ligger mellem det nedre og øvre niveau, kan som udgangspunkt klappes på normal vis på eksisterende klappladser, men der skal foretages en nærmere vurdering af materialet.</w:t>
      </w:r>
    </w:p>
    <w:p w14:paraId="5653BA41" w14:textId="45D3F626" w:rsidR="00AD6323" w:rsidRDefault="00AD6323" w:rsidP="22B2FD84">
      <w:pPr>
        <w:pStyle w:val="BodyText1"/>
        <w:rPr>
          <w:rFonts w:asciiTheme="minorHAnsi" w:eastAsiaTheme="minorEastAsia" w:hAnsiTheme="minorHAnsi" w:cstheme="minorBidi"/>
          <w:sz w:val="22"/>
          <w:lang w:eastAsia="da-DK"/>
        </w:rPr>
      </w:pPr>
      <w:r w:rsidRPr="22B2FD84">
        <w:rPr>
          <w:rFonts w:asciiTheme="minorHAnsi" w:eastAsiaTheme="minorEastAsia" w:hAnsiTheme="minorHAnsi" w:cstheme="minorBidi"/>
          <w:sz w:val="22"/>
        </w:rPr>
        <w:t xml:space="preserve">Det ses af </w:t>
      </w:r>
      <w:r w:rsidRPr="22B2FD84">
        <w:fldChar w:fldCharType="begin"/>
      </w:r>
      <w:r w:rsidRPr="00DD0CC7">
        <w:rPr>
          <w:rFonts w:asciiTheme="minorHAnsi" w:hAnsiTheme="minorHAnsi"/>
          <w:sz w:val="22"/>
        </w:rPr>
        <w:instrText xml:space="preserve"> REF _Ref476648016 \h  \* MERGEFORMAT </w:instrText>
      </w:r>
      <w:r w:rsidRPr="22B2FD84">
        <w:rPr>
          <w:rFonts w:asciiTheme="minorHAnsi" w:hAnsiTheme="minorHAnsi"/>
          <w:sz w:val="22"/>
        </w:rPr>
        <w:fldChar w:fldCharType="separate"/>
      </w:r>
      <w:r w:rsidRPr="22B2FD84">
        <w:rPr>
          <w:rFonts w:asciiTheme="minorHAnsi" w:eastAsiaTheme="minorEastAsia" w:hAnsiTheme="minorHAnsi" w:cstheme="minorBidi"/>
          <w:sz w:val="22"/>
        </w:rPr>
        <w:t xml:space="preserve">Tabel </w:t>
      </w:r>
      <w:r w:rsidRPr="22B2FD84">
        <w:rPr>
          <w:rFonts w:asciiTheme="minorHAnsi" w:eastAsiaTheme="minorEastAsia" w:hAnsiTheme="minorHAnsi" w:cstheme="minorBidi"/>
          <w:noProof/>
          <w:sz w:val="22"/>
        </w:rPr>
        <w:t>1</w:t>
      </w:r>
      <w:r w:rsidRPr="22B2FD84">
        <w:fldChar w:fldCharType="end"/>
      </w:r>
      <w:r w:rsidRPr="22B2FD84">
        <w:rPr>
          <w:rFonts w:asciiTheme="minorHAnsi" w:eastAsiaTheme="minorEastAsia" w:hAnsiTheme="minorHAnsi" w:cstheme="minorBidi"/>
          <w:sz w:val="22"/>
        </w:rPr>
        <w:t>, at koncentrationerne af størstedelen af de miljøfarlige stoffer i sedimenterne fra prøverne</w:t>
      </w:r>
      <w:r w:rsidRPr="22B2FD84">
        <w:rPr>
          <w:rFonts w:asciiTheme="minorHAnsi" w:eastAsiaTheme="minorEastAsia" w:hAnsiTheme="minorHAnsi" w:cstheme="minorBidi"/>
          <w:sz w:val="22"/>
          <w:lang w:eastAsia="da-DK"/>
        </w:rPr>
        <w:t xml:space="preserve"> ligger under det nedre aktionsniveau. Kun enkelte værdier for Cadmium kviksølv og er på niveau med og lige over det nedre aktionsniveau. Prøverne, hvor koncentrationen af miljøfarlige stoffer overstiger nedre aktionsniveau er S9 og S10 (nær Nordhavnsopfyldningen). Der er ikke fundet koncentrationer af miljøfarlige stoffer, i nogen af prøverne der overstiger øvre aktionsniveau. </w:t>
      </w:r>
    </w:p>
    <w:p w14:paraId="105B5FB4" w14:textId="06AF122B" w:rsidR="00AD6323" w:rsidRDefault="00F765BC" w:rsidP="22B2FD84">
      <w:pPr>
        <w:pStyle w:val="BodyText1"/>
        <w:rPr>
          <w:rFonts w:asciiTheme="minorHAnsi" w:eastAsiaTheme="minorEastAsia" w:hAnsiTheme="minorHAnsi" w:cstheme="minorBidi"/>
          <w:sz w:val="22"/>
        </w:rPr>
      </w:pPr>
      <w:r w:rsidRPr="22B2FD84">
        <w:rPr>
          <w:rFonts w:asciiTheme="minorHAnsi" w:eastAsiaTheme="minorEastAsia" w:hAnsiTheme="minorHAnsi" w:cstheme="minorBidi"/>
          <w:sz w:val="22"/>
          <w:lang w:eastAsia="da-DK"/>
        </w:rPr>
        <w:t xml:space="preserve">Til vurdering af, om de fundne koncentrationer i Øresund kan medføre biologiske effekter, anvendes </w:t>
      </w:r>
      <w:r w:rsidR="00AD6323" w:rsidRPr="22B2FD84">
        <w:rPr>
          <w:rFonts w:asciiTheme="minorHAnsi" w:eastAsiaTheme="minorEastAsia" w:hAnsiTheme="minorHAnsi" w:cstheme="minorBidi"/>
          <w:sz w:val="22"/>
        </w:rPr>
        <w:t>OSPAR’s tærskelværdier for sediment. OSPAR (OSLO Paris Kommissionen) opererer med to forskellige tærskelværdier, som den målte koncentration kan sammenlignes med. T</w:t>
      </w:r>
      <w:r w:rsidR="00AD6323" w:rsidRPr="22B2FD84">
        <w:rPr>
          <w:rFonts w:asciiTheme="minorHAnsi" w:eastAsiaTheme="minorEastAsia" w:hAnsiTheme="minorHAnsi" w:cstheme="minorBidi"/>
          <w:sz w:val="22"/>
          <w:vertAlign w:val="subscript"/>
        </w:rPr>
        <w:t>1</w:t>
      </w:r>
      <w:r w:rsidR="00AD6323" w:rsidRPr="22B2FD84">
        <w:rPr>
          <w:rFonts w:asciiTheme="minorHAnsi" w:eastAsiaTheme="minorEastAsia" w:hAnsiTheme="minorHAnsi" w:cstheme="minorBidi"/>
          <w:sz w:val="22"/>
        </w:rPr>
        <w:t xml:space="preserve"> er den koncentration i sedimentet, hvor der forventes ingen eller meget begrænsede biologiske effekter, mens T</w:t>
      </w:r>
      <w:r w:rsidR="00AD6323" w:rsidRPr="22B2FD84">
        <w:rPr>
          <w:rFonts w:asciiTheme="minorHAnsi" w:eastAsiaTheme="minorEastAsia" w:hAnsiTheme="minorHAnsi" w:cstheme="minorBidi"/>
          <w:sz w:val="22"/>
          <w:vertAlign w:val="subscript"/>
        </w:rPr>
        <w:t>0</w:t>
      </w:r>
      <w:r w:rsidR="00AD6323" w:rsidRPr="22B2FD84">
        <w:rPr>
          <w:rFonts w:asciiTheme="minorHAnsi" w:eastAsiaTheme="minorEastAsia" w:hAnsiTheme="minorHAnsi" w:cstheme="minorBidi"/>
          <w:sz w:val="22"/>
        </w:rPr>
        <w:t xml:space="preserve"> er den naturlige baggrundskoncentration, som for menneskeskabte stoffer vil være nul </w:t>
      </w:r>
      <w:sdt>
        <w:sdtPr>
          <w:rPr>
            <w:rFonts w:asciiTheme="minorHAnsi" w:hAnsiTheme="minorHAnsi"/>
            <w:sz w:val="22"/>
          </w:rPr>
          <w:id w:val="-1382705636"/>
          <w:citation/>
        </w:sdtPr>
        <w:sdtEndPr/>
        <w:sdtContent>
          <w:r w:rsidR="00AD6323" w:rsidRPr="00CA6AC7">
            <w:rPr>
              <w:rFonts w:asciiTheme="minorHAnsi" w:hAnsiTheme="minorHAnsi"/>
              <w:sz w:val="22"/>
            </w:rPr>
            <w:fldChar w:fldCharType="begin"/>
          </w:r>
          <w:r w:rsidR="00AD6323" w:rsidRPr="00CA6AC7">
            <w:rPr>
              <w:rFonts w:asciiTheme="minorHAnsi" w:hAnsiTheme="minorHAnsi"/>
              <w:sz w:val="22"/>
            </w:rPr>
            <w:instrText xml:space="preserve"> CITATION OSP \l 1030 </w:instrText>
          </w:r>
          <w:r w:rsidR="00AD6323" w:rsidRPr="00CA6AC7">
            <w:rPr>
              <w:rFonts w:asciiTheme="minorHAnsi" w:hAnsiTheme="minorHAnsi"/>
              <w:sz w:val="22"/>
            </w:rPr>
            <w:fldChar w:fldCharType="separate"/>
          </w:r>
          <w:r w:rsidR="00AD6323" w:rsidRPr="00CA6AC7">
            <w:rPr>
              <w:rFonts w:asciiTheme="minorHAnsi" w:hAnsiTheme="minorHAnsi"/>
              <w:noProof/>
              <w:sz w:val="22"/>
            </w:rPr>
            <w:t>(OSPAR Commission, 2014)</w:t>
          </w:r>
          <w:r w:rsidR="00AD6323" w:rsidRPr="00CA6AC7">
            <w:rPr>
              <w:rFonts w:asciiTheme="minorHAnsi" w:hAnsiTheme="minorHAnsi"/>
              <w:sz w:val="22"/>
            </w:rPr>
            <w:fldChar w:fldCharType="end"/>
          </w:r>
        </w:sdtContent>
      </w:sdt>
      <w:r w:rsidR="00AD6323" w:rsidRPr="22B2FD84">
        <w:rPr>
          <w:rFonts w:asciiTheme="minorHAnsi" w:eastAsiaTheme="minorEastAsia" w:hAnsiTheme="minorHAnsi" w:cstheme="minorBidi"/>
          <w:sz w:val="22"/>
        </w:rPr>
        <w:t>. Ved sammenligning med OSPARs tærskelværdier, er der lilloverskridelse af T</w:t>
      </w:r>
      <w:r w:rsidR="00AD6323" w:rsidRPr="22B2FD84">
        <w:rPr>
          <w:rFonts w:asciiTheme="minorHAnsi" w:eastAsiaTheme="minorEastAsia" w:hAnsiTheme="minorHAnsi" w:cstheme="minorBidi"/>
          <w:sz w:val="22"/>
          <w:vertAlign w:val="subscript"/>
        </w:rPr>
        <w:t>1</w:t>
      </w:r>
      <w:r w:rsidR="00AD6323" w:rsidRPr="22B2FD84">
        <w:rPr>
          <w:rFonts w:asciiTheme="minorHAnsi" w:eastAsiaTheme="minorEastAsia" w:hAnsiTheme="minorHAnsi" w:cstheme="minorBidi"/>
          <w:sz w:val="22"/>
        </w:rPr>
        <w:t xml:space="preserve"> for stoffet Kobber i prøven M11. </w:t>
      </w:r>
    </w:p>
    <w:p w14:paraId="7F61E398" w14:textId="77777777" w:rsidR="00AD6323" w:rsidRPr="00AD6323" w:rsidRDefault="00AD6323" w:rsidP="00AD6323">
      <w:pPr>
        <w:pStyle w:val="Overskrift2"/>
      </w:pPr>
      <w:r w:rsidRPr="00AD6323">
        <w:lastRenderedPageBreak/>
        <w:t>Spredning af sediment</w:t>
      </w:r>
    </w:p>
    <w:p w14:paraId="3ACCC5F6" w14:textId="5F5C779C" w:rsidR="00130CFC" w:rsidRDefault="22B2FD84" w:rsidP="22B2FD84">
      <w:pPr>
        <w:pStyle w:val="BodyText1"/>
        <w:rPr>
          <w:rFonts w:asciiTheme="minorHAnsi" w:eastAsiaTheme="minorEastAsia" w:hAnsiTheme="minorHAnsi" w:cstheme="minorBidi"/>
          <w:sz w:val="22"/>
        </w:rPr>
      </w:pPr>
      <w:r w:rsidRPr="22B2FD84">
        <w:rPr>
          <w:rFonts w:asciiTheme="minorHAnsi" w:eastAsiaTheme="minorEastAsia" w:hAnsiTheme="minorHAnsi" w:cstheme="minorBidi"/>
          <w:sz w:val="22"/>
        </w:rPr>
        <w:t>Kablerne nedspules 1-2 m. i sedimentet geofysiske undersøgelser har vist at dette er muligt over hele strækningen, i Havne basinnet lægges kabelbundtet på havbunden og fastholdes med cementsække for hver 3 m. Spredningen af sediment som følge af selve kablernes og stenenes nedlægning vil begrænset ved den valgte metode. Som grundlag for beregninger af en ’worst case’ er der i det følgende beregnet på sedimentspredning ved nedspuling. Det forudsættes,  at nedlægning af kablerne vil blive foretaget ved nedspuling, som generelt bevirker et lavere spild end nedgravning.</w:t>
      </w:r>
    </w:p>
    <w:p w14:paraId="032D136B" w14:textId="6C922516" w:rsidR="00AD6323" w:rsidRPr="00572A34" w:rsidRDefault="22B2FD84" w:rsidP="22B2FD84">
      <w:pPr>
        <w:pStyle w:val="BodyText1"/>
        <w:rPr>
          <w:rFonts w:asciiTheme="minorHAnsi" w:eastAsiaTheme="minorEastAsia" w:hAnsiTheme="minorHAnsi" w:cstheme="minorBidi"/>
          <w:sz w:val="22"/>
        </w:rPr>
      </w:pPr>
      <w:r w:rsidRPr="22B2FD84">
        <w:rPr>
          <w:rFonts w:asciiTheme="minorHAnsi" w:eastAsiaTheme="minorEastAsia" w:hAnsiTheme="minorHAnsi" w:cstheme="minorBidi"/>
          <w:sz w:val="22"/>
        </w:rPr>
        <w:t xml:space="preserve">Under etablering af et søkabelanlæg i havbunden vil der lokalt, grundet spulearbejdet, ske en opslæmning af bundsediment, som efterfølgende spredes med strømmen for igen at bundfældes. Denne sedimentspredning kan potentielt medføre en række afledte miljøpåvirkninger i de omkringliggende områder. Sedimentspild kan påvirke de marinbiologiske forhold i bred forstand som eksempel kan nævnes bundflora og –fauna, fisk havpattedyr, som potentielt påvirkes direkte eller indirekte som følge af sedimentspild. </w:t>
      </w:r>
    </w:p>
    <w:p w14:paraId="0F5C666D" w14:textId="1C36164F" w:rsidR="00AD6323" w:rsidRPr="00572A34" w:rsidRDefault="22B2FD84" w:rsidP="22B2FD84">
      <w:pPr>
        <w:pStyle w:val="BodyText1"/>
        <w:rPr>
          <w:rFonts w:asciiTheme="minorHAnsi" w:eastAsiaTheme="minorEastAsia" w:hAnsiTheme="minorHAnsi" w:cstheme="minorBidi"/>
          <w:sz w:val="22"/>
        </w:rPr>
      </w:pPr>
      <w:r w:rsidRPr="22B2FD84">
        <w:rPr>
          <w:rFonts w:asciiTheme="minorHAnsi" w:eastAsiaTheme="minorEastAsia" w:hAnsiTheme="minorHAnsi" w:cstheme="minorBidi"/>
          <w:sz w:val="22"/>
        </w:rPr>
        <w:t xml:space="preserve">Sedimentspredningens omfang ved nedspuling i havbunden afhænger af en række faktorer som volumen, nedlægningshastighed, metode, havbundens karakter, sedimentets kornstørrelse samt vanddybde, strøm, bølger og turbulens. I det meste af projektområdet består bunden af en blanding af ler, silt, finsand, sand/grus og små sten jf. tabel 1. </w:t>
      </w:r>
    </w:p>
    <w:p w14:paraId="2CF9888C" w14:textId="77777777" w:rsidR="00AD6323" w:rsidRPr="00572A34" w:rsidRDefault="00AD6323" w:rsidP="00AD6323">
      <w:pPr>
        <w:pStyle w:val="BodyText1"/>
        <w:rPr>
          <w:rFonts w:asciiTheme="minorHAnsi" w:hAnsiTheme="minorHAnsi" w:cstheme="minorBidi"/>
          <w:sz w:val="22"/>
        </w:rPr>
      </w:pPr>
      <w:r w:rsidRPr="00572A34">
        <w:rPr>
          <w:rFonts w:asciiTheme="minorHAnsi" w:hAnsiTheme="minorHAnsi"/>
          <w:sz w:val="22"/>
        </w:rPr>
        <w:t>I forbindelse med anlægsarbejdets gennemførelse vil der ske en opslæmning af bundsedimentet. De fine fraktioner, dvs. (ler og silt), som har en lav faldhastighed spredes mest,  mens de grovere som finsand, sand og grus (70%) med høje faldhastigheder bundfældes tæt på nedspulingsstedet.</w:t>
      </w:r>
      <w:r w:rsidRPr="00572A34">
        <w:rPr>
          <w:rFonts w:asciiTheme="minorHAnsi" w:hAnsiTheme="minorHAnsi" w:cstheme="minorBidi"/>
          <w:sz w:val="22"/>
        </w:rPr>
        <w:t xml:space="preserve"> </w:t>
      </w:r>
    </w:p>
    <w:p w14:paraId="3795638E" w14:textId="5A6085C3" w:rsidR="00AD6323" w:rsidRDefault="00F13EF5" w:rsidP="22B2FD84">
      <w:pPr>
        <w:pStyle w:val="BodyText1"/>
        <w:rPr>
          <w:rFonts w:asciiTheme="minorHAnsi" w:eastAsiaTheme="minorEastAsia" w:hAnsiTheme="minorHAnsi" w:cstheme="minorBidi"/>
          <w:sz w:val="22"/>
        </w:rPr>
      </w:pPr>
      <w:r w:rsidRPr="22B2FD84">
        <w:rPr>
          <w:rFonts w:asciiTheme="minorHAnsi" w:eastAsiaTheme="minorEastAsia" w:hAnsiTheme="minorHAnsi" w:cstheme="minorBidi"/>
          <w:sz w:val="22"/>
        </w:rPr>
        <w:t>D</w:t>
      </w:r>
      <w:r w:rsidR="00AD6323" w:rsidRPr="22B2FD84">
        <w:rPr>
          <w:rFonts w:asciiTheme="minorHAnsi" w:eastAsiaTheme="minorEastAsia" w:hAnsiTheme="minorHAnsi" w:cstheme="minorBidi"/>
          <w:sz w:val="22"/>
        </w:rPr>
        <w:t xml:space="preserve">en samlede nedspulingslængde er på 1862 m og </w:t>
      </w:r>
      <w:r w:rsidR="00DD12E9" w:rsidRPr="22B2FD84">
        <w:rPr>
          <w:rFonts w:asciiTheme="minorHAnsi" w:eastAsiaTheme="minorEastAsia" w:hAnsiTheme="minorHAnsi" w:cstheme="minorBidi"/>
          <w:sz w:val="22"/>
        </w:rPr>
        <w:t xml:space="preserve">forudsættes, at vil </w:t>
      </w:r>
      <w:r w:rsidR="00AD6323" w:rsidRPr="22B2FD84">
        <w:rPr>
          <w:rFonts w:asciiTheme="minorHAnsi" w:eastAsiaTheme="minorEastAsia" w:hAnsiTheme="minorHAnsi" w:cstheme="minorBidi"/>
          <w:sz w:val="22"/>
        </w:rPr>
        <w:t>ske med et skær på 0,1 meters bredde til en dybde af 1 m og i løbet af 3 døgn. Med en insitu massefylde på 1.500 kg/m</w:t>
      </w:r>
      <w:r w:rsidR="00AD6323" w:rsidRPr="22B2FD84">
        <w:rPr>
          <w:rFonts w:asciiTheme="minorHAnsi" w:eastAsiaTheme="minorEastAsia" w:hAnsiTheme="minorHAnsi" w:cstheme="minorBidi"/>
          <w:sz w:val="22"/>
          <w:vertAlign w:val="superscript"/>
        </w:rPr>
        <w:t>3</w:t>
      </w:r>
      <w:r w:rsidR="00AD6323" w:rsidRPr="22B2FD84">
        <w:rPr>
          <w:rFonts w:asciiTheme="minorHAnsi" w:eastAsiaTheme="minorEastAsia" w:hAnsiTheme="minorHAnsi" w:cstheme="minorBidi"/>
          <w:sz w:val="22"/>
        </w:rPr>
        <w:t xml:space="preserve"> vil spulingen aktivere en sedimentmængde på 2,4 kg/s. </w:t>
      </w:r>
      <w:r w:rsidR="009A0D78" w:rsidRPr="22B2FD84">
        <w:rPr>
          <w:rFonts w:asciiTheme="minorHAnsi" w:eastAsiaTheme="minorEastAsia" w:hAnsiTheme="minorHAnsi" w:cstheme="minorBidi"/>
          <w:sz w:val="22"/>
        </w:rPr>
        <w:t xml:space="preserve">Baseret på erfaring fra andre lignende projekter, </w:t>
      </w:r>
      <w:r w:rsidR="00DD12E9" w:rsidRPr="22B2FD84">
        <w:rPr>
          <w:rFonts w:asciiTheme="minorHAnsi" w:eastAsiaTheme="minorEastAsia" w:hAnsiTheme="minorHAnsi" w:cstheme="minorBidi"/>
          <w:sz w:val="22"/>
        </w:rPr>
        <w:t xml:space="preserve">forudsættes </w:t>
      </w:r>
      <w:r w:rsidR="00AD6323" w:rsidRPr="22B2FD84">
        <w:rPr>
          <w:rFonts w:asciiTheme="minorHAnsi" w:eastAsiaTheme="minorEastAsia" w:hAnsiTheme="minorHAnsi" w:cstheme="minorBidi"/>
          <w:sz w:val="22"/>
        </w:rPr>
        <w:t>at 5 % af denne aktiverede mængde bundmateriale slæmmes op i vandsøjlen over nedspulingsstedet vil det give anledning til et spild på ca. 100 g/s og en sediment</w:t>
      </w:r>
      <w:r w:rsidR="00AD6323" w:rsidRPr="22B2FD84">
        <w:rPr>
          <w:rFonts w:asciiTheme="minorHAnsi" w:eastAsiaTheme="minorEastAsia" w:hAnsiTheme="minorHAnsi" w:cstheme="minorBidi"/>
          <w:sz w:val="22"/>
        </w:rPr>
        <w:lastRenderedPageBreak/>
        <w:t>koncentration på 4-800 mg/l afhængig af den aktuelle strømhastighed, der vurderes at variere mellem 0,05 – 0,1 m/s. Sedimentskyen vil flytte sig med strømmen og opblandes med det omgivende vand, alt imens sedimentkornene falder til bunds, hvilket beregningsmæssigt reducerer sedimentkoncentrationen til ca. 20-40 mg/l ca. 400 m væk fra</w:t>
      </w:r>
      <w:r w:rsidR="00130CFC" w:rsidRPr="22B2FD84">
        <w:rPr>
          <w:rFonts w:asciiTheme="minorHAnsi" w:eastAsiaTheme="minorEastAsia" w:hAnsiTheme="minorHAnsi" w:cstheme="minorBidi"/>
          <w:sz w:val="22"/>
        </w:rPr>
        <w:t xml:space="preserve"> kabeltracéet</w:t>
      </w:r>
      <w:r w:rsidR="00AD6323" w:rsidRPr="22B2FD84">
        <w:rPr>
          <w:rFonts w:asciiTheme="minorHAnsi" w:eastAsiaTheme="minorEastAsia" w:hAnsiTheme="minorHAnsi" w:cstheme="minorBidi"/>
          <w:sz w:val="22"/>
        </w:rPr>
        <w:t>.</w:t>
      </w:r>
      <w:r w:rsidR="00130CFC" w:rsidRPr="22B2FD84">
        <w:rPr>
          <w:rFonts w:asciiTheme="minorHAnsi" w:eastAsiaTheme="minorEastAsia" w:hAnsiTheme="minorHAnsi" w:cstheme="minorBidi"/>
          <w:sz w:val="22"/>
        </w:rPr>
        <w:t xml:space="preserve"> Overslagsmæssige konservative beregninger af spredningen af spildet viser, at koncentrationerne af miljøfarlige stoffer</w:t>
      </w:r>
      <w:r w:rsidR="009A0D78" w:rsidRPr="22B2FD84">
        <w:rPr>
          <w:rFonts w:asciiTheme="minorHAnsi" w:eastAsiaTheme="minorEastAsia" w:hAnsiTheme="minorHAnsi" w:cstheme="minorBidi"/>
          <w:sz w:val="22"/>
        </w:rPr>
        <w:t xml:space="preserve"> i vandsøjlen</w:t>
      </w:r>
      <w:r w:rsidR="00130CFC" w:rsidRPr="22B2FD84">
        <w:rPr>
          <w:rFonts w:asciiTheme="minorHAnsi" w:eastAsiaTheme="minorEastAsia" w:hAnsiTheme="minorHAnsi" w:cstheme="minorBidi"/>
          <w:sz w:val="22"/>
        </w:rPr>
        <w:t xml:space="preserve"> vil være kortvarige og ligge under</w:t>
      </w:r>
      <w:r w:rsidR="009A0D78" w:rsidRPr="22B2FD84">
        <w:rPr>
          <w:rFonts w:asciiTheme="minorHAnsi" w:eastAsiaTheme="minorEastAsia" w:hAnsiTheme="minorHAnsi" w:cstheme="minorBidi"/>
          <w:sz w:val="22"/>
        </w:rPr>
        <w:t xml:space="preserve"> de fastsatte</w:t>
      </w:r>
      <w:r w:rsidR="00130CFC" w:rsidRPr="22B2FD84">
        <w:rPr>
          <w:rFonts w:asciiTheme="minorHAnsi" w:eastAsiaTheme="minorEastAsia" w:hAnsiTheme="minorHAnsi" w:cstheme="minorBidi"/>
          <w:sz w:val="22"/>
        </w:rPr>
        <w:t xml:space="preserve"> </w:t>
      </w:r>
      <w:r w:rsidR="009A0D78" w:rsidRPr="22B2FD84">
        <w:rPr>
          <w:rFonts w:asciiTheme="minorHAnsi" w:eastAsiaTheme="minorEastAsia" w:hAnsiTheme="minorHAnsi" w:cstheme="minorBidi"/>
          <w:sz w:val="22"/>
        </w:rPr>
        <w:t xml:space="preserve">miljøkvalitetskrav </w:t>
      </w:r>
      <w:sdt>
        <w:sdtPr>
          <w:rPr>
            <w:rFonts w:asciiTheme="minorHAnsi" w:hAnsiTheme="minorHAnsi"/>
            <w:sz w:val="22"/>
          </w:rPr>
          <w:id w:val="-1425185055"/>
          <w:citation/>
        </w:sdtPr>
        <w:sdtEndPr/>
        <w:sdtContent>
          <w:r w:rsidR="009A0D78">
            <w:rPr>
              <w:rFonts w:asciiTheme="minorHAnsi" w:hAnsiTheme="minorHAnsi"/>
              <w:sz w:val="22"/>
            </w:rPr>
            <w:fldChar w:fldCharType="begin"/>
          </w:r>
          <w:r w:rsidR="009A0D78">
            <w:rPr>
              <w:rFonts w:asciiTheme="minorHAnsi" w:hAnsiTheme="minorHAnsi"/>
              <w:sz w:val="22"/>
            </w:rPr>
            <w:instrText xml:space="preserve"> CITATION Mil151 \l 1030 </w:instrText>
          </w:r>
          <w:r w:rsidR="009A0D78">
            <w:rPr>
              <w:rFonts w:asciiTheme="minorHAnsi" w:hAnsiTheme="minorHAnsi"/>
              <w:sz w:val="22"/>
            </w:rPr>
            <w:fldChar w:fldCharType="separate"/>
          </w:r>
          <w:r w:rsidR="009A0D78" w:rsidRPr="00B04A14">
            <w:rPr>
              <w:rFonts w:asciiTheme="minorHAnsi" w:hAnsiTheme="minorHAnsi"/>
              <w:noProof/>
              <w:sz w:val="22"/>
            </w:rPr>
            <w:t>(Miljø- og Fødevareministeriet, 2016)</w:t>
          </w:r>
          <w:r w:rsidR="009A0D78">
            <w:rPr>
              <w:rFonts w:asciiTheme="minorHAnsi" w:hAnsiTheme="minorHAnsi"/>
              <w:sz w:val="22"/>
            </w:rPr>
            <w:fldChar w:fldCharType="end"/>
          </w:r>
        </w:sdtContent>
      </w:sdt>
      <w:r w:rsidR="00130CFC" w:rsidRPr="22B2FD84">
        <w:rPr>
          <w:rFonts w:asciiTheme="minorHAnsi" w:eastAsiaTheme="minorEastAsia" w:hAnsiTheme="minorHAnsi" w:cstheme="minorBidi"/>
          <w:sz w:val="22"/>
        </w:rPr>
        <w:t xml:space="preserve"> i afstande større end 400 m fra nedspulingen.</w:t>
      </w:r>
    </w:p>
    <w:p w14:paraId="4F94B616" w14:textId="45C5FE0C" w:rsidR="00130CFC" w:rsidRPr="00572A34" w:rsidRDefault="22B2FD84" w:rsidP="22B2FD84">
      <w:pPr>
        <w:pStyle w:val="BodyText1"/>
        <w:spacing w:after="0"/>
        <w:rPr>
          <w:rFonts w:asciiTheme="minorHAnsi" w:eastAsiaTheme="minorEastAsia" w:hAnsiTheme="minorHAnsi" w:cstheme="minorBidi"/>
          <w:sz w:val="22"/>
        </w:rPr>
      </w:pPr>
      <w:r w:rsidRPr="22B2FD84">
        <w:rPr>
          <w:rFonts w:asciiTheme="minorHAnsi" w:eastAsiaTheme="minorEastAsia" w:hAnsiTheme="minorHAnsi" w:cstheme="minorBidi"/>
          <w:sz w:val="22"/>
        </w:rPr>
        <w:t>Da sedimentet i kabelkorridoren hovedsageligt består af sand og indholdet af miljøfarlige stoffer i prøvestationerne i kabelkorridoren generelt er under det nedre aktionsniveau i klapvejledningen, og OSPAR’s tærskelværdier T1 , vurderes det, at ophvirvling af sediment til vandfasen ved nedspuling i anlægsfasen ikke vil medføre en øget påvirkning af bundfauna og -flora, da anlægsarbejdet er af kort varighed (maksimalt 2 uger) og hvis der sker spredning af sediment, vil sedimentet bundfælde sig tæt ved, hvor det hvirvles op og overvejende indenfor korridoren grundet sedimenttypen og strømningsforhold.</w:t>
      </w:r>
    </w:p>
    <w:p w14:paraId="07459315" w14:textId="77777777" w:rsidR="00AD6323" w:rsidRPr="00572A34" w:rsidRDefault="00AD6323" w:rsidP="00AD6323">
      <w:pPr>
        <w:pStyle w:val="BodyText1"/>
        <w:spacing w:after="0"/>
        <w:rPr>
          <w:rFonts w:asciiTheme="minorHAnsi" w:hAnsiTheme="minorHAnsi"/>
          <w:sz w:val="22"/>
        </w:rPr>
      </w:pPr>
    </w:p>
    <w:p w14:paraId="6E379B75" w14:textId="56A77330" w:rsidR="00AD6323" w:rsidRPr="00572A34" w:rsidRDefault="22B2FD84" w:rsidP="22B2FD84">
      <w:pPr>
        <w:pStyle w:val="BodyText1"/>
        <w:spacing w:after="0"/>
        <w:rPr>
          <w:rFonts w:asciiTheme="minorHAnsi" w:eastAsiaTheme="minorEastAsia" w:hAnsiTheme="minorHAnsi" w:cstheme="minorBidi"/>
          <w:sz w:val="22"/>
        </w:rPr>
      </w:pPr>
      <w:r w:rsidRPr="22B2FD84">
        <w:rPr>
          <w:rFonts w:asciiTheme="minorHAnsi" w:eastAsiaTheme="minorEastAsia" w:hAnsiTheme="minorHAnsi" w:cstheme="minorBidi"/>
          <w:sz w:val="22"/>
        </w:rPr>
        <w:t>Det vurderes at der ikke vil ske påvirkning af  områdets generelle vandkvalitet eller badevandskvaliteten i de nærmeste havnebade/strande. Projektet vil ikke påvirke muligheden for at opnå de fastsatte miljømål.</w:t>
      </w:r>
    </w:p>
    <w:p w14:paraId="6537F28F" w14:textId="77777777" w:rsidR="00AD6323" w:rsidRDefault="00AD6323" w:rsidP="00AD6323">
      <w:pPr>
        <w:pStyle w:val="Default"/>
        <w:spacing w:line="312" w:lineRule="auto"/>
      </w:pPr>
    </w:p>
    <w:p w14:paraId="6043CCF7" w14:textId="77777777" w:rsidR="00AD6323" w:rsidRPr="00DD0CC7" w:rsidRDefault="00AD6323" w:rsidP="00AD6323">
      <w:pPr>
        <w:pStyle w:val="Overskrift2"/>
      </w:pPr>
      <w:r w:rsidRPr="00DD0CC7">
        <w:t>Referencer</w:t>
      </w:r>
    </w:p>
    <w:p w14:paraId="04F53803" w14:textId="77777777" w:rsidR="00AD6323" w:rsidRPr="00DD0CC7" w:rsidRDefault="00AD6323" w:rsidP="00AD6323">
      <w:pPr>
        <w:pStyle w:val="Bibliografi"/>
        <w:ind w:left="720" w:hanging="720"/>
        <w:rPr>
          <w:noProof/>
          <w:lang w:val="en-US"/>
        </w:rPr>
      </w:pPr>
      <w:r>
        <w:fldChar w:fldCharType="begin"/>
      </w:r>
      <w:r>
        <w:instrText xml:space="preserve"> BIBLIOGRAPHY  \l 1030 </w:instrText>
      </w:r>
      <w:r>
        <w:fldChar w:fldCharType="separate"/>
      </w:r>
      <w:r>
        <w:rPr>
          <w:noProof/>
        </w:rPr>
        <w:t xml:space="preserve">Miljø- og Fødevareministeriet. (2016). </w:t>
      </w:r>
      <w:r>
        <w:rPr>
          <w:i/>
          <w:iCs/>
          <w:noProof/>
        </w:rPr>
        <w:t xml:space="preserve">Bekendtgørelse om fastlæggelse af miljømål for vandløb, søer, overgangsvande, kystvande og grundvand. </w:t>
      </w:r>
      <w:r w:rsidRPr="00DD0CC7">
        <w:rPr>
          <w:i/>
          <w:iCs/>
          <w:noProof/>
          <w:lang w:val="en-US"/>
        </w:rPr>
        <w:t>BEK nr 439 af 19/05/2016.</w:t>
      </w:r>
      <w:r w:rsidRPr="00DD0CC7">
        <w:rPr>
          <w:noProof/>
          <w:lang w:val="en-US"/>
        </w:rPr>
        <w:t xml:space="preserve"> </w:t>
      </w:r>
    </w:p>
    <w:p w14:paraId="06B5DDF0" w14:textId="77777777" w:rsidR="00AD6323" w:rsidRPr="00DD0CC7" w:rsidRDefault="00AD6323" w:rsidP="00AD6323">
      <w:pPr>
        <w:pStyle w:val="Bibliografi"/>
        <w:ind w:left="720" w:hanging="720"/>
        <w:rPr>
          <w:noProof/>
          <w:lang w:val="en-US"/>
        </w:rPr>
      </w:pPr>
      <w:r w:rsidRPr="00DD0CC7">
        <w:rPr>
          <w:noProof/>
          <w:lang w:val="en-US"/>
        </w:rPr>
        <w:t>OSPAR Commission. (2014). Levels and trends in marine contaminants and their biological effects - CEMP Assessment Report 2013.</w:t>
      </w:r>
    </w:p>
    <w:p w14:paraId="78741F82" w14:textId="77777777" w:rsidR="00D678CD" w:rsidRPr="003E2C77" w:rsidRDefault="00AD6323" w:rsidP="00014874">
      <w:pPr>
        <w:pStyle w:val="Bibliografi"/>
        <w:ind w:left="720" w:hanging="720"/>
      </w:pPr>
      <w:r>
        <w:rPr>
          <w:noProof/>
        </w:rPr>
        <w:t xml:space="preserve">VEJ nr. 9702 af 20/10/2008. (2008). </w:t>
      </w:r>
      <w:r>
        <w:rPr>
          <w:i/>
          <w:iCs/>
          <w:noProof/>
        </w:rPr>
        <w:t>Vejledning fra By- og Landskabsstyrelsen. Dumping af optaget havbundsmateriale - klapning.Miljøministeriet.</w:t>
      </w:r>
      <w:r>
        <w:rPr>
          <w:noProof/>
        </w:rPr>
        <w:t xml:space="preserve"> </w:t>
      </w:r>
      <w:r>
        <w:fldChar w:fldCharType="end"/>
      </w:r>
      <w:bookmarkEnd w:id="1"/>
    </w:p>
    <w:sectPr w:rsidR="00D678CD" w:rsidRPr="003E2C77" w:rsidSect="00814DF7">
      <w:headerReference w:type="default" r:id="rId15"/>
      <w:headerReference w:type="first" r:id="rId16"/>
      <w:pgSz w:w="11906" w:h="16838" w:code="9"/>
      <w:pgMar w:top="2268" w:right="1134" w:bottom="2268" w:left="3600" w:header="5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FC33E" w14:textId="77777777" w:rsidR="00993108" w:rsidRDefault="00993108">
      <w:r>
        <w:separator/>
      </w:r>
    </w:p>
  </w:endnote>
  <w:endnote w:type="continuationSeparator" w:id="0">
    <w:p w14:paraId="109717E3" w14:textId="77777777" w:rsidR="00993108" w:rsidRDefault="0099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03793" w14:textId="77777777" w:rsidR="00993108" w:rsidRDefault="00993108">
      <w:r>
        <w:separator/>
      </w:r>
    </w:p>
  </w:footnote>
  <w:footnote w:type="continuationSeparator" w:id="0">
    <w:p w14:paraId="0670FEC6" w14:textId="77777777" w:rsidR="00993108" w:rsidRDefault="00993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6FA7C" w14:textId="1A5EC2DB" w:rsidR="009D2CA1" w:rsidRDefault="009D2CA1">
    <w:pPr>
      <w:pStyle w:val="Sidehoved"/>
    </w:pPr>
    <w:r>
      <w:rPr>
        <w:noProof/>
        <w:sz w:val="10"/>
        <w:szCs w:val="10"/>
      </w:rPr>
      <w:drawing>
        <wp:anchor distT="0" distB="0" distL="114300" distR="114300" simplePos="0" relativeHeight="251675136" behindDoc="0" locked="0" layoutInCell="1" allowOverlap="1" wp14:anchorId="1F70ACD0" wp14:editId="4C5B693B">
          <wp:simplePos x="0" y="0"/>
          <wp:positionH relativeFrom="page">
            <wp:align>left</wp:align>
          </wp:positionH>
          <wp:positionV relativeFrom="paragraph">
            <wp:posOffset>84568</wp:posOffset>
          </wp:positionV>
          <wp:extent cx="7568271" cy="10705441"/>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brevpapir-01.png"/>
                  <pic:cNvPicPr/>
                </pic:nvPicPr>
                <pic:blipFill>
                  <a:blip r:embed="rId1">
                    <a:extLst>
                      <a:ext uri="{28A0092B-C50C-407E-A947-70E740481C1C}">
                        <a14:useLocalDpi xmlns:a14="http://schemas.microsoft.com/office/drawing/2010/main" val="0"/>
                      </a:ext>
                    </a:extLst>
                  </a:blip>
                  <a:stretch>
                    <a:fillRect/>
                  </a:stretch>
                </pic:blipFill>
                <pic:spPr>
                  <a:xfrm>
                    <a:off x="0" y="0"/>
                    <a:ext cx="7568271" cy="10705441"/>
                  </a:xfrm>
                  <a:prstGeom prst="rect">
                    <a:avLst/>
                  </a:prstGeom>
                </pic:spPr>
              </pic:pic>
            </a:graphicData>
          </a:graphic>
        </wp:anchor>
      </w:drawing>
    </w:r>
  </w:p>
  <w:p w14:paraId="0D3E25B6" w14:textId="77777777" w:rsidR="009D2CA1" w:rsidRDefault="009D2CA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DDDAF" w14:textId="3EEECF3C" w:rsidR="009A0D78" w:rsidRPr="009D2CA1" w:rsidRDefault="009D2CA1" w:rsidP="009D2CA1">
    <w:pPr>
      <w:pStyle w:val="Sidehoved"/>
    </w:pPr>
    <w:r>
      <w:rPr>
        <w:noProof/>
        <w:sz w:val="10"/>
        <w:szCs w:val="10"/>
      </w:rPr>
      <w:drawing>
        <wp:anchor distT="0" distB="0" distL="114300" distR="114300" simplePos="0" relativeHeight="251677184" behindDoc="0" locked="0" layoutInCell="1" allowOverlap="1" wp14:anchorId="6A911127" wp14:editId="5F32A3F9">
          <wp:simplePos x="0" y="0"/>
          <wp:positionH relativeFrom="page">
            <wp:align>left</wp:align>
          </wp:positionH>
          <wp:positionV relativeFrom="paragraph">
            <wp:posOffset>-63611</wp:posOffset>
          </wp:positionV>
          <wp:extent cx="7568271" cy="10705441"/>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brevpapir-01.png"/>
                  <pic:cNvPicPr/>
                </pic:nvPicPr>
                <pic:blipFill>
                  <a:blip r:embed="rId1">
                    <a:extLst>
                      <a:ext uri="{28A0092B-C50C-407E-A947-70E740481C1C}">
                        <a14:useLocalDpi xmlns:a14="http://schemas.microsoft.com/office/drawing/2010/main" val="0"/>
                      </a:ext>
                    </a:extLst>
                  </a:blip>
                  <a:stretch>
                    <a:fillRect/>
                  </a:stretch>
                </pic:blipFill>
                <pic:spPr>
                  <a:xfrm>
                    <a:off x="0" y="0"/>
                    <a:ext cx="7568271" cy="1070544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4DB25" w14:textId="77777777" w:rsidR="009A0D78" w:rsidRPr="005066DB" w:rsidRDefault="009A0D78" w:rsidP="002C386E">
    <w:pPr>
      <w:rPr>
        <w:szCs w:val="19"/>
      </w:rPr>
    </w:pPr>
    <w:r>
      <w:rPr>
        <w:noProof/>
        <w:szCs w:val="19"/>
      </w:rPr>
      <w:drawing>
        <wp:anchor distT="0" distB="0" distL="114300" distR="114300" simplePos="0" relativeHeight="251670016" behindDoc="0" locked="0" layoutInCell="1" allowOverlap="1" wp14:anchorId="11A8C93E" wp14:editId="133D0B18">
          <wp:simplePos x="0" y="0"/>
          <wp:positionH relativeFrom="page">
            <wp:posOffset>719455</wp:posOffset>
          </wp:positionH>
          <wp:positionV relativeFrom="page">
            <wp:posOffset>402590</wp:posOffset>
          </wp:positionV>
          <wp:extent cx="965515" cy="301013"/>
          <wp:effectExtent l="0" t="0" r="6350" b="3810"/>
          <wp:wrapNone/>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5515" cy="301013"/>
                  </a:xfrm>
                  <a:prstGeom prst="rect">
                    <a:avLst/>
                  </a:prstGeom>
                </pic:spPr>
              </pic:pic>
            </a:graphicData>
          </a:graphic>
          <wp14:sizeRelH relativeFrom="margin">
            <wp14:pctWidth>0</wp14:pctWidth>
          </wp14:sizeRelH>
          <wp14:sizeRelV relativeFrom="margin">
            <wp14:pctHeight>0</wp14:pctHeight>
          </wp14:sizeRelV>
        </wp:anchor>
      </w:drawing>
    </w:r>
  </w:p>
  <w:p w14:paraId="238601FE" w14:textId="77777777" w:rsidR="009A0D78" w:rsidRPr="005066DB" w:rsidRDefault="009A0D78" w:rsidP="002C386E">
    <w:pPr>
      <w:rPr>
        <w:szCs w:val="19"/>
      </w:rPr>
    </w:pPr>
  </w:p>
  <w:p w14:paraId="0F3CABC7" w14:textId="77777777" w:rsidR="009A0D78" w:rsidRPr="005066DB" w:rsidRDefault="009A0D78" w:rsidP="002C386E">
    <w:pPr>
      <w:rPr>
        <w:szCs w:val="19"/>
      </w:rPr>
    </w:pPr>
  </w:p>
  <w:p w14:paraId="5B08B5D1" w14:textId="77777777" w:rsidR="009A0D78" w:rsidRPr="005066DB" w:rsidRDefault="009A0D78" w:rsidP="002C386E">
    <w:pPr>
      <w:rPr>
        <w:szCs w:val="19"/>
      </w:rPr>
    </w:pPr>
  </w:p>
  <w:p w14:paraId="16DEB4AB" w14:textId="77777777" w:rsidR="009A0D78" w:rsidRPr="005066DB" w:rsidRDefault="009A0D78" w:rsidP="002C386E">
    <w:pPr>
      <w:rPr>
        <w:szCs w:val="19"/>
      </w:rPr>
    </w:pPr>
  </w:p>
  <w:p w14:paraId="0AD9C6F4" w14:textId="77777777" w:rsidR="009A0D78" w:rsidRDefault="009A0D78" w:rsidP="002C386E">
    <w:pPr>
      <w:rPr>
        <w:szCs w:val="19"/>
      </w:rPr>
    </w:pPr>
  </w:p>
  <w:p w14:paraId="4B1F511A" w14:textId="77777777" w:rsidR="009A0D78" w:rsidRPr="005066DB" w:rsidRDefault="009A0D78" w:rsidP="002C386E">
    <w:pPr>
      <w:rPr>
        <w:szCs w:val="19"/>
      </w:rPr>
    </w:pPr>
  </w:p>
  <w:p w14:paraId="65F9C3DC" w14:textId="77777777" w:rsidR="009A0D78" w:rsidRPr="005066DB" w:rsidRDefault="009A0D78" w:rsidP="002C386E">
    <w:pPr>
      <w:rPr>
        <w:szCs w:val="19"/>
      </w:rPr>
    </w:pPr>
  </w:p>
  <w:p w14:paraId="5023141B" w14:textId="77777777" w:rsidR="009A0D78" w:rsidRPr="005066DB" w:rsidRDefault="009A0D78" w:rsidP="002C386E">
    <w:pPr>
      <w:rPr>
        <w:szCs w:val="19"/>
      </w:rPr>
    </w:pPr>
  </w:p>
  <w:p w14:paraId="1F3B1409" w14:textId="77777777" w:rsidR="009A0D78" w:rsidRDefault="009A0D78" w:rsidP="002C386E">
    <w:pPr>
      <w:rPr>
        <w:szCs w:val="19"/>
      </w:rPr>
    </w:pPr>
  </w:p>
  <w:p w14:paraId="562C75D1" w14:textId="77777777" w:rsidR="009A0D78" w:rsidRPr="005066DB" w:rsidRDefault="009A0D78" w:rsidP="002C386E">
    <w:pPr>
      <w:rPr>
        <w:szCs w:val="19"/>
      </w:rPr>
    </w:pPr>
  </w:p>
  <w:p w14:paraId="664355AD" w14:textId="77777777" w:rsidR="009A0D78" w:rsidRDefault="009A0D78" w:rsidP="002C386E">
    <w:pPr>
      <w:rPr>
        <w:sz w:val="16"/>
        <w:szCs w:val="16"/>
      </w:rPr>
    </w:pPr>
  </w:p>
  <w:p w14:paraId="5EBF6D8C" w14:textId="77777777" w:rsidR="009A0D78" w:rsidRPr="00552473" w:rsidRDefault="009A0D78" w:rsidP="002C386E">
    <w:pPr>
      <w:rPr>
        <w:sz w:val="16"/>
        <w:szCs w:val="16"/>
      </w:rPr>
    </w:pPr>
    <w:r>
      <w:rPr>
        <w:noProof/>
        <w:sz w:val="16"/>
        <w:szCs w:val="16"/>
      </w:rPr>
      <mc:AlternateContent>
        <mc:Choice Requires="wps">
          <w:drawing>
            <wp:anchor distT="0" distB="0" distL="114300" distR="114300" simplePos="0" relativeHeight="251668992" behindDoc="1" locked="0" layoutInCell="1" allowOverlap="1" wp14:anchorId="27DF5AB5" wp14:editId="3EA79411">
              <wp:simplePos x="0" y="0"/>
              <wp:positionH relativeFrom="page">
                <wp:posOffset>720090</wp:posOffset>
              </wp:positionH>
              <wp:positionV relativeFrom="page">
                <wp:posOffset>3060700</wp:posOffset>
              </wp:positionV>
              <wp:extent cx="1421765" cy="1511935"/>
              <wp:effectExtent l="0" t="0" r="6985" b="1206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151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D55E4" w14:textId="77777777" w:rsidR="009A0D78" w:rsidRDefault="009A0D78" w:rsidP="00967A79">
                          <w:pPr>
                            <w:pStyle w:val="BottomlinetextBold"/>
                          </w:pPr>
                          <w:r>
                            <w:t>7. april 2017</w:t>
                          </w:r>
                        </w:p>
                        <w:p w14:paraId="1A965116" w14:textId="77777777" w:rsidR="009A0D78" w:rsidRDefault="009A0D78" w:rsidP="00967A79">
                          <w:pPr>
                            <w:pStyle w:val="Bottomlinetext"/>
                          </w:pPr>
                        </w:p>
                        <w:p w14:paraId="1E69EE92" w14:textId="77777777" w:rsidR="009A0D78" w:rsidRDefault="009A0D78" w:rsidP="00967A79">
                          <w:pPr>
                            <w:pStyle w:val="Bottomlinetext"/>
                          </w:pPr>
                          <w:r>
                            <w:t>Projekt nr. 225785</w:t>
                          </w:r>
                        </w:p>
                        <w:p w14:paraId="13E65E96" w14:textId="77777777" w:rsidR="009A0D78" w:rsidRDefault="009A0D78" w:rsidP="00967A79">
                          <w:pPr>
                            <w:pStyle w:val="Bottomlinetext"/>
                          </w:pPr>
                          <w:r>
                            <w:t>Dokument nr. 1223516456</w:t>
                          </w:r>
                        </w:p>
                        <w:p w14:paraId="0A37AA9B" w14:textId="77777777" w:rsidR="009A0D78" w:rsidRDefault="009A0D78" w:rsidP="00967A79">
                          <w:pPr>
                            <w:pStyle w:val="Bottomlinetext"/>
                          </w:pPr>
                          <w:r>
                            <w:t>Version 1</w:t>
                          </w:r>
                        </w:p>
                        <w:p w14:paraId="11C49F75" w14:textId="77777777" w:rsidR="009A0D78" w:rsidRDefault="009A0D78" w:rsidP="00967A79">
                          <w:pPr>
                            <w:pStyle w:val="Bottomlinetext"/>
                          </w:pPr>
                          <w:r>
                            <w:t xml:space="preserve">Udarbejdet af  </w:t>
                          </w:r>
                        </w:p>
                        <w:p w14:paraId="2458E614" w14:textId="77777777" w:rsidR="009A0D78" w:rsidRDefault="009A0D78" w:rsidP="00967A79">
                          <w:pPr>
                            <w:pStyle w:val="Bottomlinetext"/>
                          </w:pPr>
                          <w:r>
                            <w:t xml:space="preserve">Kontrolleret af  </w:t>
                          </w:r>
                        </w:p>
                        <w:p w14:paraId="68D4184A" w14:textId="77777777" w:rsidR="009A0D78" w:rsidRDefault="009A0D78" w:rsidP="00967A79">
                          <w:pPr>
                            <w:pStyle w:val="Bottomlinetext"/>
                          </w:pPr>
                          <w:r>
                            <w:t xml:space="preserve">Godkendt af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DF5AB5" id="_x0000_t202" coordsize="21600,21600" o:spt="202" path="m,l,21600r21600,l21600,xe">
              <v:stroke joinstyle="miter"/>
              <v:path gradientshapeok="t" o:connecttype="rect"/>
            </v:shapetype>
            <v:shape id="Text Box 7" o:spid="_x0000_s1026" type="#_x0000_t202" style="position:absolute;margin-left:56.7pt;margin-top:241pt;width:111.95pt;height:119.0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mrQ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" filled="f" stroked="f">
              <v:textbox inset="0,0,0,0">
                <w:txbxContent>
                  <w:p w14:paraId="75AD55E4" w14:textId="77777777" w:rsidR="009A0D78" w:rsidRDefault="009A0D78" w:rsidP="00967A79">
                    <w:pPr>
                      <w:pStyle w:val="BottomlinetextBold"/>
                    </w:pPr>
                    <w:r>
                      <w:t>7. april 2017</w:t>
                    </w:r>
                  </w:p>
                  <w:p w14:paraId="1A965116" w14:textId="77777777" w:rsidR="009A0D78" w:rsidRDefault="009A0D78" w:rsidP="00967A79">
                    <w:pPr>
                      <w:pStyle w:val="Bottomlinetext"/>
                    </w:pPr>
                  </w:p>
                  <w:p w14:paraId="1E69EE92" w14:textId="77777777" w:rsidR="009A0D78" w:rsidRDefault="009A0D78" w:rsidP="00967A79">
                    <w:pPr>
                      <w:pStyle w:val="Bottomlinetext"/>
                    </w:pPr>
                    <w:r>
                      <w:t>Projekt nr. 225785</w:t>
                    </w:r>
                  </w:p>
                  <w:p w14:paraId="13E65E96" w14:textId="77777777" w:rsidR="009A0D78" w:rsidRDefault="009A0D78" w:rsidP="00967A79">
                    <w:pPr>
                      <w:pStyle w:val="Bottomlinetext"/>
                    </w:pPr>
                    <w:r>
                      <w:t>Dokument nr. 1223516456</w:t>
                    </w:r>
                  </w:p>
                  <w:p w14:paraId="0A37AA9B" w14:textId="77777777" w:rsidR="009A0D78" w:rsidRDefault="009A0D78" w:rsidP="00967A79">
                    <w:pPr>
                      <w:pStyle w:val="Bottomlinetext"/>
                    </w:pPr>
                    <w:r>
                      <w:t>Version 1</w:t>
                    </w:r>
                  </w:p>
                  <w:p w14:paraId="11C49F75" w14:textId="77777777" w:rsidR="009A0D78" w:rsidRDefault="009A0D78" w:rsidP="00967A79">
                    <w:pPr>
                      <w:pStyle w:val="Bottomlinetext"/>
                    </w:pPr>
                    <w:r>
                      <w:t xml:space="preserve">Udarbejdet af  </w:t>
                    </w:r>
                  </w:p>
                  <w:p w14:paraId="2458E614" w14:textId="77777777" w:rsidR="009A0D78" w:rsidRDefault="009A0D78" w:rsidP="00967A79">
                    <w:pPr>
                      <w:pStyle w:val="Bottomlinetext"/>
                    </w:pPr>
                    <w:r>
                      <w:t xml:space="preserve">Kontrolleret af  </w:t>
                    </w:r>
                  </w:p>
                  <w:p w14:paraId="68D4184A" w14:textId="77777777" w:rsidR="009A0D78" w:rsidRDefault="009A0D78" w:rsidP="00967A79">
                    <w:pPr>
                      <w:pStyle w:val="Bottomlinetext"/>
                    </w:pPr>
                    <w:r>
                      <w:t xml:space="preserve">Godkendt af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874665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A9FA4DC6"/>
    <w:lvl w:ilvl="0">
      <w:start w:val="1"/>
      <w:numFmt w:val="bullet"/>
      <w:pStyle w:val="Opstilling-punkttegn"/>
      <w:lvlText w:val="―"/>
      <w:lvlJc w:val="left"/>
      <w:pPr>
        <w:ind w:left="360" w:hanging="360"/>
      </w:pPr>
      <w:rPr>
        <w:rFonts w:ascii="Arial" w:hAnsi="Arial" w:hint="default"/>
      </w:rPr>
    </w:lvl>
  </w:abstractNum>
  <w:abstractNum w:abstractNumId="2" w15:restartNumberingAfterBreak="0">
    <w:nsid w:val="01345316"/>
    <w:multiLevelType w:val="multilevel"/>
    <w:tmpl w:val="5072B414"/>
    <w:lvl w:ilvl="0">
      <w:start w:val="1"/>
      <w:numFmt w:val="decimal"/>
      <w:pStyle w:val="NormalNumbering"/>
      <w:lvlText w:val="%1."/>
      <w:lvlJc w:val="right"/>
      <w:pPr>
        <w:tabs>
          <w:tab w:val="num" w:pos="0"/>
        </w:tabs>
        <w:ind w:left="0" w:hanging="227"/>
      </w:pPr>
      <w:rPr>
        <w:rFonts w:ascii="Arial" w:hAnsi="Arial" w:hint="default"/>
        <w:b w:val="0"/>
        <w:i w:val="0"/>
        <w:sz w:val="19"/>
      </w:rPr>
    </w:lvl>
    <w:lvl w:ilvl="1">
      <w:start w:val="1"/>
      <w:numFmt w:val="decimal"/>
      <w:lvlText w:val="%1.%2."/>
      <w:lvlJc w:val="right"/>
      <w:pPr>
        <w:tabs>
          <w:tab w:val="num" w:pos="0"/>
        </w:tabs>
        <w:ind w:left="0" w:hanging="227"/>
      </w:pPr>
      <w:rPr>
        <w:rFonts w:ascii="Calibri" w:hAnsi="Calibri" w:hint="default"/>
        <w:b w:val="0"/>
        <w:i w:val="0"/>
        <w:sz w:val="21"/>
      </w:rPr>
    </w:lvl>
    <w:lvl w:ilvl="2">
      <w:start w:val="1"/>
      <w:numFmt w:val="decimal"/>
      <w:lvlText w:val="%1.%2.%3."/>
      <w:lvlJc w:val="right"/>
      <w:pPr>
        <w:tabs>
          <w:tab w:val="num" w:pos="0"/>
        </w:tabs>
        <w:ind w:left="0" w:hanging="227"/>
      </w:pPr>
      <w:rPr>
        <w:rFonts w:ascii="Calibri" w:hAnsi="Calibri" w:hint="default"/>
        <w:b w:val="0"/>
        <w:i w:val="0"/>
        <w:sz w:val="21"/>
      </w:rPr>
    </w:lvl>
    <w:lvl w:ilvl="3">
      <w:start w:val="1"/>
      <w:numFmt w:val="decimal"/>
      <w:lvlText w:val="%1.%2.%3.%4."/>
      <w:lvlJc w:val="right"/>
      <w:pPr>
        <w:tabs>
          <w:tab w:val="num" w:pos="0"/>
        </w:tabs>
        <w:ind w:left="0" w:hanging="227"/>
      </w:pPr>
      <w:rPr>
        <w:rFonts w:ascii="Calibri" w:hAnsi="Calibri" w:hint="default"/>
        <w:b w:val="0"/>
        <w:i w:val="0"/>
        <w:sz w:val="21"/>
      </w:rPr>
    </w:lvl>
    <w:lvl w:ilvl="4">
      <w:start w:val="1"/>
      <w:numFmt w:val="decimal"/>
      <w:lvlText w:val="%1.%2.%3.%4.%5."/>
      <w:lvlJc w:val="right"/>
      <w:pPr>
        <w:tabs>
          <w:tab w:val="num" w:pos="0"/>
        </w:tabs>
        <w:ind w:left="0" w:hanging="227"/>
      </w:pPr>
      <w:rPr>
        <w:rFonts w:ascii="Calibri" w:hAnsi="Calibri" w:hint="default"/>
        <w:b w:val="0"/>
        <w:i w:val="0"/>
        <w:sz w:val="21"/>
      </w:rPr>
    </w:lvl>
    <w:lvl w:ilvl="5">
      <w:start w:val="1"/>
      <w:numFmt w:val="decimal"/>
      <w:lvlText w:val="%1.%2.%3.%4.%5.%6."/>
      <w:lvlJc w:val="right"/>
      <w:pPr>
        <w:tabs>
          <w:tab w:val="num" w:pos="0"/>
        </w:tabs>
        <w:ind w:left="0" w:hanging="227"/>
      </w:pPr>
      <w:rPr>
        <w:rFonts w:ascii="Calibri" w:hAnsi="Calibri" w:hint="default"/>
        <w:b w:val="0"/>
        <w:i w:val="0"/>
        <w:sz w:val="21"/>
      </w:rPr>
    </w:lvl>
    <w:lvl w:ilvl="6">
      <w:start w:val="1"/>
      <w:numFmt w:val="decimal"/>
      <w:lvlText w:val="%1.%2.%3.%4.%5.%6.%7."/>
      <w:lvlJc w:val="right"/>
      <w:pPr>
        <w:tabs>
          <w:tab w:val="num" w:pos="0"/>
        </w:tabs>
        <w:ind w:left="0" w:hanging="227"/>
      </w:pPr>
      <w:rPr>
        <w:rFonts w:ascii="Calibri" w:hAnsi="Calibri" w:hint="default"/>
        <w:b w:val="0"/>
        <w:i w:val="0"/>
        <w:sz w:val="21"/>
      </w:rPr>
    </w:lvl>
    <w:lvl w:ilvl="7">
      <w:start w:val="1"/>
      <w:numFmt w:val="decimal"/>
      <w:lvlText w:val="%1.%2.%3.%4.%5.%6.%7.%8."/>
      <w:lvlJc w:val="right"/>
      <w:pPr>
        <w:tabs>
          <w:tab w:val="num" w:pos="0"/>
        </w:tabs>
        <w:ind w:left="0" w:hanging="227"/>
      </w:pPr>
      <w:rPr>
        <w:rFonts w:ascii="Calibri" w:hAnsi="Calibri" w:hint="default"/>
        <w:b w:val="0"/>
        <w:i w:val="0"/>
        <w:sz w:val="21"/>
      </w:rPr>
    </w:lvl>
    <w:lvl w:ilvl="8">
      <w:start w:val="1"/>
      <w:numFmt w:val="decimal"/>
      <w:lvlText w:val="%1.%2.%3.%4.%5.%6.%7.%8.%9."/>
      <w:lvlJc w:val="right"/>
      <w:pPr>
        <w:tabs>
          <w:tab w:val="num" w:pos="0"/>
        </w:tabs>
        <w:ind w:left="0" w:hanging="227"/>
      </w:pPr>
      <w:rPr>
        <w:rFonts w:ascii="Calibri" w:hAnsi="Calibri" w:hint="default"/>
        <w:b w:val="0"/>
        <w:i w:val="0"/>
        <w:sz w:val="21"/>
      </w:rPr>
    </w:lvl>
  </w:abstractNum>
  <w:abstractNum w:abstractNumId="3" w15:restartNumberingAfterBreak="0">
    <w:nsid w:val="02BB736D"/>
    <w:multiLevelType w:val="multilevel"/>
    <w:tmpl w:val="93C8E746"/>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9D4DFB"/>
    <w:multiLevelType w:val="multilevel"/>
    <w:tmpl w:val="A060FCAE"/>
    <w:lvl w:ilvl="0">
      <w:start w:val="1"/>
      <w:numFmt w:val="bullet"/>
      <w:pStyle w:val="NormalBullet"/>
      <w:lvlText w:val=""/>
      <w:lvlJc w:val="left"/>
      <w:pPr>
        <w:tabs>
          <w:tab w:val="num" w:pos="227"/>
        </w:tabs>
        <w:ind w:left="227" w:hanging="227"/>
      </w:pPr>
      <w:rPr>
        <w:rFonts w:ascii="Symbol" w:hAnsi="Symbol" w:hint="default"/>
      </w:rPr>
    </w:lvl>
    <w:lvl w:ilvl="1">
      <w:start w:val="1"/>
      <w:numFmt w:val="bullet"/>
      <w:lvlText w:val=""/>
      <w:lvlJc w:val="left"/>
      <w:pPr>
        <w:tabs>
          <w:tab w:val="num" w:pos="227"/>
        </w:tabs>
        <w:ind w:left="454" w:hanging="227"/>
      </w:pPr>
      <w:rPr>
        <w:rFonts w:ascii="Symbol" w:hAnsi="Symbol" w:hint="default"/>
      </w:rPr>
    </w:lvl>
    <w:lvl w:ilvl="2">
      <w:start w:val="1"/>
      <w:numFmt w:val="bullet"/>
      <w:lvlText w:val=""/>
      <w:lvlJc w:val="left"/>
      <w:pPr>
        <w:tabs>
          <w:tab w:val="num" w:pos="227"/>
        </w:tabs>
        <w:ind w:left="680" w:hanging="226"/>
      </w:pPr>
      <w:rPr>
        <w:rFonts w:ascii="Symbol" w:hAnsi="Symbol" w:hint="default"/>
      </w:rPr>
    </w:lvl>
    <w:lvl w:ilvl="3">
      <w:start w:val="1"/>
      <w:numFmt w:val="bullet"/>
      <w:lvlText w:val=""/>
      <w:lvlJc w:val="left"/>
      <w:pPr>
        <w:tabs>
          <w:tab w:val="num" w:pos="227"/>
        </w:tabs>
        <w:ind w:left="907" w:hanging="227"/>
      </w:pPr>
      <w:rPr>
        <w:rFonts w:ascii="Symbol" w:hAnsi="Symbol" w:hint="default"/>
      </w:rPr>
    </w:lvl>
    <w:lvl w:ilvl="4">
      <w:start w:val="1"/>
      <w:numFmt w:val="bullet"/>
      <w:lvlText w:val=""/>
      <w:lvlJc w:val="left"/>
      <w:pPr>
        <w:tabs>
          <w:tab w:val="num" w:pos="227"/>
        </w:tabs>
        <w:ind w:left="1134" w:hanging="227"/>
      </w:pPr>
      <w:rPr>
        <w:rFonts w:ascii="Symbol" w:hAnsi="Symbol" w:hint="default"/>
      </w:rPr>
    </w:lvl>
    <w:lvl w:ilvl="5">
      <w:start w:val="1"/>
      <w:numFmt w:val="bullet"/>
      <w:lvlText w:val=""/>
      <w:lvlJc w:val="left"/>
      <w:pPr>
        <w:tabs>
          <w:tab w:val="num" w:pos="227"/>
        </w:tabs>
        <w:ind w:left="1361" w:hanging="227"/>
      </w:pPr>
      <w:rPr>
        <w:rFonts w:ascii="Symbol" w:hAnsi="Symbol" w:hint="default"/>
      </w:rPr>
    </w:lvl>
    <w:lvl w:ilvl="6">
      <w:start w:val="1"/>
      <w:numFmt w:val="bullet"/>
      <w:lvlText w:val=""/>
      <w:lvlJc w:val="left"/>
      <w:pPr>
        <w:tabs>
          <w:tab w:val="num" w:pos="227"/>
        </w:tabs>
        <w:ind w:left="1588" w:hanging="227"/>
      </w:pPr>
      <w:rPr>
        <w:rFonts w:ascii="Symbol" w:hAnsi="Symbol" w:hint="default"/>
      </w:rPr>
    </w:lvl>
    <w:lvl w:ilvl="7">
      <w:start w:val="1"/>
      <w:numFmt w:val="bullet"/>
      <w:lvlText w:val=""/>
      <w:lvlJc w:val="left"/>
      <w:pPr>
        <w:tabs>
          <w:tab w:val="num" w:pos="227"/>
        </w:tabs>
        <w:ind w:left="1814" w:hanging="226"/>
      </w:pPr>
      <w:rPr>
        <w:rFonts w:ascii="Symbol" w:hAnsi="Symbol" w:hint="default"/>
      </w:rPr>
    </w:lvl>
    <w:lvl w:ilvl="8">
      <w:start w:val="1"/>
      <w:numFmt w:val="bullet"/>
      <w:lvlText w:val=""/>
      <w:lvlJc w:val="left"/>
      <w:pPr>
        <w:tabs>
          <w:tab w:val="num" w:pos="227"/>
        </w:tabs>
        <w:ind w:left="2041" w:hanging="227"/>
      </w:pPr>
      <w:rPr>
        <w:rFonts w:ascii="Symbol" w:hAnsi="Symbol" w:hint="default"/>
      </w:rPr>
    </w:lvl>
  </w:abstractNum>
  <w:abstractNum w:abstractNumId="5" w15:restartNumberingAfterBreak="0">
    <w:nsid w:val="13752867"/>
    <w:multiLevelType w:val="multilevel"/>
    <w:tmpl w:val="642A0A60"/>
    <w:lvl w:ilvl="0">
      <w:start w:val="1"/>
      <w:numFmt w:val="decimal"/>
      <w:pStyle w:val="Overskrift1"/>
      <w:lvlText w:val="%1"/>
      <w:lvlJc w:val="right"/>
      <w:pPr>
        <w:tabs>
          <w:tab w:val="num" w:pos="0"/>
        </w:tabs>
        <w:ind w:left="0" w:hanging="227"/>
      </w:pPr>
      <w:rPr>
        <w:rFonts w:ascii="Calibri" w:hAnsi="Calibri"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verskrift2"/>
      <w:lvlText w:val="%1.%2"/>
      <w:lvlJc w:val="right"/>
      <w:pPr>
        <w:tabs>
          <w:tab w:val="num" w:pos="0"/>
        </w:tabs>
        <w:ind w:left="0" w:hanging="22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verskrift3"/>
      <w:lvlText w:val="%1.%2.%3"/>
      <w:lvlJc w:val="right"/>
      <w:pPr>
        <w:tabs>
          <w:tab w:val="num" w:pos="0"/>
        </w:tabs>
        <w:ind w:left="0" w:hanging="227"/>
      </w:pPr>
      <w:rPr>
        <w:rFonts w:ascii="Calibri" w:hAnsi="Calibri" w:hint="default"/>
        <w:b w:val="0"/>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Overskrift4"/>
      <w:lvlText w:val="%1.%2.%3.%4"/>
      <w:lvlJc w:val="right"/>
      <w:pPr>
        <w:tabs>
          <w:tab w:val="num" w:pos="0"/>
        </w:tabs>
        <w:ind w:left="0" w:hanging="227"/>
      </w:pPr>
      <w:rPr>
        <w:rFonts w:ascii="Calibri" w:hAnsi="Calibri" w:hint="default"/>
        <w:b w:val="0"/>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hanging="227"/>
      </w:pPr>
      <w:rPr>
        <w:rFonts w:hint="default"/>
        <w:b w:val="0"/>
        <w:i w:val="0"/>
        <w:sz w:val="22"/>
      </w:rPr>
    </w:lvl>
    <w:lvl w:ilvl="5">
      <w:start w:val="1"/>
      <w:numFmt w:val="decimal"/>
      <w:lvlText w:val="%1.%2.%3.%4.%5.%6."/>
      <w:lvlJc w:val="left"/>
      <w:pPr>
        <w:tabs>
          <w:tab w:val="num" w:pos="0"/>
        </w:tabs>
        <w:ind w:left="0" w:hanging="227"/>
      </w:pPr>
      <w:rPr>
        <w:rFonts w:hint="default"/>
        <w:b w:val="0"/>
        <w:i w:val="0"/>
        <w:sz w:val="22"/>
      </w:rPr>
    </w:lvl>
    <w:lvl w:ilvl="6">
      <w:start w:val="1"/>
      <w:numFmt w:val="decimal"/>
      <w:lvlText w:val="%1.%2.%3.%4.%5.%6.%7."/>
      <w:lvlJc w:val="left"/>
      <w:pPr>
        <w:tabs>
          <w:tab w:val="num" w:pos="0"/>
        </w:tabs>
        <w:ind w:left="0" w:hanging="227"/>
      </w:pPr>
      <w:rPr>
        <w:rFonts w:hint="default"/>
        <w:b w:val="0"/>
        <w:i w:val="0"/>
        <w:sz w:val="22"/>
      </w:rPr>
    </w:lvl>
    <w:lvl w:ilvl="7">
      <w:start w:val="1"/>
      <w:numFmt w:val="decimal"/>
      <w:lvlText w:val="%1.%2.%3.%4.%5.%6.%7.%8."/>
      <w:lvlJc w:val="left"/>
      <w:pPr>
        <w:tabs>
          <w:tab w:val="num" w:pos="0"/>
        </w:tabs>
        <w:ind w:left="0" w:hanging="227"/>
      </w:pPr>
      <w:rPr>
        <w:rFonts w:hint="default"/>
        <w:b w:val="0"/>
        <w:i w:val="0"/>
        <w:sz w:val="22"/>
      </w:rPr>
    </w:lvl>
    <w:lvl w:ilvl="8">
      <w:start w:val="1"/>
      <w:numFmt w:val="decimal"/>
      <w:lvlText w:val="%1.%2.%3.%4.%5.%6.%7.%8.%9."/>
      <w:lvlJc w:val="left"/>
      <w:pPr>
        <w:tabs>
          <w:tab w:val="num" w:pos="0"/>
        </w:tabs>
        <w:ind w:left="0" w:hanging="227"/>
      </w:pPr>
      <w:rPr>
        <w:rFonts w:hint="default"/>
        <w:b w:val="0"/>
        <w:i w:val="0"/>
        <w:sz w:val="22"/>
      </w:rPr>
    </w:lvl>
  </w:abstractNum>
  <w:num w:numId="1">
    <w:abstractNumId w:val="5"/>
  </w:num>
  <w:num w:numId="2">
    <w:abstractNumId w:val="5"/>
  </w:num>
  <w:num w:numId="3">
    <w:abstractNumId w:val="5"/>
  </w:num>
  <w:num w:numId="4">
    <w:abstractNumId w:val="5"/>
  </w:num>
  <w:num w:numId="5">
    <w:abstractNumId w:val="1"/>
  </w:num>
  <w:num w:numId="6">
    <w:abstractNumId w:val="1"/>
  </w:num>
  <w:num w:numId="7">
    <w:abstractNumId w:val="0"/>
  </w:num>
  <w:num w:numId="8">
    <w:abstractNumId w:val="0"/>
  </w:num>
  <w:num w:numId="9">
    <w:abstractNumId w:val="4"/>
  </w:num>
  <w:num w:numId="10">
    <w:abstractNumId w:val="2"/>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rma" w:val="NIRAS"/>
    <w:docVar w:name="sprog" w:val="Danish"/>
  </w:docVars>
  <w:rsids>
    <w:rsidRoot w:val="003E2C77"/>
    <w:rsid w:val="00014874"/>
    <w:rsid w:val="000362E8"/>
    <w:rsid w:val="000667F4"/>
    <w:rsid w:val="00072936"/>
    <w:rsid w:val="00082356"/>
    <w:rsid w:val="000C2086"/>
    <w:rsid w:val="000F6B30"/>
    <w:rsid w:val="000F7916"/>
    <w:rsid w:val="00130CFC"/>
    <w:rsid w:val="00165255"/>
    <w:rsid w:val="001E67F3"/>
    <w:rsid w:val="00270028"/>
    <w:rsid w:val="0027426A"/>
    <w:rsid w:val="00275BD6"/>
    <w:rsid w:val="002B1C0B"/>
    <w:rsid w:val="002C386E"/>
    <w:rsid w:val="002D539B"/>
    <w:rsid w:val="0032057D"/>
    <w:rsid w:val="00331779"/>
    <w:rsid w:val="00360C85"/>
    <w:rsid w:val="003A458D"/>
    <w:rsid w:val="003B208C"/>
    <w:rsid w:val="003B38BA"/>
    <w:rsid w:val="003E2C77"/>
    <w:rsid w:val="003E6C12"/>
    <w:rsid w:val="003E7B0A"/>
    <w:rsid w:val="00424A2D"/>
    <w:rsid w:val="004446DE"/>
    <w:rsid w:val="0046588C"/>
    <w:rsid w:val="00475D96"/>
    <w:rsid w:val="004C7215"/>
    <w:rsid w:val="004E06A0"/>
    <w:rsid w:val="004E4A5A"/>
    <w:rsid w:val="00527668"/>
    <w:rsid w:val="00541821"/>
    <w:rsid w:val="00552473"/>
    <w:rsid w:val="00573FB9"/>
    <w:rsid w:val="0057616F"/>
    <w:rsid w:val="00584477"/>
    <w:rsid w:val="00585B4A"/>
    <w:rsid w:val="005918AA"/>
    <w:rsid w:val="00594390"/>
    <w:rsid w:val="00665C75"/>
    <w:rsid w:val="00667F7D"/>
    <w:rsid w:val="006D57E8"/>
    <w:rsid w:val="00711BFF"/>
    <w:rsid w:val="007954A7"/>
    <w:rsid w:val="007E28D7"/>
    <w:rsid w:val="007F4305"/>
    <w:rsid w:val="00814DF7"/>
    <w:rsid w:val="00817B7B"/>
    <w:rsid w:val="00850FAF"/>
    <w:rsid w:val="0086142D"/>
    <w:rsid w:val="00886949"/>
    <w:rsid w:val="008E6821"/>
    <w:rsid w:val="00900F89"/>
    <w:rsid w:val="009029F8"/>
    <w:rsid w:val="00957411"/>
    <w:rsid w:val="00962FE2"/>
    <w:rsid w:val="00967A79"/>
    <w:rsid w:val="00976FA0"/>
    <w:rsid w:val="00993108"/>
    <w:rsid w:val="009A0D78"/>
    <w:rsid w:val="009B0F25"/>
    <w:rsid w:val="009B1C45"/>
    <w:rsid w:val="009C301E"/>
    <w:rsid w:val="009D2CA1"/>
    <w:rsid w:val="00A04B00"/>
    <w:rsid w:val="00A40B52"/>
    <w:rsid w:val="00A474B0"/>
    <w:rsid w:val="00A62F9E"/>
    <w:rsid w:val="00A67E20"/>
    <w:rsid w:val="00A97FE3"/>
    <w:rsid w:val="00AD6323"/>
    <w:rsid w:val="00AF78AA"/>
    <w:rsid w:val="00B04A14"/>
    <w:rsid w:val="00B07C28"/>
    <w:rsid w:val="00B1535B"/>
    <w:rsid w:val="00B6233A"/>
    <w:rsid w:val="00B65E5F"/>
    <w:rsid w:val="00BA74F2"/>
    <w:rsid w:val="00BC1DF2"/>
    <w:rsid w:val="00BE752C"/>
    <w:rsid w:val="00C102D0"/>
    <w:rsid w:val="00C30817"/>
    <w:rsid w:val="00C739D2"/>
    <w:rsid w:val="00C7560B"/>
    <w:rsid w:val="00CA29AF"/>
    <w:rsid w:val="00CC1E25"/>
    <w:rsid w:val="00D22C22"/>
    <w:rsid w:val="00D678CD"/>
    <w:rsid w:val="00D931BF"/>
    <w:rsid w:val="00DD12E9"/>
    <w:rsid w:val="00E02294"/>
    <w:rsid w:val="00E52944"/>
    <w:rsid w:val="00E765CA"/>
    <w:rsid w:val="00E83A6E"/>
    <w:rsid w:val="00EA77A9"/>
    <w:rsid w:val="00F00210"/>
    <w:rsid w:val="00F13EF5"/>
    <w:rsid w:val="00F14465"/>
    <w:rsid w:val="00F44656"/>
    <w:rsid w:val="00F65D0D"/>
    <w:rsid w:val="00F7364C"/>
    <w:rsid w:val="00F765BC"/>
    <w:rsid w:val="00FB0D20"/>
    <w:rsid w:val="00FC24C3"/>
    <w:rsid w:val="00FD2B21"/>
    <w:rsid w:val="00FE25D3"/>
    <w:rsid w:val="00FE2B58"/>
    <w:rsid w:val="00FF5D0D"/>
    <w:rsid w:val="22B2FD84"/>
    <w:rsid w:val="25B3ED32"/>
    <w:rsid w:val="32489546"/>
    <w:rsid w:val="52E599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7ADE5"/>
  <w15:docId w15:val="{C08F9A91-5F22-4473-B5CD-9DA0C7FE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00"/>
    <w:pPr>
      <w:spacing w:line="312" w:lineRule="auto"/>
    </w:pPr>
    <w:rPr>
      <w:rFonts w:ascii="Calibri" w:hAnsi="Calibri"/>
      <w:szCs w:val="24"/>
    </w:rPr>
  </w:style>
  <w:style w:type="paragraph" w:styleId="Overskrift1">
    <w:name w:val="heading 1"/>
    <w:basedOn w:val="Normal"/>
    <w:next w:val="BodyText1"/>
    <w:qFormat/>
    <w:rsid w:val="00BE752C"/>
    <w:pPr>
      <w:keepNext/>
      <w:keepLines/>
      <w:numPr>
        <w:numId w:val="18"/>
      </w:numPr>
      <w:outlineLvl w:val="0"/>
    </w:pPr>
    <w:rPr>
      <w:b/>
      <w:bCs/>
      <w:caps/>
      <w:sz w:val="22"/>
      <w:szCs w:val="28"/>
      <w:lang w:eastAsia="en-US"/>
    </w:rPr>
  </w:style>
  <w:style w:type="paragraph" w:styleId="Overskrift2">
    <w:name w:val="heading 2"/>
    <w:basedOn w:val="Normal"/>
    <w:next w:val="BodyText1"/>
    <w:qFormat/>
    <w:rsid w:val="00BE752C"/>
    <w:pPr>
      <w:keepNext/>
      <w:keepLines/>
      <w:numPr>
        <w:ilvl w:val="1"/>
        <w:numId w:val="18"/>
      </w:numPr>
      <w:spacing w:before="120"/>
      <w:outlineLvl w:val="1"/>
    </w:pPr>
    <w:rPr>
      <w:b/>
      <w:bCs/>
      <w:sz w:val="22"/>
      <w:szCs w:val="26"/>
      <w:lang w:eastAsia="en-US"/>
    </w:rPr>
  </w:style>
  <w:style w:type="paragraph" w:styleId="Overskrift3">
    <w:name w:val="heading 3"/>
    <w:basedOn w:val="Normal"/>
    <w:next w:val="BodyText1"/>
    <w:qFormat/>
    <w:rsid w:val="00BE752C"/>
    <w:pPr>
      <w:keepNext/>
      <w:keepLines/>
      <w:numPr>
        <w:ilvl w:val="2"/>
        <w:numId w:val="18"/>
      </w:numPr>
      <w:spacing w:before="120"/>
      <w:outlineLvl w:val="2"/>
    </w:pPr>
    <w:rPr>
      <w:bCs/>
      <w:i/>
      <w:sz w:val="22"/>
      <w:szCs w:val="22"/>
      <w:lang w:eastAsia="en-US"/>
    </w:rPr>
  </w:style>
  <w:style w:type="paragraph" w:styleId="Overskrift4">
    <w:name w:val="heading 4"/>
    <w:basedOn w:val="Normal"/>
    <w:next w:val="BodyText1"/>
    <w:qFormat/>
    <w:rsid w:val="00BE752C"/>
    <w:pPr>
      <w:keepNext/>
      <w:keepLines/>
      <w:numPr>
        <w:ilvl w:val="3"/>
        <w:numId w:val="18"/>
      </w:numPr>
      <w:spacing w:before="120"/>
      <w:outlineLvl w:val="3"/>
    </w:pPr>
    <w:rPr>
      <w:bCs/>
      <w:i/>
      <w:iCs/>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FodnotetekstTegn">
    <w:name w:val="Fodnotetekst Tegn"/>
    <w:basedOn w:val="Standardskrifttypeiafsnit"/>
    <w:link w:val="Fodnotetekst"/>
    <w:rsid w:val="00BA74F2"/>
    <w:rPr>
      <w:rFonts w:ascii="Arial" w:hAnsi="Arial"/>
      <w:sz w:val="18"/>
      <w:lang w:val="da-DK" w:eastAsia="da-DK" w:bidi="ar-SA"/>
    </w:rPr>
  </w:style>
  <w:style w:type="paragraph" w:styleId="Fodnotetekst">
    <w:name w:val="footnote text"/>
    <w:basedOn w:val="Normal"/>
    <w:link w:val="FodnotetekstTegn"/>
    <w:qFormat/>
    <w:rsid w:val="00BA74F2"/>
    <w:pPr>
      <w:keepLines/>
      <w:spacing w:after="120" w:line="240" w:lineRule="auto"/>
    </w:pPr>
    <w:rPr>
      <w:sz w:val="18"/>
      <w:szCs w:val="20"/>
    </w:rPr>
  </w:style>
  <w:style w:type="paragraph" w:styleId="Markeringsbobletekst">
    <w:name w:val="Balloon Text"/>
    <w:basedOn w:val="Normal"/>
    <w:semiHidden/>
    <w:rsid w:val="00BA74F2"/>
    <w:rPr>
      <w:rFonts w:ascii="Tahoma" w:hAnsi="Tahoma" w:cs="Tahoma"/>
      <w:sz w:val="16"/>
      <w:szCs w:val="16"/>
    </w:rPr>
  </w:style>
  <w:style w:type="paragraph" w:customStyle="1" w:styleId="BodyText1">
    <w:name w:val="Body Text1"/>
    <w:basedOn w:val="Normal"/>
    <w:qFormat/>
    <w:rsid w:val="00BE752C"/>
    <w:pPr>
      <w:spacing w:after="240"/>
    </w:pPr>
    <w:rPr>
      <w:rFonts w:eastAsia="Calibri"/>
      <w:szCs w:val="22"/>
      <w:lang w:eastAsia="en-US"/>
    </w:rPr>
  </w:style>
  <w:style w:type="paragraph" w:customStyle="1" w:styleId="Bottomlinetext">
    <w:name w:val="Bottom line text"/>
    <w:basedOn w:val="Normal"/>
    <w:rsid w:val="00BA74F2"/>
    <w:rPr>
      <w:sz w:val="16"/>
    </w:rPr>
  </w:style>
  <w:style w:type="paragraph" w:customStyle="1" w:styleId="BottomlinetextBold">
    <w:name w:val="Bottom line text Bold"/>
    <w:basedOn w:val="Normal"/>
    <w:rsid w:val="00BA74F2"/>
    <w:rPr>
      <w:b/>
      <w:sz w:val="16"/>
    </w:rPr>
  </w:style>
  <w:style w:type="paragraph" w:styleId="Billedtekst">
    <w:name w:val="caption"/>
    <w:basedOn w:val="Normal"/>
    <w:next w:val="BodyText1"/>
    <w:uiPriority w:val="35"/>
    <w:qFormat/>
    <w:rsid w:val="00850FAF"/>
    <w:pPr>
      <w:tabs>
        <w:tab w:val="left" w:pos="907"/>
      </w:tabs>
      <w:spacing w:before="120" w:after="240"/>
      <w:ind w:right="907"/>
    </w:pPr>
    <w:rPr>
      <w:bCs/>
      <w:sz w:val="18"/>
      <w:szCs w:val="20"/>
    </w:rPr>
  </w:style>
  <w:style w:type="paragraph" w:customStyle="1" w:styleId="ChapterBold">
    <w:name w:val="Chapter Bold"/>
    <w:basedOn w:val="Normal"/>
    <w:next w:val="BodyText1"/>
    <w:rsid w:val="004E4A5A"/>
    <w:pPr>
      <w:spacing w:before="120"/>
    </w:pPr>
    <w:rPr>
      <w:b/>
      <w:sz w:val="22"/>
    </w:rPr>
  </w:style>
  <w:style w:type="character" w:styleId="Kommentarhenvisning">
    <w:name w:val="annotation reference"/>
    <w:basedOn w:val="Standardskrifttypeiafsnit"/>
    <w:semiHidden/>
    <w:rsid w:val="00BA74F2"/>
    <w:rPr>
      <w:sz w:val="16"/>
      <w:szCs w:val="16"/>
    </w:rPr>
  </w:style>
  <w:style w:type="paragraph" w:styleId="Kommentartekst">
    <w:name w:val="annotation text"/>
    <w:basedOn w:val="Normal"/>
    <w:semiHidden/>
    <w:rsid w:val="00BA74F2"/>
    <w:rPr>
      <w:szCs w:val="20"/>
    </w:rPr>
  </w:style>
  <w:style w:type="paragraph" w:styleId="Kommentaremne">
    <w:name w:val="annotation subject"/>
    <w:basedOn w:val="Kommentartekst"/>
    <w:next w:val="Kommentartekst"/>
    <w:semiHidden/>
    <w:rsid w:val="00BA74F2"/>
    <w:rPr>
      <w:b/>
      <w:bCs/>
    </w:rPr>
  </w:style>
  <w:style w:type="paragraph" w:customStyle="1" w:styleId="CustomType">
    <w:name w:val="Custom Type"/>
    <w:basedOn w:val="Normal"/>
    <w:rsid w:val="00BA74F2"/>
    <w:pPr>
      <w:spacing w:line="300" w:lineRule="atLeast"/>
    </w:pPr>
    <w:rPr>
      <w:sz w:val="26"/>
    </w:rPr>
  </w:style>
  <w:style w:type="table" w:customStyle="1" w:styleId="DesignedTable">
    <w:name w:val="Designed Table"/>
    <w:basedOn w:val="Tabel-Normal"/>
    <w:rsid w:val="00072936"/>
    <w:rPr>
      <w:rFonts w:ascii="Calibri Light" w:hAnsi="Calibri Light"/>
      <w:sz w:val="19"/>
    </w:rPr>
    <w:tblPr>
      <w:tblStyleRowBandSize w:val="1"/>
      <w:tblStyleColBandSize w:val="1"/>
      <w:tblInd w:w="113" w:type="dxa"/>
      <w:tblCellMar>
        <w:left w:w="113" w:type="dxa"/>
        <w:right w:w="57" w:type="dxa"/>
      </w:tblCellMar>
    </w:tblPr>
    <w:tblStylePr w:type="firstRow">
      <w:rPr>
        <w:rFonts w:ascii="Calibri" w:hAnsi="Calibri"/>
        <w:b/>
        <w:i w:val="0"/>
        <w:color w:val="FFFFFF"/>
        <w:sz w:val="19"/>
      </w:rPr>
      <w:tblPr/>
      <w:tcPr>
        <w:shd w:val="clear" w:color="auto" w:fill="E6001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tcPr>
    </w:tblStylePr>
    <w:tblStylePr w:type="band2Vert">
      <w:tblPr/>
      <w:tcPr>
        <w:tcBorders>
          <w:top w:val="single" w:sz="8" w:space="0" w:color="FFFFFF"/>
          <w:left w:val="single" w:sz="8" w:space="0" w:color="FFFFFF"/>
          <w:bottom w:val="single" w:sz="8" w:space="0" w:color="FFFFFF"/>
          <w:right w:val="single" w:sz="8" w:space="0" w:color="FFFFFF"/>
          <w:insideH w:val="nil"/>
          <w:insideV w:val="nil"/>
          <w:tl2br w:val="nil"/>
          <w:tr2bl w:val="nil"/>
        </w:tcBorders>
      </w:tcPr>
    </w:tblStylePr>
    <w:tblStylePr w:type="band1Horz">
      <w:rPr>
        <w:rFonts w:ascii="Calibri Light" w:hAnsi="Calibri Light"/>
        <w:sz w:val="19"/>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6E6E6"/>
      </w:tcPr>
    </w:tblStylePr>
    <w:tblStylePr w:type="band2Horz">
      <w:rPr>
        <w:rFonts w:ascii="Calibri Light" w:hAnsi="Calibri Light"/>
        <w:sz w:val="19"/>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CCCCCC"/>
      </w:tcPr>
    </w:tblStylePr>
  </w:style>
  <w:style w:type="paragraph" w:customStyle="1" w:styleId="Documenttitle">
    <w:name w:val="Documenttitle"/>
    <w:basedOn w:val="Normal"/>
    <w:rsid w:val="00C30817"/>
    <w:pPr>
      <w:spacing w:line="300" w:lineRule="atLeast"/>
    </w:pPr>
    <w:rPr>
      <w:sz w:val="26"/>
    </w:rPr>
  </w:style>
  <w:style w:type="paragraph" w:styleId="Sidefod">
    <w:name w:val="footer"/>
    <w:basedOn w:val="Normal"/>
    <w:semiHidden/>
    <w:rsid w:val="00BA74F2"/>
    <w:pPr>
      <w:tabs>
        <w:tab w:val="center" w:pos="4819"/>
        <w:tab w:val="right" w:pos="9638"/>
      </w:tabs>
    </w:pPr>
  </w:style>
  <w:style w:type="character" w:styleId="Fodnotehenvisning">
    <w:name w:val="footnote reference"/>
    <w:basedOn w:val="Standardskrifttypeiafsnit"/>
    <w:rsid w:val="00A04B00"/>
    <w:rPr>
      <w:rFonts w:ascii="Calibri" w:hAnsi="Calibri"/>
      <w:vertAlign w:val="superscript"/>
    </w:rPr>
  </w:style>
  <w:style w:type="paragraph" w:styleId="Sidehoved">
    <w:name w:val="header"/>
    <w:basedOn w:val="Normal"/>
    <w:link w:val="SidehovedTegn"/>
    <w:uiPriority w:val="99"/>
    <w:rsid w:val="00BA74F2"/>
    <w:pPr>
      <w:tabs>
        <w:tab w:val="center" w:pos="4819"/>
        <w:tab w:val="right" w:pos="9638"/>
      </w:tabs>
    </w:pPr>
  </w:style>
  <w:style w:type="paragraph" w:customStyle="1" w:styleId="HeadlineLevel2">
    <w:name w:val="Headline Level 2"/>
    <w:basedOn w:val="Normal"/>
    <w:rsid w:val="00BA74F2"/>
  </w:style>
  <w:style w:type="paragraph" w:customStyle="1" w:styleId="HeadlineLevel3">
    <w:name w:val="Headline Level 3"/>
    <w:basedOn w:val="Normal"/>
    <w:rsid w:val="00BA74F2"/>
  </w:style>
  <w:style w:type="paragraph" w:customStyle="1" w:styleId="HeadlineLevel4">
    <w:name w:val="Headline Level 4"/>
    <w:basedOn w:val="Normal"/>
    <w:rsid w:val="00BA74F2"/>
  </w:style>
  <w:style w:type="character" w:styleId="Hyperlink">
    <w:name w:val="Hyperlink"/>
    <w:basedOn w:val="Standardskrifttypeiafsnit"/>
    <w:rsid w:val="00BA74F2"/>
    <w:rPr>
      <w:color w:val="0000FF"/>
      <w:u w:val="single"/>
    </w:rPr>
  </w:style>
  <w:style w:type="paragraph" w:styleId="Opstilling-punkttegn">
    <w:name w:val="List Bullet"/>
    <w:basedOn w:val="Normal"/>
    <w:rsid w:val="00BA74F2"/>
    <w:pPr>
      <w:numPr>
        <w:numId w:val="6"/>
      </w:numPr>
      <w:spacing w:after="240"/>
    </w:pPr>
  </w:style>
  <w:style w:type="paragraph" w:styleId="Opstilling-talellerbogst">
    <w:name w:val="List Number"/>
    <w:basedOn w:val="Normal"/>
    <w:rsid w:val="00BA74F2"/>
    <w:pPr>
      <w:numPr>
        <w:numId w:val="8"/>
      </w:numPr>
      <w:spacing w:after="240"/>
    </w:pPr>
  </w:style>
  <w:style w:type="paragraph" w:customStyle="1" w:styleId="NormalBold">
    <w:name w:val="Normal Bold"/>
    <w:basedOn w:val="Normal"/>
    <w:rsid w:val="00BA74F2"/>
    <w:rPr>
      <w:b/>
    </w:rPr>
  </w:style>
  <w:style w:type="paragraph" w:customStyle="1" w:styleId="NormalBoldAllCaps">
    <w:name w:val="Normal Bold All Caps"/>
    <w:basedOn w:val="Normal"/>
    <w:rsid w:val="00BA74F2"/>
    <w:rPr>
      <w:b/>
      <w:caps/>
    </w:rPr>
  </w:style>
  <w:style w:type="paragraph" w:customStyle="1" w:styleId="NormalBullet">
    <w:name w:val="Normal Bullet"/>
    <w:basedOn w:val="Normal"/>
    <w:rsid w:val="00BA74F2"/>
    <w:pPr>
      <w:numPr>
        <w:numId w:val="9"/>
      </w:numPr>
    </w:pPr>
  </w:style>
  <w:style w:type="paragraph" w:customStyle="1" w:styleId="NormalNumbering">
    <w:name w:val="Normal Numbering"/>
    <w:basedOn w:val="Normal"/>
    <w:next w:val="BodyText1"/>
    <w:rsid w:val="00BA74F2"/>
    <w:pPr>
      <w:numPr>
        <w:numId w:val="10"/>
      </w:numPr>
    </w:pPr>
  </w:style>
  <w:style w:type="character" w:styleId="Sidetal">
    <w:name w:val="page number"/>
    <w:basedOn w:val="Standardskrifttypeiafsnit"/>
    <w:rsid w:val="00A04B00"/>
    <w:rPr>
      <w:rFonts w:ascii="Calibri" w:hAnsi="Calibri"/>
      <w:sz w:val="20"/>
    </w:rPr>
  </w:style>
  <w:style w:type="table" w:styleId="Tabel-Gitter">
    <w:name w:val="Table Grid"/>
    <w:basedOn w:val="Tabel-Normal"/>
    <w:uiPriority w:val="59"/>
    <w:rsid w:val="00BA74F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57411"/>
    <w:pPr>
      <w:keepNext/>
      <w:spacing w:before="60" w:after="60" w:line="240" w:lineRule="auto"/>
    </w:pPr>
    <w:rPr>
      <w:sz w:val="18"/>
      <w:szCs w:val="19"/>
    </w:rPr>
  </w:style>
  <w:style w:type="paragraph" w:customStyle="1" w:styleId="TableTextBold">
    <w:name w:val="Table Text Bold"/>
    <w:basedOn w:val="Normal"/>
    <w:rsid w:val="00957411"/>
    <w:pPr>
      <w:keepNext/>
      <w:spacing w:before="60" w:after="60" w:line="240" w:lineRule="auto"/>
    </w:pPr>
    <w:rPr>
      <w:b/>
      <w:sz w:val="18"/>
      <w:szCs w:val="19"/>
    </w:rPr>
  </w:style>
  <w:style w:type="paragraph" w:customStyle="1" w:styleId="Title11pkt">
    <w:name w:val="Title 11 pkt"/>
    <w:basedOn w:val="Normal"/>
    <w:qFormat/>
    <w:rsid w:val="00BA74F2"/>
    <w:rPr>
      <w:sz w:val="22"/>
    </w:rPr>
  </w:style>
  <w:style w:type="paragraph" w:customStyle="1" w:styleId="Title18pkt">
    <w:name w:val="Title 18 pkt"/>
    <w:basedOn w:val="Normal"/>
    <w:rsid w:val="00BA74F2"/>
    <w:pPr>
      <w:spacing w:line="440" w:lineRule="atLeast"/>
    </w:pPr>
    <w:rPr>
      <w:caps/>
      <w:sz w:val="36"/>
      <w:szCs w:val="48"/>
    </w:rPr>
  </w:style>
  <w:style w:type="paragraph" w:customStyle="1" w:styleId="Title26pkt">
    <w:name w:val="Title 26 pkt"/>
    <w:basedOn w:val="Normal"/>
    <w:rsid w:val="00BA74F2"/>
    <w:pPr>
      <w:spacing w:line="640" w:lineRule="atLeast"/>
    </w:pPr>
    <w:rPr>
      <w:caps/>
      <w:sz w:val="52"/>
    </w:rPr>
  </w:style>
  <w:style w:type="paragraph" w:customStyle="1" w:styleId="TitleBold105pkt">
    <w:name w:val="Title Bold 10.5 pkt"/>
    <w:basedOn w:val="Normal"/>
    <w:rsid w:val="00BA74F2"/>
    <w:rPr>
      <w:b/>
      <w:caps/>
      <w:sz w:val="21"/>
      <w:szCs w:val="19"/>
    </w:rPr>
  </w:style>
  <w:style w:type="paragraph" w:customStyle="1" w:styleId="TitleBold11pkt">
    <w:name w:val="Title Bold 11 pkt"/>
    <w:basedOn w:val="Normal"/>
    <w:rsid w:val="00BA74F2"/>
    <w:rPr>
      <w:b/>
      <w:caps/>
      <w:sz w:val="22"/>
      <w:szCs w:val="19"/>
    </w:rPr>
  </w:style>
  <w:style w:type="paragraph" w:customStyle="1" w:styleId="TitleBold14pkt">
    <w:name w:val="Title Bold 14 pkt"/>
    <w:basedOn w:val="Normal"/>
    <w:rsid w:val="00BA74F2"/>
    <w:pPr>
      <w:spacing w:line="360" w:lineRule="atLeast"/>
    </w:pPr>
    <w:rPr>
      <w:b/>
      <w:caps/>
      <w:sz w:val="28"/>
      <w:szCs w:val="48"/>
    </w:rPr>
  </w:style>
  <w:style w:type="paragraph" w:styleId="Indholdsfortegnelse1">
    <w:name w:val="toc 1"/>
    <w:basedOn w:val="ChapterBold"/>
    <w:next w:val="Normal"/>
    <w:autoRedefine/>
    <w:rsid w:val="00C7560B"/>
    <w:pPr>
      <w:tabs>
        <w:tab w:val="right" w:leader="dot" w:pos="7200"/>
      </w:tabs>
      <w:ind w:right="510"/>
    </w:pPr>
  </w:style>
  <w:style w:type="paragraph" w:styleId="Indholdsfortegnelse2">
    <w:name w:val="toc 2"/>
    <w:basedOn w:val="HeadlineLevel2"/>
    <w:next w:val="Normal"/>
    <w:autoRedefine/>
    <w:rsid w:val="00BA74F2"/>
    <w:pPr>
      <w:tabs>
        <w:tab w:val="left" w:pos="567"/>
        <w:tab w:val="right" w:leader="dot" w:pos="7162"/>
      </w:tabs>
      <w:ind w:left="567" w:hanging="567"/>
    </w:pPr>
  </w:style>
  <w:style w:type="paragraph" w:styleId="Indholdsfortegnelse3">
    <w:name w:val="toc 3"/>
    <w:basedOn w:val="HeadlineLevel3"/>
    <w:next w:val="Normal"/>
    <w:autoRedefine/>
    <w:rsid w:val="00BA74F2"/>
    <w:pPr>
      <w:tabs>
        <w:tab w:val="left" w:pos="1446"/>
        <w:tab w:val="right" w:leader="dot" w:pos="7161"/>
      </w:tabs>
      <w:ind w:left="1446" w:hanging="879"/>
    </w:pPr>
  </w:style>
  <w:style w:type="paragraph" w:styleId="Indholdsfortegnelse4">
    <w:name w:val="toc 4"/>
    <w:basedOn w:val="HeadlineLevel4"/>
    <w:next w:val="Normal"/>
    <w:autoRedefine/>
    <w:semiHidden/>
    <w:rsid w:val="00BA74F2"/>
    <w:pPr>
      <w:tabs>
        <w:tab w:val="left" w:pos="1446"/>
        <w:tab w:val="right" w:leader="dot" w:pos="7173"/>
      </w:tabs>
      <w:ind w:left="1446" w:hanging="879"/>
    </w:pPr>
  </w:style>
  <w:style w:type="character" w:customStyle="1" w:styleId="StyleCalibri11ptBoldAllcaps">
    <w:name w:val="Style Calibri 11 pt Bold All caps"/>
    <w:basedOn w:val="Standardskrifttypeiafsnit"/>
    <w:rsid w:val="00C739D2"/>
    <w:rPr>
      <w:rFonts w:ascii="Calibri" w:hAnsi="Calibri"/>
      <w:b/>
      <w:bCs/>
      <w:caps/>
      <w:sz w:val="22"/>
    </w:rPr>
  </w:style>
  <w:style w:type="paragraph" w:customStyle="1" w:styleId="TableImage">
    <w:name w:val="Table Image"/>
    <w:basedOn w:val="TableText"/>
    <w:rsid w:val="00FC24C3"/>
    <w:pPr>
      <w:jc w:val="center"/>
    </w:pPr>
    <w:rPr>
      <w:sz w:val="19"/>
      <w:szCs w:val="20"/>
    </w:rPr>
  </w:style>
  <w:style w:type="paragraph" w:customStyle="1" w:styleId="NirasCallOut">
    <w:name w:val="NirasCallOut"/>
    <w:basedOn w:val="Normal"/>
    <w:link w:val="NirasCallOutChar"/>
    <w:rsid w:val="00584477"/>
    <w:pPr>
      <w:spacing w:line="269" w:lineRule="auto"/>
    </w:pPr>
    <w:rPr>
      <w:sz w:val="19"/>
      <w:lang w:val="en-US"/>
    </w:rPr>
  </w:style>
  <w:style w:type="character" w:customStyle="1" w:styleId="NirasCallOutChar">
    <w:name w:val="NirasCallOut Char"/>
    <w:basedOn w:val="Standardskrifttypeiafsnit"/>
    <w:link w:val="NirasCallOut"/>
    <w:rsid w:val="00584477"/>
    <w:rPr>
      <w:rFonts w:ascii="Calibri" w:hAnsi="Calibri"/>
      <w:sz w:val="19"/>
      <w:szCs w:val="24"/>
      <w:lang w:val="en-US"/>
    </w:rPr>
  </w:style>
  <w:style w:type="paragraph" w:customStyle="1" w:styleId="NirasCallOutRed">
    <w:name w:val="NirasCallOutRed"/>
    <w:basedOn w:val="Normal"/>
    <w:link w:val="NirasCallOutRedChar"/>
    <w:rsid w:val="00584477"/>
    <w:pPr>
      <w:spacing w:line="269" w:lineRule="auto"/>
    </w:pPr>
    <w:rPr>
      <w:color w:val="E6001B"/>
      <w:sz w:val="19"/>
      <w:lang w:val="en-US"/>
    </w:rPr>
  </w:style>
  <w:style w:type="character" w:customStyle="1" w:styleId="NirasCallOutRedChar">
    <w:name w:val="NirasCallOutRed Char"/>
    <w:basedOn w:val="Standardskrifttypeiafsnit"/>
    <w:link w:val="NirasCallOutRed"/>
    <w:rsid w:val="00584477"/>
    <w:rPr>
      <w:rFonts w:ascii="Calibri" w:hAnsi="Calibri"/>
      <w:color w:val="E6001B"/>
      <w:sz w:val="19"/>
      <w:szCs w:val="24"/>
      <w:lang w:val="en-US"/>
    </w:rPr>
  </w:style>
  <w:style w:type="paragraph" w:customStyle="1" w:styleId="Default">
    <w:name w:val="Default"/>
    <w:rsid w:val="00AD6323"/>
    <w:pPr>
      <w:autoSpaceDE w:val="0"/>
      <w:autoSpaceDN w:val="0"/>
      <w:adjustRightInd w:val="0"/>
    </w:pPr>
    <w:rPr>
      <w:rFonts w:ascii="Verdana" w:eastAsiaTheme="minorHAnsi" w:hAnsi="Verdana" w:cs="Verdana"/>
      <w:color w:val="000000"/>
      <w:sz w:val="24"/>
      <w:szCs w:val="24"/>
      <w:lang w:eastAsia="en-US"/>
    </w:rPr>
  </w:style>
  <w:style w:type="paragraph" w:styleId="Bibliografi">
    <w:name w:val="Bibliography"/>
    <w:basedOn w:val="Normal"/>
    <w:next w:val="Normal"/>
    <w:uiPriority w:val="37"/>
    <w:unhideWhenUsed/>
    <w:rsid w:val="00AD6323"/>
    <w:pPr>
      <w:spacing w:after="200" w:line="276" w:lineRule="auto"/>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9D2CA1"/>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IRAS\Skabeloner\Skabeloner\Note%20with%20Ind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OrbiconItem xmlns="Instant.IT.Orbicon.WordApp">
  <documentManagement>
    <UserInfo>
      <UserName>nybo</UserName>
      <SiteUrl>C:\Users\NYBO\Downloads</SiteUrl>
      <DocumentURL>C:\Users\NYBO\Downloads</DocumentURL>
      <Logo>1</Logo>
    </UserInfo>
    <!--Basic Document Information-->
    <IsDocumentSaved xmlns="Instant.IT.Orbicon.WordApp"/>
    <IsDocumentSavedDate xmlns="Instant.IT.Orbicon.WordApp"/>
    <ESDHDocumentInformationLanguage xmlns="Instant.IT.Orbicon.WordApp"/>
    <!--Receiver Information Panel-->
    <ESDHReceiverCompanyName xmlns="Instant.IT.Orbicon.WordApp">Modtager Navn</ESDHReceiverCompanyName>
    <ESDHReceiverCompanyNameID xmlns="Instant.IT.Orbicon.WordApp"/>
    <ESDHReceiverAttentionPerson xmlns="Instant.IT.Orbicon.WordApp"/>
    <ESDHReceiverAttentionPersonID xmlns="Instant.IT.Orbicon.WordApp"/>
    <ESDHReceiverFullAddress xmlns="Instant.IT.Orbicon.WordApp">Modtager Adresse</ESDHReceiverFullAddress>
    <ESDHReceiverTelephone xmlns="Instant.IT.Orbicon.WordApp"/>
    <ESDHReceiverMobileTelephone xmlns="Instant.IT.Orbicon.WordApp"/>
    <ESDHReceiverEmail xmlns="Instant.IT.Orbicon.WordApp"/>
    <ESDHReceiverFax xmlns="Instant.IT.Orbicon.WordApp"/>
    <!--Additional Document Information Panel-->
    <ESDHTitle xmlns="Instant.IT.Orbicon.WordApp"/>
    <ESDHDocumentInformationInitials xmlns="Instant.IT.Orbicon.WordApp"/>
    <ESDHProject xmlns="Instant.IT.Orbicon.WordApp"/>
    <ESDHCaseIDInternal xmlns="Instant.IT.Orbicon.WordApp"/>
    <ESDHAddCaseIDToDocumment xmlns="Instant.IT.Orbicon.WordApp"/>
    <ESDHAddCaseIDToDocummentText xmlns="Instant.IT.Orbicon.WordApp"/>
    <ESDHCaseID xmlns="Instant.IT.Orbicon.WordApp"/>
    <ESDHDocumentID xmlns="Instant.IT.Orbicon.WordApp"/>
    <ESDHSubProject xmlns="Instant.IT.Orbicon.WordApp"/>
    <ESDHSubProjectID xmlns="Instant.IT.Orbicon.WordApp"/>
    <ESDHActivity xmlns="Instant.IT.Orbicon.WordApp"/>
    <ESDHActivityID xmlns="Instant.IT.Orbicon.WordApp"/>
    <CurrentVersion xmlns="Instant.IT.Orbicon.WordApp"/>
    <ESDHDocumentInformationDate xmlns="Instant.IT.Orbicon.WordApp"/>
    <ESDHDocumentInformationDateText xmlns="Instant.IT.Orbicon.WordApp"/>
    <ESDHDocumentInformationCustomerReference xmlns="Instant.IT.Orbicon.WordApp"/>
    <ESDHDocumentInformationLogo xmlns="Instant.IT.Orbicon.WordApp"/>
    <!--Information for QA Panel-->
    <ESDHProjectManager xmlns="Instant.IT.Orbicon.WordApp"/>
    <ESDHReviewedBy xmlns="Instant.IT.Orbicon.WordApp"/>
    <ESDHQualityControlReviewNumber xmlns="Instant.IT.Orbicon.WordApp"/>
    <ESDHApprovedBy xmlns="Instant.IT.Orbicon.WordApp"/>
    <ESDHSentDate xmlns="Instant.IT.Orbicon.WordApp"/>
    <ESDHDocumentInformationOnline xmlns="Instant.IT.Orbicon.WordApp"/>
    <!--Sender Information Panel-->
    <ESDHSenderCompanyName xmlns="Instant.IT.Orbicon.WordApp"/>
    <ESDHSenderCompanyNameID xmlns="Instant.IT.Orbicon.WordApp"/>
    <ESDHSenderDepartmentName xmlns="Instant.IT.Orbicon.WordApp"/>
    <ESDHSenderDepartmentNameID xmlns="Instant.IT.Orbicon.WordApp"/>
    <ESDHSenderOfficeName xmlns="Instant.IT.Orbicon.WordApp"/>
    <ESDHSenderOfficeNameID xmlns="Instant.IT.Orbicon.WordApp"/>
    <ESDHSenderTelephone xmlns="Instant.IT.Orbicon.WordApp"/>
    <ESDHSenderCompanyAddress xmlns="Instant.IT.Orbicon.WordApp"/>
    <ESDHSenderCompanyZipCode xmlns="Instant.IT.Orbicon.WordApp"/>
    <ESDHSenderCompanyCity xmlns="Instant.IT.Orbicon.WordApp"/>
    <ESDHSenderCompanyZipCodeCity xmlns="Instant.IT.Orbicon.WordApp"/>
    <ESDHSenderName xmlns="Instant.IT.Orbicon.WordApp"/>
    <ESDHSenderTitle xmlns="Instant.IT.Orbicon.WordApp"/>
    <ESDHSenderEducation xmlns="Instant.IT.Orbicon.WordApp"/>
    <ESDHSenderMobileTelephone xmlns="Instant.IT.Orbicon.WordApp"/>
    <ESDHSenderEmail xmlns="Instant.IT.Orbicon.WordApp"/>
    <ESDHAddTitleSignature xmlns="Instant.IT.Orbicon.WordApp"/>
    <ESDHAddEducationInSignature xmlns="Instant.IT.Orbicon.WordApp"/>
    <!--Other unused Information-->
    <ESDHCustomerGroup xmlns="Instant.IT.Orbicon.WordApp"/>
    <ESDHProductArea xmlns="Instant.IT.Orbicon.WordApp"/>
    <ESDHCustomerID xmlns="Instant.IT.Orbicon.WordApp"/>
    <ESDHOrdererName xmlns="Instant.IT.Orbicon.WordApp"/>
    <ESDHCaseFileID xmlns="Instant.IT.Orbicon.WordApp"/>
    <ESDHDeptName xmlns="Instant.IT.Orbicon.WordApp"/>
    <ESDHCustomerName xmlns="Instant.IT.Orbicon.WordApp"/>
    <ESDHDeptID xmlns="Instant.IT.Orbicon.WordApp"/>
    <Comments xmlns="Instant.IT.Orbicon.WordApp"/>
    <ESDHAddVersionToDocumment xmlns="Instant.IT.Orbicon.WordApp"/>
    <ESDHAddSubProjectToDocumment xmlns="Instant.IT.Orbicon.WordApp"/>
    <ESDHSubProjectTitle xmlns="Instant.IT.Orbicon.WordApp"/>
    <ESDHPMDocumentName xmlns="Instant.IT.Orbicon.WordApp"/>
    <DropDowns>
      <ddlESDHReceiverCompanyName xmlns="Instant.IT.Orbicon.WordApp">
        <Option>
          <Text/>
          <Value/>
        </Option>
      </ddlESDHReceiverCompanyName>
      <ddlESDHReceiverAttentionPerson xmlns="Instant.IT.Orbicon.WordApp">
        <Option>
          <Text/>
          <Value/>
        </Option>
      </ddlESDHReceiverAttentionPerson>
      <ddlESDHSubProject xmlns="Instant.IT.Orbicon.WordApp">
        <Option>
          <Text/>
          <Value/>
        </Option>
      </ddlESDHSubProject>
      <ddlESDHActivity xmlns="Instant.IT.Orbicon.WordApp">
        <Option>
          <Text/>
          <Value/>
        </Option>
      </ddlESDHActivity>
      <ddlESDHSenderCompanyName xmlns="Instant.IT.Orbicon.WordApp">
        <Option>
          <Text/>
          <Value/>
        </Option>
      </ddlESDHSenderCompanyName>
      <ddlESDHSenderDepartmentName xmlns="Instant.IT.Orbicon.WordApp">
        <Option>
          <Text/>
          <Value/>
        </Option>
      </ddlESDHSenderDepartmentName>
      <ddlESDHSenderOfficeName xmlns="Instant.IT.Orbicon.WordApp">
        <Option>
          <Text/>
          <Value/>
        </Option>
      </ddlESDHSenderOfficeName>
    </DropDowns>
  </documentManagement>
</OrbiconItem>
</file>

<file path=customXml/item3.xml><?xml version="1.0" encoding="utf-8"?>
<ct:contentTypeSchema xmlns:ct="http://schemas.microsoft.com/office/2006/metadata/contentType" xmlns:ma="http://schemas.microsoft.com/office/2006/metadata/properties/metaAttributes" ct:_="" ma:_="" ma:contentTypeName="Dokument" ma:contentTypeID="0x010100B3267FAAA6AC5F4A88AEC9207BDE8EFA" ma:contentTypeVersion="8" ma:contentTypeDescription="Opret et nyt dokument." ma:contentTypeScope="" ma:versionID="71bb5e536fe5c200ef8bf8c513cc8e54">
  <xsd:schema xmlns:xsd="http://www.w3.org/2001/XMLSchema" xmlns:xs="http://www.w3.org/2001/XMLSchema" xmlns:p="http://schemas.microsoft.com/office/2006/metadata/properties" xmlns:ns2="fc8dc1b8-44f0-46f5-921a-5cb64904c588" xmlns:ns3="e9708452-3b21-4bd8-9d1a-e921609ebcce" targetNamespace="http://schemas.microsoft.com/office/2006/metadata/properties" ma:root="true" ma:fieldsID="95a6123dc027add08d65aea82ee53070" ns2:_="" ns3:_="">
    <xsd:import namespace="fc8dc1b8-44f0-46f5-921a-5cb64904c588"/>
    <xsd:import namespace="e9708452-3b21-4bd8-9d1a-e921609ebc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dc1b8-44f0-46f5-921a-5cb64904c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8452-3b21-4bd8-9d1a-e921609ebcce"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Sixth Edition">
  <b:Source>
    <b:Tag>Placeholder1</b:Tag>
    <b:SourceType>Report</b:SourceType>
    <b:Guid>{7D3D1ABE-2474-41B5-8602-E13A407BDC76}</b:Guid>
    <b:Author>
      <b:Author>
        <b:Corporate>Miljø- og Fødevareministeriet</b:Corporate>
      </b:Author>
    </b:Author>
    <b:Title>Bekendtgørelse om fastlæggelse af miljømål for vandløb, søer, overgangsvande, kystvande og grundvand. BEK nr 1070 af 09/09/2015</b:Title>
    <b:Year>2015</b:Year>
    <b:RefOrder>2</b:RefOrder>
  </b:Source>
  <b:Source>
    <b:Tag>Mil08</b:Tag>
    <b:SourceType>Report</b:SourceType>
    <b:Guid>{76EA3285-C2BB-47ED-B33B-990145C2AE8A}</b:Guid>
    <b:Title>Vejledning fra By- og Landskabsstyrelsen. Dumping af optaget havbundsmateriale - klapning.Miljøministeriet.</b:Title>
    <b:Year>2008</b:Year>
    <b:Author>
      <b:Author>
        <b:Corporate>VEJ nr. 9702 af 20/10/2008</b:Corporate>
      </b:Author>
    </b:Author>
    <b:RefOrder>3</b:RefOrder>
  </b:Source>
  <b:Source>
    <b:Tag>OSP</b:Tag>
    <b:SourceType>ConferenceProceedings</b:SourceType>
    <b:Guid>{FDFE4515-1B06-49BA-8FDE-D1B0DBCED91F}</b:Guid>
    <b:Author>
      <b:Author>
        <b:Corporate>OSPAR Commission</b:Corporate>
      </b:Author>
    </b:Author>
    <b:Title>Levels and trends in marine contaminants and their biological effects - CEMP Assessment Report 2013</b:Title>
    <b:Year>2014</b:Year>
    <b:RefOrder>4</b:RefOrder>
  </b:Source>
  <b:Source>
    <b:Tag>Mil151</b:Tag>
    <b:SourceType>Report</b:SourceType>
    <b:Guid>{393A4E14-1A2C-4CB0-8C01-FD800AA9A3C7}</b:Guid>
    <b:Author>
      <b:Author>
        <b:Corporate>Miljø- og Fødevareministeriet</b:Corporate>
      </b:Author>
    </b:Author>
    <b:Title>Bekendtgørelse om fastlæggelse af miljømål for vandløb, søer, overgangsvande, kystvande og grundvand. BEK nr 439 af 19/05/2016</b:Title>
    <b:Year>2016</b:Year>
    <b:RefOrder>1</b:RefOrder>
  </b:Source>
</b:Sources>
</file>

<file path=customXml/itemProps1.xml><?xml version="1.0" encoding="utf-8"?>
<ds:datastoreItem xmlns:ds="http://schemas.openxmlformats.org/officeDocument/2006/customXml" ds:itemID="{5C537C61-1A33-4EA6-B964-A244DC9F4100}">
  <ds:schemaRefs>
    <ds:schemaRef ds:uri="http://schemas.microsoft.com/sharepoint/v3/contenttype/forms"/>
  </ds:schemaRefs>
</ds:datastoreItem>
</file>

<file path=customXml/itemProps2.xml><?xml version="1.0" encoding="utf-8"?>
<ds:datastoreItem xmlns:ds="http://schemas.openxmlformats.org/officeDocument/2006/customXml" ds:itemID="{092CD9AD-29B9-4AA5-B6AC-E3CDBB3116FD}">
  <ds:schemaRefs>
    <ds:schemaRef ds:uri="Instant.IT.Orbicon.WordApp"/>
  </ds:schemaRefs>
</ds:datastoreItem>
</file>

<file path=customXml/itemProps3.xml><?xml version="1.0" encoding="utf-8"?>
<ds:datastoreItem xmlns:ds="http://schemas.openxmlformats.org/officeDocument/2006/customXml" ds:itemID="{E460609C-2460-4EF5-AF5D-B7C744BF5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dc1b8-44f0-46f5-921a-5cb64904c588"/>
    <ds:schemaRef ds:uri="e9708452-3b21-4bd8-9d1a-e921609eb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F6E9BD-C044-42C9-8BE9-9DE980488B1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AFCFBE7-729E-4806-B542-A9F21C7F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with Index.dotx</Template>
  <TotalTime>0</TotalTime>
  <Pages>6</Pages>
  <Words>1416</Words>
  <Characters>8638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NIRAS</Company>
  <LinksUpToDate>false</LinksUpToDate>
  <CharactersWithSpaces>10034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Christiansen (KSCH)</dc:creator>
  <cp:lastModifiedBy>NYBO - Jesper Nybo Andersen</cp:lastModifiedBy>
  <cp:revision>2</cp:revision>
  <dcterms:created xsi:type="dcterms:W3CDTF">2018-07-04T11:55:00Z</dcterms:created>
  <dcterms:modified xsi:type="dcterms:W3CDTF">2018-07-04T11:55:00Z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0x010100B3267FAAA6AC5F4A88AEC9207BDE8EFA</vt:lpwstr>
  </property>
</Properties>
</file>