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318D" w14:textId="7EBA09CF" w:rsidR="00834532" w:rsidRPr="001D26D2" w:rsidRDefault="001D26D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  <w:r w:rsidRPr="001D26D2">
        <w:rPr>
          <w:b/>
          <w:sz w:val="36"/>
          <w:lang w:val="en-US" w:bidi="en-US"/>
        </w:rPr>
        <w:t xml:space="preserve">Appendix </w:t>
      </w:r>
      <w:r w:rsidR="005C37E5">
        <w:rPr>
          <w:b/>
          <w:sz w:val="36"/>
          <w:lang w:val="en-US" w:bidi="en-US"/>
        </w:rPr>
        <w:t>3</w:t>
      </w:r>
      <w:r w:rsidR="00887EF1">
        <w:rPr>
          <w:b/>
          <w:sz w:val="36"/>
          <w:lang w:val="en-US" w:bidi="en-US"/>
        </w:rPr>
        <w:t>a</w:t>
      </w:r>
    </w:p>
    <w:p w14:paraId="6F61D34C" w14:textId="77777777" w:rsidR="00834532" w:rsidRPr="001D26D2" w:rsidRDefault="0083453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</w:p>
    <w:p w14:paraId="16F40C17" w14:textId="7ADC7F6D" w:rsidR="00834532" w:rsidRPr="001D26D2" w:rsidRDefault="00FA35CC" w:rsidP="00FA35CC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  <w:r>
        <w:rPr>
          <w:b/>
          <w:sz w:val="36"/>
          <w:lang w:val="en-US" w:bidi="en-US"/>
        </w:rPr>
        <w:t xml:space="preserve">Description of </w:t>
      </w:r>
      <w:r w:rsidR="007946E8">
        <w:rPr>
          <w:b/>
          <w:sz w:val="36"/>
          <w:lang w:val="en-US" w:bidi="en-US"/>
        </w:rPr>
        <w:t>Resource Base</w:t>
      </w:r>
    </w:p>
    <w:p w14:paraId="2B807D0A" w14:textId="77777777" w:rsidR="00834532" w:rsidRPr="001D26D2" w:rsidRDefault="0083453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lang w:val="en-US"/>
        </w:rPr>
      </w:pPr>
    </w:p>
    <w:p w14:paraId="7B49A253" w14:textId="77777777" w:rsidR="00834532" w:rsidRPr="001D26D2" w:rsidRDefault="001D26D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i/>
          <w:sz w:val="40"/>
          <w:szCs w:val="40"/>
          <w:lang w:val="en-US"/>
        </w:rPr>
      </w:pPr>
      <w:r w:rsidRPr="001D26D2">
        <w:rPr>
          <w:sz w:val="40"/>
          <w:szCs w:val="40"/>
          <w:lang w:val="en-US"/>
        </w:rPr>
        <w:t xml:space="preserve">Framework Agreement for Consultancy Services for the Danish Energy Partnership </w:t>
      </w:r>
      <w:proofErr w:type="spellStart"/>
      <w:r w:rsidRPr="001D26D2">
        <w:rPr>
          <w:sz w:val="40"/>
          <w:szCs w:val="40"/>
          <w:lang w:val="en-US"/>
        </w:rPr>
        <w:t>Programme</w:t>
      </w:r>
      <w:proofErr w:type="spellEnd"/>
      <w:r w:rsidRPr="001D26D2">
        <w:rPr>
          <w:sz w:val="40"/>
          <w:szCs w:val="40"/>
          <w:lang w:val="en-US"/>
        </w:rPr>
        <w:t xml:space="preserve"> (DEPP), Phase II with Mexico, China, South Africa and Viet Nam</w:t>
      </w:r>
    </w:p>
    <w:p w14:paraId="52E5451C" w14:textId="77777777" w:rsidR="00834532" w:rsidRPr="001D26D2" w:rsidRDefault="00834532" w:rsidP="00D021A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p w14:paraId="40991FDC" w14:textId="77777777" w:rsidR="00834532" w:rsidRPr="001D26D2" w:rsidRDefault="00834532" w:rsidP="00D021A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p w14:paraId="4D6808D9" w14:textId="77777777" w:rsidR="00834532" w:rsidRPr="001D26D2" w:rsidRDefault="00834532" w:rsidP="00D021A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eastAsia="da-DK"/>
        </w:rPr>
        <w:id w:val="-1522546668"/>
        <w:docPartObj>
          <w:docPartGallery w:val="Table of Contents"/>
          <w:docPartUnique/>
        </w:docPartObj>
      </w:sdtPr>
      <w:sdtEndPr>
        <w:rPr>
          <w:bCs/>
          <w:sz w:val="23"/>
          <w:szCs w:val="20"/>
        </w:rPr>
      </w:sdtEndPr>
      <w:sdtContent>
        <w:p w14:paraId="2B284313" w14:textId="77777777" w:rsidR="00834532" w:rsidRPr="001D26D2" w:rsidRDefault="00834532" w:rsidP="00D021AD">
          <w:pPr>
            <w:pStyle w:val="Overskrift"/>
            <w:jc w:val="both"/>
            <w:rPr>
              <w:rFonts w:ascii="Times New Roman" w:hAnsi="Times New Roman" w:cs="Times New Roman"/>
              <w:color w:val="auto"/>
            </w:rPr>
          </w:pPr>
          <w:r w:rsidRPr="001D26D2">
            <w:rPr>
              <w:rFonts w:ascii="Times New Roman" w:hAnsi="Times New Roman" w:cs="Times New Roman"/>
              <w:color w:val="auto"/>
              <w:lang w:val="en-US" w:bidi="en-US"/>
            </w:rPr>
            <w:t>Contents</w:t>
          </w:r>
        </w:p>
        <w:p w14:paraId="43C5EC41" w14:textId="0D4275B4" w:rsidR="00CC0B90" w:rsidRDefault="00206162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 w:rsidRPr="001D26D2">
            <w:rPr>
              <w:sz w:val="20"/>
              <w:lang w:val="en-US" w:bidi="en-US"/>
            </w:rPr>
            <w:fldChar w:fldCharType="begin"/>
          </w:r>
          <w:r w:rsidRPr="001D26D2">
            <w:rPr>
              <w:sz w:val="20"/>
              <w:lang w:val="en-US" w:bidi="en-US"/>
            </w:rPr>
            <w:instrText xml:space="preserve"> TOC \o "1-3" \h \z \u </w:instrText>
          </w:r>
          <w:r w:rsidRPr="001D26D2">
            <w:rPr>
              <w:sz w:val="20"/>
              <w:lang w:val="en-US" w:bidi="en-US"/>
            </w:rPr>
            <w:fldChar w:fldCharType="separate"/>
          </w:r>
          <w:hyperlink w:anchor="_Toc493510964" w:history="1">
            <w:r w:rsidR="00CC0B90" w:rsidRPr="008B67EB">
              <w:rPr>
                <w:rStyle w:val="Hyperlink"/>
                <w:noProof/>
                <w:lang w:val="en-GB"/>
              </w:rPr>
              <w:t>1.</w:t>
            </w:r>
            <w:r w:rsidR="00CC0B90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CC0B90" w:rsidRPr="008B67EB">
              <w:rPr>
                <w:rStyle w:val="Hyperlink"/>
                <w:noProof/>
                <w:lang w:val="en-GB"/>
              </w:rPr>
              <w:t>Description of the TendereR’s RESOURCE bASE</w:t>
            </w:r>
            <w:r w:rsidR="00CC0B90">
              <w:rPr>
                <w:noProof/>
                <w:webHidden/>
              </w:rPr>
              <w:tab/>
            </w:r>
            <w:r w:rsidR="00CC0B90">
              <w:rPr>
                <w:noProof/>
                <w:webHidden/>
              </w:rPr>
              <w:fldChar w:fldCharType="begin"/>
            </w:r>
            <w:r w:rsidR="00CC0B90">
              <w:rPr>
                <w:noProof/>
                <w:webHidden/>
              </w:rPr>
              <w:instrText xml:space="preserve"> PAGEREF _Toc493510964 \h </w:instrText>
            </w:r>
            <w:r w:rsidR="00CC0B90">
              <w:rPr>
                <w:noProof/>
                <w:webHidden/>
              </w:rPr>
            </w:r>
            <w:r w:rsidR="00CC0B90">
              <w:rPr>
                <w:noProof/>
                <w:webHidden/>
              </w:rPr>
              <w:fldChar w:fldCharType="separate"/>
            </w:r>
            <w:r w:rsidR="00CC0B90">
              <w:rPr>
                <w:noProof/>
                <w:webHidden/>
              </w:rPr>
              <w:t>2</w:t>
            </w:r>
            <w:r w:rsidR="00CC0B90">
              <w:rPr>
                <w:noProof/>
                <w:webHidden/>
              </w:rPr>
              <w:fldChar w:fldCharType="end"/>
            </w:r>
          </w:hyperlink>
        </w:p>
        <w:p w14:paraId="1B055CAC" w14:textId="43D82AE0" w:rsidR="00CC0B90" w:rsidRDefault="00CC0B90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93510965" w:history="1">
            <w:r w:rsidRPr="008B67EB">
              <w:rPr>
                <w:rStyle w:val="Hyperlink"/>
                <w:lang w:val="en-GB"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8B67EB">
              <w:rPr>
                <w:rStyle w:val="Hyperlink"/>
                <w:lang w:val="en-GB"/>
              </w:rPr>
              <w:t>THIS SCHEDULE SHALL INCLUDE: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_Toc493510965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6A1F33A" w14:textId="29307A05" w:rsidR="00834532" w:rsidRPr="001D26D2" w:rsidRDefault="00206162" w:rsidP="00D021AD">
          <w:r w:rsidRPr="001D26D2">
            <w:rPr>
              <w:sz w:val="20"/>
              <w:lang w:val="en-US" w:bidi="en-US"/>
            </w:rPr>
            <w:fldChar w:fldCharType="end"/>
          </w:r>
        </w:p>
      </w:sdtContent>
    </w:sdt>
    <w:p w14:paraId="1DFCD369" w14:textId="77777777" w:rsidR="00834532" w:rsidRPr="001D26D2" w:rsidRDefault="00834532" w:rsidP="00D021AD">
      <w:pPr>
        <w:pStyle w:val="Ingenafstand"/>
        <w:jc w:val="both"/>
        <w:rPr>
          <w:rFonts w:ascii="Times New Roman" w:hAnsi="Times New Roman" w:cs="Times New Roman"/>
          <w:sz w:val="20"/>
          <w:szCs w:val="20"/>
        </w:rPr>
      </w:pPr>
    </w:p>
    <w:p w14:paraId="074726BC" w14:textId="77777777" w:rsidR="00834532" w:rsidRPr="001D26D2" w:rsidRDefault="00834532" w:rsidP="00D021AD">
      <w:pPr>
        <w:rPr>
          <w:rFonts w:eastAsiaTheme="minorHAnsi"/>
          <w:sz w:val="20"/>
          <w:lang w:val="en-US" w:eastAsia="en-US"/>
        </w:rPr>
      </w:pPr>
      <w:bookmarkStart w:id="0" w:name="_GoBack"/>
      <w:bookmarkEnd w:id="0"/>
      <w:r w:rsidRPr="001D26D2">
        <w:rPr>
          <w:sz w:val="20"/>
          <w:lang w:val="en-US" w:bidi="en-US"/>
        </w:rPr>
        <w:br w:type="page"/>
      </w:r>
    </w:p>
    <w:p w14:paraId="4FA5A7A1" w14:textId="39E1E986" w:rsidR="00FA35CC" w:rsidRPr="00760901" w:rsidRDefault="00FA35CC" w:rsidP="00FA35CC">
      <w:pPr>
        <w:pStyle w:val="Overskrift1"/>
        <w:rPr>
          <w:lang w:val="en-GB"/>
        </w:rPr>
      </w:pPr>
      <w:bookmarkStart w:id="1" w:name="_Toc493510964"/>
      <w:r w:rsidRPr="00760901">
        <w:rPr>
          <w:lang w:val="en-GB"/>
        </w:rPr>
        <w:lastRenderedPageBreak/>
        <w:t>Description of the Tendere</w:t>
      </w:r>
      <w:r w:rsidR="00E704C4" w:rsidRPr="00760901">
        <w:rPr>
          <w:lang w:val="en-GB"/>
        </w:rPr>
        <w:t>R</w:t>
      </w:r>
      <w:r w:rsidRPr="00760901">
        <w:rPr>
          <w:lang w:val="en-GB"/>
        </w:rPr>
        <w:t xml:space="preserve">’s </w:t>
      </w:r>
      <w:r w:rsidR="00AC1C74" w:rsidRPr="00760901">
        <w:rPr>
          <w:lang w:val="en-GB"/>
        </w:rPr>
        <w:t>RESOURCE bASE</w:t>
      </w:r>
      <w:bookmarkEnd w:id="1"/>
      <w:r w:rsidRPr="00760901">
        <w:rPr>
          <w:lang w:val="en-GB"/>
        </w:rPr>
        <w:t xml:space="preserve"> </w:t>
      </w:r>
    </w:p>
    <w:p w14:paraId="211CA135" w14:textId="77777777" w:rsidR="00FA35CC" w:rsidRPr="00760901" w:rsidRDefault="00FA35CC" w:rsidP="00FA35CC">
      <w:pPr>
        <w:spacing w:before="121"/>
        <w:ind w:left="112" w:right="248"/>
        <w:rPr>
          <w:i/>
          <w:sz w:val="20"/>
          <w:lang w:val="en-GB"/>
        </w:rPr>
      </w:pPr>
      <w:r w:rsidRPr="00760901">
        <w:rPr>
          <w:i/>
          <w:sz w:val="20"/>
          <w:lang w:val="en-GB"/>
        </w:rPr>
        <w:t>(To be prepared by the Tenderer and should be limited to a maximum of 16 pages (maximum 4000 keystrokes per page). This Schedule shall not include any comments or suggestions to the Terms of Reference.)</w:t>
      </w:r>
      <w:r w:rsidRPr="00760901">
        <w:rPr>
          <w:i/>
          <w:sz w:val="20"/>
          <w:lang w:val="en-GB"/>
        </w:rPr>
        <w:br/>
      </w:r>
    </w:p>
    <w:p w14:paraId="4E04EB8C" w14:textId="542C85C7" w:rsidR="00AC1C74" w:rsidRPr="00760901" w:rsidRDefault="00FA35CC" w:rsidP="00AC1C74">
      <w:pPr>
        <w:pStyle w:val="Overskrift2"/>
        <w:rPr>
          <w:lang w:val="en-GB"/>
        </w:rPr>
      </w:pPr>
      <w:bookmarkStart w:id="2" w:name="_Toc493510965"/>
      <w:r w:rsidRPr="00760901">
        <w:rPr>
          <w:lang w:val="en-GB"/>
        </w:rPr>
        <w:t>THIS SCHEDULE SHALL INCLUDE:</w:t>
      </w:r>
      <w:bookmarkEnd w:id="2"/>
    </w:p>
    <w:p w14:paraId="69BBF567" w14:textId="01F4CB32" w:rsidR="00AC1C74" w:rsidRPr="008F778B" w:rsidRDefault="00AC1C74" w:rsidP="009A0422">
      <w:pPr>
        <w:pStyle w:val="Listeafsnit"/>
        <w:widowControl w:val="0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right="325"/>
        <w:contextualSpacing w:val="0"/>
        <w:jc w:val="left"/>
        <w:textAlignment w:val="auto"/>
        <w:rPr>
          <w:sz w:val="20"/>
          <w:lang w:val="en-GB"/>
        </w:rPr>
      </w:pPr>
      <w:r w:rsidRPr="00760901">
        <w:rPr>
          <w:color w:val="222222"/>
          <w:lang w:val="en-GB"/>
        </w:rPr>
        <w:t>A d</w:t>
      </w:r>
      <w:r w:rsidR="00E704C4" w:rsidRPr="00760901">
        <w:rPr>
          <w:color w:val="222222"/>
          <w:lang w:val="en-GB"/>
        </w:rPr>
        <w:t>escription of the T</w:t>
      </w:r>
      <w:r w:rsidR="00FA35CC" w:rsidRPr="00760901">
        <w:rPr>
          <w:color w:val="222222"/>
          <w:lang w:val="en-GB"/>
        </w:rPr>
        <w:t xml:space="preserve">enderer's </w:t>
      </w:r>
      <w:r w:rsidR="00D16470">
        <w:rPr>
          <w:color w:val="222222"/>
          <w:lang w:val="en-GB"/>
        </w:rPr>
        <w:t>Resource Base</w:t>
      </w:r>
      <w:r w:rsidR="00FA35CC" w:rsidRPr="00760901">
        <w:rPr>
          <w:color w:val="222222"/>
          <w:lang w:val="en-GB"/>
        </w:rPr>
        <w:t xml:space="preserve"> of </w:t>
      </w:r>
      <w:r w:rsidRPr="00760901">
        <w:rPr>
          <w:color w:val="222222"/>
          <w:lang w:val="en-GB"/>
        </w:rPr>
        <w:t xml:space="preserve">experts/ </w:t>
      </w:r>
      <w:r w:rsidR="00FA35CC" w:rsidRPr="00760901">
        <w:rPr>
          <w:color w:val="222222"/>
          <w:lang w:val="en-GB"/>
        </w:rPr>
        <w:t>consultants within the contract area</w:t>
      </w:r>
      <w:r w:rsidR="00760901">
        <w:rPr>
          <w:color w:val="222222"/>
          <w:lang w:val="en-GB"/>
        </w:rPr>
        <w:t xml:space="preserve">. The description must </w:t>
      </w:r>
      <w:r w:rsidR="00111D98">
        <w:rPr>
          <w:color w:val="222222"/>
          <w:lang w:val="en-GB"/>
        </w:rPr>
        <w:t>outline</w:t>
      </w:r>
      <w:r w:rsidR="00760901">
        <w:rPr>
          <w:color w:val="222222"/>
          <w:lang w:val="en-GB"/>
        </w:rPr>
        <w:t xml:space="preserve"> experience</w:t>
      </w:r>
      <w:r w:rsidR="00D16470">
        <w:rPr>
          <w:color w:val="222222"/>
          <w:lang w:val="en-GB"/>
        </w:rPr>
        <w:t xml:space="preserve"> and</w:t>
      </w:r>
      <w:r w:rsidR="008F778B">
        <w:rPr>
          <w:color w:val="222222"/>
          <w:lang w:val="en-GB"/>
        </w:rPr>
        <w:t xml:space="preserve"> </w:t>
      </w:r>
      <w:r w:rsidR="00760901">
        <w:rPr>
          <w:color w:val="222222"/>
          <w:lang w:val="en-GB"/>
        </w:rPr>
        <w:t>competenc</w:t>
      </w:r>
      <w:r w:rsidR="00970844">
        <w:rPr>
          <w:color w:val="222222"/>
          <w:lang w:val="en-GB"/>
        </w:rPr>
        <w:t>e</w:t>
      </w:r>
      <w:r w:rsidR="008F778B">
        <w:rPr>
          <w:color w:val="222222"/>
          <w:lang w:val="en-GB"/>
        </w:rPr>
        <w:t xml:space="preserve"> </w:t>
      </w:r>
      <w:r w:rsidR="00970844">
        <w:rPr>
          <w:color w:val="222222"/>
          <w:lang w:val="en-GB"/>
        </w:rPr>
        <w:t xml:space="preserve">of </w:t>
      </w:r>
      <w:r w:rsidR="00D16470">
        <w:rPr>
          <w:color w:val="222222"/>
          <w:lang w:val="en-GB"/>
        </w:rPr>
        <w:t>Resource Base</w:t>
      </w:r>
      <w:r w:rsidR="00970844">
        <w:rPr>
          <w:color w:val="222222"/>
          <w:lang w:val="en-GB"/>
        </w:rPr>
        <w:t xml:space="preserve"> members.</w:t>
      </w:r>
      <w:r w:rsidR="00760901">
        <w:rPr>
          <w:color w:val="222222"/>
          <w:lang w:val="en-GB"/>
        </w:rPr>
        <w:t xml:space="preserve"> </w:t>
      </w:r>
      <w:r w:rsidR="009A0422">
        <w:rPr>
          <w:color w:val="222222"/>
          <w:lang w:val="en-GB"/>
        </w:rPr>
        <w:br/>
      </w:r>
      <w:r w:rsidR="008F778B">
        <w:rPr>
          <w:color w:val="222222"/>
          <w:lang w:val="en-GB"/>
        </w:rPr>
        <w:t xml:space="preserve">Maximum 8 pages/ 4000 keystrokes per page. </w:t>
      </w:r>
    </w:p>
    <w:p w14:paraId="3EDADD32" w14:textId="6284E591" w:rsidR="008F778B" w:rsidRPr="008F778B" w:rsidRDefault="008F778B" w:rsidP="00FA35CC">
      <w:pPr>
        <w:pStyle w:val="Listeafsnit"/>
        <w:widowControl w:val="0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right="325"/>
        <w:contextualSpacing w:val="0"/>
        <w:textAlignment w:val="auto"/>
        <w:rPr>
          <w:szCs w:val="23"/>
          <w:lang w:val="en-GB"/>
        </w:rPr>
      </w:pPr>
      <w:r w:rsidRPr="008F778B">
        <w:rPr>
          <w:szCs w:val="23"/>
          <w:lang w:val="en-GB"/>
        </w:rPr>
        <w:t xml:space="preserve">An overview of the </w:t>
      </w:r>
      <w:r>
        <w:rPr>
          <w:szCs w:val="23"/>
          <w:lang w:val="en-GB"/>
        </w:rPr>
        <w:t>information above, to be provided in the “Resource base competence” document (</w:t>
      </w:r>
      <w:r w:rsidR="00D16470">
        <w:rPr>
          <w:szCs w:val="23"/>
          <w:lang w:val="en-GB"/>
        </w:rPr>
        <w:t>Appendix 3b</w:t>
      </w:r>
      <w:r>
        <w:rPr>
          <w:szCs w:val="23"/>
          <w:lang w:val="en-GB"/>
        </w:rPr>
        <w:t xml:space="preserve">). The filled-in format must be provided as an Excel file </w:t>
      </w:r>
      <w:r w:rsidRPr="008F778B">
        <w:rPr>
          <w:b/>
          <w:i/>
          <w:szCs w:val="23"/>
          <w:lang w:val="en-GB"/>
        </w:rPr>
        <w:t>and</w:t>
      </w:r>
      <w:r>
        <w:rPr>
          <w:szCs w:val="23"/>
          <w:lang w:val="en-GB"/>
        </w:rPr>
        <w:t xml:space="preserve"> as a PDF. </w:t>
      </w:r>
    </w:p>
    <w:p w14:paraId="47EC9FD7" w14:textId="30455BF7" w:rsidR="00FA35CC" w:rsidRPr="00760901" w:rsidRDefault="00AC1C74" w:rsidP="009A0422">
      <w:pPr>
        <w:pStyle w:val="Listeafsnit"/>
        <w:widowControl w:val="0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right="325"/>
        <w:contextualSpacing w:val="0"/>
        <w:jc w:val="left"/>
        <w:textAlignment w:val="auto"/>
        <w:rPr>
          <w:sz w:val="20"/>
          <w:lang w:val="en-GB"/>
        </w:rPr>
      </w:pPr>
      <w:r w:rsidRPr="00760901">
        <w:rPr>
          <w:color w:val="222222"/>
          <w:lang w:val="en-GB"/>
        </w:rPr>
        <w:t>A</w:t>
      </w:r>
      <w:r w:rsidR="00FA35CC" w:rsidRPr="00760901">
        <w:rPr>
          <w:color w:val="222222"/>
          <w:lang w:val="en-GB"/>
        </w:rPr>
        <w:t xml:space="preserve"> description of the </w:t>
      </w:r>
      <w:r w:rsidR="00E704C4" w:rsidRPr="00760901">
        <w:rPr>
          <w:color w:val="222222"/>
          <w:lang w:val="en-GB"/>
        </w:rPr>
        <w:t>Tenderer</w:t>
      </w:r>
      <w:r w:rsidRPr="00760901">
        <w:rPr>
          <w:color w:val="222222"/>
          <w:lang w:val="en-GB"/>
        </w:rPr>
        <w:t>’s set-up for rapid deployment of relevant experts</w:t>
      </w:r>
      <w:r w:rsidR="00970844">
        <w:rPr>
          <w:color w:val="222222"/>
          <w:lang w:val="en-GB"/>
        </w:rPr>
        <w:t>.</w:t>
      </w:r>
      <w:r w:rsidR="00E704C4" w:rsidRPr="00760901">
        <w:rPr>
          <w:color w:val="222222"/>
          <w:lang w:val="en-GB"/>
        </w:rPr>
        <w:t xml:space="preserve"> </w:t>
      </w:r>
      <w:r w:rsidR="003649AE">
        <w:rPr>
          <w:color w:val="222222"/>
          <w:lang w:val="en-GB"/>
        </w:rPr>
        <w:t>This</w:t>
      </w:r>
      <w:r w:rsidR="00970844">
        <w:rPr>
          <w:color w:val="222222"/>
          <w:lang w:val="en-GB"/>
        </w:rPr>
        <w:t xml:space="preserve"> </w:t>
      </w:r>
      <w:r w:rsidR="003649AE" w:rsidRPr="003649AE">
        <w:rPr>
          <w:color w:val="222222"/>
          <w:lang w:val="en-GB"/>
        </w:rPr>
        <w:t xml:space="preserve">should explain how the Tenderer will make sure that </w:t>
      </w:r>
      <w:r w:rsidR="00E5443D">
        <w:rPr>
          <w:color w:val="222222"/>
          <w:lang w:val="en-GB"/>
        </w:rPr>
        <w:t xml:space="preserve">response time </w:t>
      </w:r>
      <w:r w:rsidR="003649AE" w:rsidRPr="003649AE">
        <w:rPr>
          <w:color w:val="222222"/>
          <w:lang w:val="en-GB"/>
        </w:rPr>
        <w:t>requirements listed in</w:t>
      </w:r>
      <w:r w:rsidR="00E5443D">
        <w:rPr>
          <w:color w:val="222222"/>
          <w:lang w:val="en-GB"/>
        </w:rPr>
        <w:t xml:space="preserve"> </w:t>
      </w:r>
      <w:r w:rsidR="00E5443D" w:rsidRPr="00E5443D">
        <w:rPr>
          <w:szCs w:val="23"/>
          <w:lang w:val="en-US"/>
        </w:rPr>
        <w:t xml:space="preserve">section 3.2 of the Framework Agreement </w:t>
      </w:r>
      <w:r w:rsidR="003649AE" w:rsidRPr="003649AE">
        <w:rPr>
          <w:color w:val="222222"/>
          <w:lang w:val="en-GB"/>
        </w:rPr>
        <w:t>can be met in practice</w:t>
      </w:r>
      <w:r w:rsidR="00970844">
        <w:rPr>
          <w:color w:val="222222"/>
          <w:lang w:val="en-GB"/>
        </w:rPr>
        <w:t>.</w:t>
      </w:r>
      <w:r w:rsidR="009A0422">
        <w:rPr>
          <w:color w:val="222222"/>
          <w:lang w:val="en-GB"/>
        </w:rPr>
        <w:br/>
        <w:t>Maximum 2 pages/ 4.000 keystrokes per page.</w:t>
      </w:r>
      <w:r w:rsidR="00970844">
        <w:rPr>
          <w:color w:val="222222"/>
          <w:lang w:val="en-GB"/>
        </w:rPr>
        <w:t xml:space="preserve"> </w:t>
      </w:r>
    </w:p>
    <w:p w14:paraId="5BBCDB16" w14:textId="5C3B7344" w:rsidR="00FA35CC" w:rsidRPr="00760901" w:rsidRDefault="00AC1C74" w:rsidP="009A0422">
      <w:pPr>
        <w:pStyle w:val="Listeafsnit"/>
        <w:widowControl w:val="0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right="325"/>
        <w:contextualSpacing w:val="0"/>
        <w:jc w:val="left"/>
        <w:textAlignment w:val="auto"/>
        <w:rPr>
          <w:sz w:val="20"/>
          <w:lang w:val="en-GB"/>
        </w:rPr>
      </w:pPr>
      <w:r w:rsidRPr="00760901">
        <w:rPr>
          <w:color w:val="222222"/>
          <w:lang w:val="en-GB"/>
        </w:rPr>
        <w:t>A description of the Tenderer’s ability to</w:t>
      </w:r>
      <w:r w:rsidR="000338ED" w:rsidRPr="00760901">
        <w:rPr>
          <w:color w:val="222222"/>
          <w:lang w:val="en-GB"/>
        </w:rPr>
        <w:t xml:space="preserve"> provide relevant content to study tours in D</w:t>
      </w:r>
      <w:r w:rsidR="00D16470">
        <w:rPr>
          <w:color w:val="222222"/>
          <w:lang w:val="en-GB"/>
        </w:rPr>
        <w:t>enmark</w:t>
      </w:r>
      <w:r w:rsidR="000338ED" w:rsidRPr="00760901">
        <w:rPr>
          <w:color w:val="222222"/>
          <w:lang w:val="en-GB"/>
        </w:rPr>
        <w:t xml:space="preserve"> for partner country representatives, </w:t>
      </w:r>
      <w:proofErr w:type="gramStart"/>
      <w:r w:rsidR="000338ED" w:rsidRPr="00760901">
        <w:rPr>
          <w:color w:val="222222"/>
          <w:lang w:val="en-GB"/>
        </w:rPr>
        <w:t>in particular visits</w:t>
      </w:r>
      <w:proofErr w:type="gramEnd"/>
      <w:r w:rsidR="000338ED" w:rsidRPr="00760901">
        <w:rPr>
          <w:color w:val="222222"/>
          <w:lang w:val="en-GB"/>
        </w:rPr>
        <w:t xml:space="preserve"> to R</w:t>
      </w:r>
      <w:r w:rsidR="00D16470">
        <w:rPr>
          <w:color w:val="222222"/>
          <w:lang w:val="en-GB"/>
        </w:rPr>
        <w:t xml:space="preserve">enewable </w:t>
      </w:r>
      <w:r w:rsidR="000338ED" w:rsidRPr="00760901">
        <w:rPr>
          <w:color w:val="222222"/>
          <w:lang w:val="en-GB"/>
        </w:rPr>
        <w:t>E</w:t>
      </w:r>
      <w:r w:rsidR="00D16470">
        <w:rPr>
          <w:color w:val="222222"/>
          <w:lang w:val="en-GB"/>
        </w:rPr>
        <w:t>nergy</w:t>
      </w:r>
      <w:r w:rsidR="000338ED" w:rsidRPr="00760901">
        <w:rPr>
          <w:color w:val="222222"/>
          <w:lang w:val="en-GB"/>
        </w:rPr>
        <w:t xml:space="preserve"> and E</w:t>
      </w:r>
      <w:r w:rsidR="00D16470">
        <w:rPr>
          <w:color w:val="222222"/>
          <w:lang w:val="en-GB"/>
        </w:rPr>
        <w:t xml:space="preserve">nergy </w:t>
      </w:r>
      <w:r w:rsidR="000338ED" w:rsidRPr="00760901">
        <w:rPr>
          <w:color w:val="222222"/>
          <w:lang w:val="en-GB"/>
        </w:rPr>
        <w:t>E</w:t>
      </w:r>
      <w:r w:rsidR="00D16470">
        <w:rPr>
          <w:color w:val="222222"/>
          <w:lang w:val="en-GB"/>
        </w:rPr>
        <w:t>fficiency</w:t>
      </w:r>
      <w:r w:rsidR="000338ED" w:rsidRPr="00760901">
        <w:rPr>
          <w:color w:val="222222"/>
          <w:lang w:val="en-GB"/>
        </w:rPr>
        <w:t xml:space="preserve"> sites where visitors can experience elements of a green transition in practice. </w:t>
      </w:r>
      <w:r w:rsidR="000338ED" w:rsidRPr="00760901">
        <w:rPr>
          <w:color w:val="222222"/>
          <w:lang w:val="en-GB"/>
        </w:rPr>
        <w:br/>
      </w:r>
      <w:r w:rsidR="00630D66" w:rsidRPr="00760901">
        <w:rPr>
          <w:color w:val="222222"/>
          <w:lang w:val="en-GB"/>
        </w:rPr>
        <w:t xml:space="preserve">Average </w:t>
      </w:r>
      <w:r w:rsidR="00760901" w:rsidRPr="00760901">
        <w:rPr>
          <w:color w:val="222222"/>
          <w:lang w:val="en-GB"/>
        </w:rPr>
        <w:t xml:space="preserve">number of senior/junior consultant hours required to </w:t>
      </w:r>
      <w:r w:rsidR="00760901">
        <w:rPr>
          <w:color w:val="222222"/>
          <w:lang w:val="en-GB"/>
        </w:rPr>
        <w:t xml:space="preserve">set up </w:t>
      </w:r>
      <w:r w:rsidR="00630D66" w:rsidRPr="00760901">
        <w:rPr>
          <w:color w:val="222222"/>
          <w:lang w:val="en-GB"/>
        </w:rPr>
        <w:t>a</w:t>
      </w:r>
      <w:r w:rsidR="00D16470">
        <w:rPr>
          <w:color w:val="222222"/>
          <w:lang w:val="en-GB"/>
        </w:rPr>
        <w:t xml:space="preserve"> one-week</w:t>
      </w:r>
      <w:r w:rsidR="00630D66" w:rsidRPr="00760901">
        <w:rPr>
          <w:color w:val="222222"/>
          <w:lang w:val="en-GB"/>
        </w:rPr>
        <w:t xml:space="preserve"> visit must be indicated</w:t>
      </w:r>
      <w:r w:rsidR="00760901">
        <w:rPr>
          <w:color w:val="222222"/>
          <w:lang w:val="en-GB"/>
        </w:rPr>
        <w:t>.</w:t>
      </w:r>
      <w:r w:rsidR="009A0422">
        <w:rPr>
          <w:color w:val="222222"/>
          <w:lang w:val="en-GB"/>
        </w:rPr>
        <w:br/>
      </w:r>
      <w:r w:rsidR="009A0422" w:rsidRPr="009A0422">
        <w:rPr>
          <w:color w:val="222222"/>
          <w:lang w:val="en-GB"/>
        </w:rPr>
        <w:t>Maximum 2 pages/ 4.000 keystrokes per page.</w:t>
      </w:r>
    </w:p>
    <w:p w14:paraId="6D65A106" w14:textId="3A611EAA" w:rsidR="00AC1C74" w:rsidRDefault="00630D66" w:rsidP="009A0422">
      <w:pPr>
        <w:pStyle w:val="Listeafsnit"/>
        <w:widowControl w:val="0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right="325"/>
        <w:contextualSpacing w:val="0"/>
        <w:textAlignment w:val="auto"/>
        <w:rPr>
          <w:color w:val="222222"/>
          <w:lang w:val="en-GB"/>
        </w:rPr>
      </w:pPr>
      <w:r w:rsidRPr="00760901">
        <w:rPr>
          <w:color w:val="222222"/>
          <w:lang w:val="en-GB"/>
        </w:rPr>
        <w:t>A d</w:t>
      </w:r>
      <w:r w:rsidR="002E3137" w:rsidRPr="00760901">
        <w:rPr>
          <w:color w:val="222222"/>
          <w:lang w:val="en-GB"/>
        </w:rPr>
        <w:t>escription of the Tenderer</w:t>
      </w:r>
      <w:r w:rsidRPr="00760901">
        <w:rPr>
          <w:color w:val="222222"/>
          <w:lang w:val="en-GB"/>
        </w:rPr>
        <w:t>’s ability to offer non-salaried internship positions for representatives from partner countries</w:t>
      </w:r>
      <w:r w:rsidR="00760901" w:rsidRPr="00760901">
        <w:rPr>
          <w:color w:val="222222"/>
          <w:lang w:val="en-GB"/>
        </w:rPr>
        <w:t xml:space="preserve"> in relevant DK institutions or</w:t>
      </w:r>
      <w:r w:rsidR="00760901">
        <w:rPr>
          <w:color w:val="222222"/>
          <w:lang w:val="en-GB"/>
        </w:rPr>
        <w:t xml:space="preserve"> companies. </w:t>
      </w:r>
      <w:r w:rsidR="00CF48B4">
        <w:rPr>
          <w:color w:val="222222"/>
          <w:lang w:val="en-GB"/>
        </w:rPr>
        <w:br/>
      </w:r>
      <w:r w:rsidR="00760901" w:rsidRPr="00C4100D">
        <w:rPr>
          <w:color w:val="222222"/>
          <w:lang w:val="en-GB"/>
        </w:rPr>
        <w:t xml:space="preserve">Average number of senior/junior consultant hours required to </w:t>
      </w:r>
      <w:r w:rsidR="00760901">
        <w:rPr>
          <w:color w:val="222222"/>
          <w:lang w:val="en-GB"/>
        </w:rPr>
        <w:t>set up an internship must be indicated.</w:t>
      </w:r>
      <w:r w:rsidR="009A0422">
        <w:rPr>
          <w:color w:val="222222"/>
          <w:lang w:val="en-GB"/>
        </w:rPr>
        <w:br/>
      </w:r>
      <w:r w:rsidR="009A0422" w:rsidRPr="009A0422">
        <w:rPr>
          <w:color w:val="222222"/>
          <w:lang w:val="en-GB"/>
        </w:rPr>
        <w:t xml:space="preserve">Maximum 2 pages/ 4.000 keystrokes per page. </w:t>
      </w:r>
      <w:r w:rsidR="002E3137" w:rsidRPr="00760901">
        <w:rPr>
          <w:color w:val="222222"/>
          <w:lang w:val="en-GB"/>
        </w:rPr>
        <w:t xml:space="preserve"> </w:t>
      </w:r>
    </w:p>
    <w:p w14:paraId="4D02E75E" w14:textId="77777777" w:rsidR="00C1389D" w:rsidRPr="00C1389D" w:rsidRDefault="00C1389D" w:rsidP="00C1389D">
      <w:pPr>
        <w:pStyle w:val="Listeafsnit"/>
        <w:widowControl w:val="0"/>
        <w:numPr>
          <w:ilvl w:val="0"/>
          <w:numId w:val="32"/>
        </w:numPr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right="325"/>
        <w:contextualSpacing w:val="0"/>
        <w:jc w:val="left"/>
        <w:textAlignment w:val="auto"/>
        <w:rPr>
          <w:sz w:val="20"/>
          <w:lang w:val="en-GB"/>
        </w:rPr>
      </w:pPr>
      <w:r w:rsidRPr="00760901">
        <w:rPr>
          <w:color w:val="222222"/>
          <w:lang w:val="en-GB"/>
        </w:rPr>
        <w:t xml:space="preserve">A </w:t>
      </w:r>
      <w:r>
        <w:rPr>
          <w:color w:val="222222"/>
          <w:lang w:val="en-GB"/>
        </w:rPr>
        <w:t xml:space="preserve">presentation of the Tenderer’s structure </w:t>
      </w:r>
      <w:proofErr w:type="gramStart"/>
      <w:r>
        <w:rPr>
          <w:color w:val="222222"/>
          <w:lang w:val="en-GB"/>
        </w:rPr>
        <w:t>for the purpose of</w:t>
      </w:r>
      <w:proofErr w:type="gramEnd"/>
      <w:r>
        <w:rPr>
          <w:color w:val="222222"/>
          <w:lang w:val="en-GB"/>
        </w:rPr>
        <w:t xml:space="preserve"> the contract area and a description of the complementary of consortium partners or supporting companies, if applicable. Maximum 2 pages/4000 key strokes per page plus 2 pages with chart and organigram as relevant.</w:t>
      </w:r>
    </w:p>
    <w:p w14:paraId="79070E1F" w14:textId="77777777" w:rsidR="002E3137" w:rsidRPr="002E3137" w:rsidRDefault="002E3137" w:rsidP="002E3137">
      <w:pPr>
        <w:widowControl w:val="0"/>
        <w:tabs>
          <w:tab w:val="clear" w:pos="567"/>
          <w:tab w:val="clear" w:pos="1134"/>
          <w:tab w:val="clear" w:pos="1701"/>
          <w:tab w:val="left" w:pos="2139"/>
        </w:tabs>
        <w:overflowPunct/>
        <w:adjustRightInd/>
        <w:spacing w:line="276" w:lineRule="auto"/>
        <w:ind w:left="112" w:right="325"/>
        <w:textAlignment w:val="auto"/>
        <w:rPr>
          <w:sz w:val="20"/>
          <w:lang w:val="en-US"/>
        </w:rPr>
      </w:pPr>
    </w:p>
    <w:p w14:paraId="772DCEFA" w14:textId="77777777" w:rsidR="00FA35CC" w:rsidRPr="00FA35CC" w:rsidRDefault="00FA35CC" w:rsidP="00FA35CC">
      <w:pPr>
        <w:pStyle w:val="Overskrift3"/>
        <w:numPr>
          <w:ilvl w:val="0"/>
          <w:numId w:val="0"/>
        </w:numPr>
        <w:rPr>
          <w:lang w:val="en-US"/>
        </w:rPr>
      </w:pPr>
    </w:p>
    <w:p w14:paraId="336A53EB" w14:textId="77777777" w:rsidR="00EC5046" w:rsidRDefault="00EC5046" w:rsidP="00FA35CC">
      <w:pPr>
        <w:rPr>
          <w:lang w:val="en-US"/>
        </w:rPr>
      </w:pPr>
    </w:p>
    <w:p w14:paraId="4B150154" w14:textId="77777777" w:rsidR="00AC1C74" w:rsidRPr="001D26D2" w:rsidRDefault="00AC1C74" w:rsidP="00FA35CC">
      <w:pPr>
        <w:rPr>
          <w:lang w:val="en-US"/>
        </w:rPr>
      </w:pPr>
    </w:p>
    <w:sectPr w:rsidR="00AC1C74" w:rsidRPr="001D26D2" w:rsidSect="00EC5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F7FD" w14:textId="77777777" w:rsidR="005A7BE9" w:rsidRDefault="005A7BE9" w:rsidP="00EC5046">
      <w:pPr>
        <w:spacing w:line="240" w:lineRule="auto"/>
      </w:pPr>
      <w:r>
        <w:separator/>
      </w:r>
    </w:p>
  </w:endnote>
  <w:endnote w:type="continuationSeparator" w:id="0">
    <w:p w14:paraId="6A0816C9" w14:textId="77777777" w:rsidR="005A7BE9" w:rsidRDefault="005A7BE9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16FE" w14:textId="77777777" w:rsidR="003A19B7" w:rsidRDefault="003A19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6101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3C4E74" w14:textId="56E0E84A" w:rsidR="000F744B" w:rsidRDefault="000F744B">
            <w:pPr>
              <w:pStyle w:val="Sidefod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C0B90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CC0B90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C9D069B" w14:textId="77777777" w:rsidR="001D2ECF" w:rsidRDefault="001D2ECF" w:rsidP="001D2ECF">
    <w:pPr>
      <w:pStyle w:val="Sidehoved"/>
      <w:spacing w:line="240" w:lineRule="auto"/>
      <w:jc w:val="right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1D4E" w14:textId="77777777" w:rsidR="001D2ECF" w:rsidRDefault="001D2ECF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98FD" w14:textId="77777777" w:rsidR="005A7BE9" w:rsidRDefault="005A7BE9" w:rsidP="00EC5046">
      <w:pPr>
        <w:spacing w:line="240" w:lineRule="auto"/>
      </w:pPr>
      <w:r>
        <w:separator/>
      </w:r>
    </w:p>
  </w:footnote>
  <w:footnote w:type="continuationSeparator" w:id="0">
    <w:p w14:paraId="60902D26" w14:textId="77777777" w:rsidR="005A7BE9" w:rsidRDefault="005A7BE9" w:rsidP="00EC5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65DE" w14:textId="77777777" w:rsidR="003A19B7" w:rsidRDefault="003A19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63B9" w14:textId="77777777" w:rsidR="003A19B7" w:rsidRDefault="003A19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27AA" w14:textId="77777777" w:rsidR="003A19B7" w:rsidRDefault="003A19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BBF"/>
    <w:multiLevelType w:val="multilevel"/>
    <w:tmpl w:val="468A90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0E8C3DE0"/>
    <w:multiLevelType w:val="multilevel"/>
    <w:tmpl w:val="6FA8E0CA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29D1"/>
    <w:multiLevelType w:val="hybridMultilevel"/>
    <w:tmpl w:val="D3B42F50"/>
    <w:lvl w:ilvl="0" w:tplc="72C430B0">
      <w:start w:val="1"/>
      <w:numFmt w:val="lowerLetter"/>
      <w:lvlText w:val="(%1)"/>
      <w:lvlJc w:val="left"/>
      <w:pPr>
        <w:ind w:left="1246" w:hanging="5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300CE50">
      <w:numFmt w:val="bullet"/>
      <w:lvlText w:val="•"/>
      <w:lvlJc w:val="left"/>
      <w:pPr>
        <w:ind w:left="2102" w:hanging="567"/>
      </w:pPr>
      <w:rPr>
        <w:rFonts w:hint="default"/>
      </w:rPr>
    </w:lvl>
    <w:lvl w:ilvl="2" w:tplc="5262D2D2">
      <w:numFmt w:val="bullet"/>
      <w:lvlText w:val="•"/>
      <w:lvlJc w:val="left"/>
      <w:pPr>
        <w:ind w:left="2965" w:hanging="567"/>
      </w:pPr>
      <w:rPr>
        <w:rFonts w:hint="default"/>
      </w:rPr>
    </w:lvl>
    <w:lvl w:ilvl="3" w:tplc="5BB6E3CA">
      <w:numFmt w:val="bullet"/>
      <w:lvlText w:val="•"/>
      <w:lvlJc w:val="left"/>
      <w:pPr>
        <w:ind w:left="3827" w:hanging="567"/>
      </w:pPr>
      <w:rPr>
        <w:rFonts w:hint="default"/>
      </w:rPr>
    </w:lvl>
    <w:lvl w:ilvl="4" w:tplc="55981024">
      <w:numFmt w:val="bullet"/>
      <w:lvlText w:val="•"/>
      <w:lvlJc w:val="left"/>
      <w:pPr>
        <w:ind w:left="4690" w:hanging="567"/>
      </w:pPr>
      <w:rPr>
        <w:rFonts w:hint="default"/>
      </w:rPr>
    </w:lvl>
    <w:lvl w:ilvl="5" w:tplc="92BE3016">
      <w:numFmt w:val="bullet"/>
      <w:lvlText w:val="•"/>
      <w:lvlJc w:val="left"/>
      <w:pPr>
        <w:ind w:left="5553" w:hanging="567"/>
      </w:pPr>
      <w:rPr>
        <w:rFonts w:hint="default"/>
      </w:rPr>
    </w:lvl>
    <w:lvl w:ilvl="6" w:tplc="21C4E398">
      <w:numFmt w:val="bullet"/>
      <w:lvlText w:val="•"/>
      <w:lvlJc w:val="left"/>
      <w:pPr>
        <w:ind w:left="6415" w:hanging="567"/>
      </w:pPr>
      <w:rPr>
        <w:rFonts w:hint="default"/>
      </w:rPr>
    </w:lvl>
    <w:lvl w:ilvl="7" w:tplc="F1CCDFFA">
      <w:numFmt w:val="bullet"/>
      <w:lvlText w:val="•"/>
      <w:lvlJc w:val="left"/>
      <w:pPr>
        <w:ind w:left="7278" w:hanging="567"/>
      </w:pPr>
      <w:rPr>
        <w:rFonts w:hint="default"/>
      </w:rPr>
    </w:lvl>
    <w:lvl w:ilvl="8" w:tplc="F56CD354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5" w15:restartNumberingAfterBreak="0">
    <w:nsid w:val="478D235C"/>
    <w:multiLevelType w:val="hybridMultilevel"/>
    <w:tmpl w:val="8D0A5024"/>
    <w:lvl w:ilvl="0" w:tplc="FDE4AD16">
      <w:start w:val="1"/>
      <w:numFmt w:val="lowerLetter"/>
      <w:lvlText w:val="(%1)"/>
      <w:lvlJc w:val="left"/>
      <w:pPr>
        <w:ind w:left="1246" w:hanging="5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2EA5538">
      <w:numFmt w:val="bullet"/>
      <w:lvlText w:val="•"/>
      <w:lvlJc w:val="left"/>
      <w:pPr>
        <w:ind w:left="2102" w:hanging="567"/>
      </w:pPr>
      <w:rPr>
        <w:rFonts w:hint="default"/>
      </w:rPr>
    </w:lvl>
    <w:lvl w:ilvl="2" w:tplc="C42091B2">
      <w:numFmt w:val="bullet"/>
      <w:lvlText w:val="•"/>
      <w:lvlJc w:val="left"/>
      <w:pPr>
        <w:ind w:left="2965" w:hanging="567"/>
      </w:pPr>
      <w:rPr>
        <w:rFonts w:hint="default"/>
      </w:rPr>
    </w:lvl>
    <w:lvl w:ilvl="3" w:tplc="D1B24992">
      <w:numFmt w:val="bullet"/>
      <w:lvlText w:val="•"/>
      <w:lvlJc w:val="left"/>
      <w:pPr>
        <w:ind w:left="3827" w:hanging="567"/>
      </w:pPr>
      <w:rPr>
        <w:rFonts w:hint="default"/>
      </w:rPr>
    </w:lvl>
    <w:lvl w:ilvl="4" w:tplc="F8100E36">
      <w:numFmt w:val="bullet"/>
      <w:lvlText w:val="•"/>
      <w:lvlJc w:val="left"/>
      <w:pPr>
        <w:ind w:left="4690" w:hanging="567"/>
      </w:pPr>
      <w:rPr>
        <w:rFonts w:hint="default"/>
      </w:rPr>
    </w:lvl>
    <w:lvl w:ilvl="5" w:tplc="787A86F6">
      <w:numFmt w:val="bullet"/>
      <w:lvlText w:val="•"/>
      <w:lvlJc w:val="left"/>
      <w:pPr>
        <w:ind w:left="5553" w:hanging="567"/>
      </w:pPr>
      <w:rPr>
        <w:rFonts w:hint="default"/>
      </w:rPr>
    </w:lvl>
    <w:lvl w:ilvl="6" w:tplc="F06299A4">
      <w:numFmt w:val="bullet"/>
      <w:lvlText w:val="•"/>
      <w:lvlJc w:val="left"/>
      <w:pPr>
        <w:ind w:left="6415" w:hanging="567"/>
      </w:pPr>
      <w:rPr>
        <w:rFonts w:hint="default"/>
      </w:rPr>
    </w:lvl>
    <w:lvl w:ilvl="7" w:tplc="C1DCC96E">
      <w:numFmt w:val="bullet"/>
      <w:lvlText w:val="•"/>
      <w:lvlJc w:val="left"/>
      <w:pPr>
        <w:ind w:left="7278" w:hanging="567"/>
      </w:pPr>
      <w:rPr>
        <w:rFonts w:hint="default"/>
      </w:rPr>
    </w:lvl>
    <w:lvl w:ilvl="8" w:tplc="17A0AE9E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6" w15:restartNumberingAfterBreak="0">
    <w:nsid w:val="67254734"/>
    <w:multiLevelType w:val="multilevel"/>
    <w:tmpl w:val="FC40ED80"/>
    <w:lvl w:ilvl="0">
      <w:start w:val="1"/>
      <w:numFmt w:val="decimal"/>
      <w:lvlText w:val="%1."/>
      <w:lvlJc w:val="left"/>
      <w:pPr>
        <w:ind w:left="530" w:hanging="41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02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74" w:hanging="423"/>
      </w:pPr>
      <w:rPr>
        <w:rFonts w:hint="default"/>
      </w:rPr>
    </w:lvl>
    <w:lvl w:ilvl="3">
      <w:numFmt w:val="bullet"/>
      <w:lvlText w:val="•"/>
      <w:lvlJc w:val="left"/>
      <w:pPr>
        <w:ind w:left="3048" w:hanging="423"/>
      </w:pPr>
      <w:rPr>
        <w:rFonts w:hint="default"/>
      </w:rPr>
    </w:lvl>
    <w:lvl w:ilvl="4">
      <w:numFmt w:val="bullet"/>
      <w:lvlText w:val="•"/>
      <w:lvlJc w:val="left"/>
      <w:pPr>
        <w:ind w:left="4022" w:hanging="423"/>
      </w:pPr>
      <w:rPr>
        <w:rFonts w:hint="default"/>
      </w:rPr>
    </w:lvl>
    <w:lvl w:ilvl="5">
      <w:numFmt w:val="bullet"/>
      <w:lvlText w:val="•"/>
      <w:lvlJc w:val="left"/>
      <w:pPr>
        <w:ind w:left="4996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4" w:hanging="423"/>
      </w:pPr>
      <w:rPr>
        <w:rFonts w:hint="default"/>
      </w:rPr>
    </w:lvl>
    <w:lvl w:ilvl="8">
      <w:numFmt w:val="bullet"/>
      <w:lvlText w:val="•"/>
      <w:lvlJc w:val="left"/>
      <w:pPr>
        <w:ind w:left="7918" w:hanging="423"/>
      </w:pPr>
      <w:rPr>
        <w:rFonts w:hint="default"/>
      </w:rPr>
    </w:lvl>
  </w:abstractNum>
  <w:abstractNum w:abstractNumId="17" w15:restartNumberingAfterBreak="0">
    <w:nsid w:val="7B473327"/>
    <w:multiLevelType w:val="hybridMultilevel"/>
    <w:tmpl w:val="32D0B20C"/>
    <w:lvl w:ilvl="0" w:tplc="F1B671EE">
      <w:start w:val="1"/>
      <w:numFmt w:val="lowerRoman"/>
      <w:lvlText w:val="(%1)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0204BAC">
      <w:start w:val="1"/>
      <w:numFmt w:val="lowerRoman"/>
      <w:lvlText w:val="%2."/>
      <w:lvlJc w:val="left"/>
      <w:pPr>
        <w:ind w:left="2138" w:hanging="488"/>
        <w:jc w:val="right"/>
      </w:pPr>
      <w:rPr>
        <w:rFonts w:ascii="Verdana" w:eastAsia="Verdana" w:hAnsi="Verdana" w:cs="Verdana" w:hint="default"/>
        <w:spacing w:val="0"/>
        <w:w w:val="99"/>
        <w:sz w:val="20"/>
        <w:szCs w:val="20"/>
      </w:rPr>
    </w:lvl>
    <w:lvl w:ilvl="2" w:tplc="93FCD6F0">
      <w:numFmt w:val="bullet"/>
      <w:lvlText w:val="•"/>
      <w:lvlJc w:val="left"/>
      <w:pPr>
        <w:ind w:left="2998" w:hanging="488"/>
      </w:pPr>
      <w:rPr>
        <w:rFonts w:hint="default"/>
      </w:rPr>
    </w:lvl>
    <w:lvl w:ilvl="3" w:tplc="3CFABA84">
      <w:numFmt w:val="bullet"/>
      <w:lvlText w:val="•"/>
      <w:lvlJc w:val="left"/>
      <w:pPr>
        <w:ind w:left="3856" w:hanging="488"/>
      </w:pPr>
      <w:rPr>
        <w:rFonts w:hint="default"/>
      </w:rPr>
    </w:lvl>
    <w:lvl w:ilvl="4" w:tplc="0D246E70">
      <w:numFmt w:val="bullet"/>
      <w:lvlText w:val="•"/>
      <w:lvlJc w:val="left"/>
      <w:pPr>
        <w:ind w:left="4715" w:hanging="488"/>
      </w:pPr>
      <w:rPr>
        <w:rFonts w:hint="default"/>
      </w:rPr>
    </w:lvl>
    <w:lvl w:ilvl="5" w:tplc="2D42C17E">
      <w:numFmt w:val="bullet"/>
      <w:lvlText w:val="•"/>
      <w:lvlJc w:val="left"/>
      <w:pPr>
        <w:ind w:left="5573" w:hanging="488"/>
      </w:pPr>
      <w:rPr>
        <w:rFonts w:hint="default"/>
      </w:rPr>
    </w:lvl>
    <w:lvl w:ilvl="6" w:tplc="B9906422">
      <w:numFmt w:val="bullet"/>
      <w:lvlText w:val="•"/>
      <w:lvlJc w:val="left"/>
      <w:pPr>
        <w:ind w:left="6432" w:hanging="488"/>
      </w:pPr>
      <w:rPr>
        <w:rFonts w:hint="default"/>
      </w:rPr>
    </w:lvl>
    <w:lvl w:ilvl="7" w:tplc="FC060D42">
      <w:numFmt w:val="bullet"/>
      <w:lvlText w:val="•"/>
      <w:lvlJc w:val="left"/>
      <w:pPr>
        <w:ind w:left="7290" w:hanging="488"/>
      </w:pPr>
      <w:rPr>
        <w:rFonts w:hint="default"/>
      </w:rPr>
    </w:lvl>
    <w:lvl w:ilvl="8" w:tplc="073E5484">
      <w:numFmt w:val="bullet"/>
      <w:lvlText w:val="•"/>
      <w:lvlJc w:val="left"/>
      <w:pPr>
        <w:ind w:left="8149" w:hanging="488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1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3"/>
  </w:num>
  <w:num w:numId="27">
    <w:abstractNumId w:val="13"/>
  </w:num>
  <w:num w:numId="28">
    <w:abstractNumId w:val="10"/>
  </w:num>
  <w:num w:numId="29">
    <w:abstractNumId w:val="16"/>
  </w:num>
  <w:num w:numId="30">
    <w:abstractNumId w:val="15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834532"/>
    <w:rsid w:val="000271F7"/>
    <w:rsid w:val="000338ED"/>
    <w:rsid w:val="00042B87"/>
    <w:rsid w:val="00083EF4"/>
    <w:rsid w:val="000A7CB5"/>
    <w:rsid w:val="000D232C"/>
    <w:rsid w:val="000F744B"/>
    <w:rsid w:val="00100D73"/>
    <w:rsid w:val="00103BCE"/>
    <w:rsid w:val="00110F66"/>
    <w:rsid w:val="00111D98"/>
    <w:rsid w:val="0012701F"/>
    <w:rsid w:val="001442DC"/>
    <w:rsid w:val="001A144B"/>
    <w:rsid w:val="001A7CCD"/>
    <w:rsid w:val="001C2C49"/>
    <w:rsid w:val="001C3F53"/>
    <w:rsid w:val="001D26D2"/>
    <w:rsid w:val="001D2ECF"/>
    <w:rsid w:val="001D6F1C"/>
    <w:rsid w:val="001E2ADB"/>
    <w:rsid w:val="00203448"/>
    <w:rsid w:val="00206162"/>
    <w:rsid w:val="00231B99"/>
    <w:rsid w:val="002B3AE7"/>
    <w:rsid w:val="002C2BD4"/>
    <w:rsid w:val="002D3286"/>
    <w:rsid w:val="002E3137"/>
    <w:rsid w:val="002F4997"/>
    <w:rsid w:val="00305633"/>
    <w:rsid w:val="003476B4"/>
    <w:rsid w:val="003476FB"/>
    <w:rsid w:val="00356A09"/>
    <w:rsid w:val="003649AE"/>
    <w:rsid w:val="00372D65"/>
    <w:rsid w:val="003A19B7"/>
    <w:rsid w:val="003B3AAB"/>
    <w:rsid w:val="003C4740"/>
    <w:rsid w:val="003C6E0B"/>
    <w:rsid w:val="003E6393"/>
    <w:rsid w:val="00405993"/>
    <w:rsid w:val="0041494B"/>
    <w:rsid w:val="0041623F"/>
    <w:rsid w:val="00447D62"/>
    <w:rsid w:val="004543E3"/>
    <w:rsid w:val="00471D83"/>
    <w:rsid w:val="00497896"/>
    <w:rsid w:val="004A0969"/>
    <w:rsid w:val="004D047C"/>
    <w:rsid w:val="004D12B5"/>
    <w:rsid w:val="004D5A48"/>
    <w:rsid w:val="00540EAE"/>
    <w:rsid w:val="005547A3"/>
    <w:rsid w:val="005A7BE9"/>
    <w:rsid w:val="005B5773"/>
    <w:rsid w:val="005C37E5"/>
    <w:rsid w:val="005D5C4F"/>
    <w:rsid w:val="005E5417"/>
    <w:rsid w:val="00604349"/>
    <w:rsid w:val="006057B8"/>
    <w:rsid w:val="00614F4C"/>
    <w:rsid w:val="00630D66"/>
    <w:rsid w:val="00655D9E"/>
    <w:rsid w:val="0066452D"/>
    <w:rsid w:val="00665211"/>
    <w:rsid w:val="00697874"/>
    <w:rsid w:val="006E389B"/>
    <w:rsid w:val="007127B6"/>
    <w:rsid w:val="00760901"/>
    <w:rsid w:val="0077232B"/>
    <w:rsid w:val="007946E8"/>
    <w:rsid w:val="007D75CA"/>
    <w:rsid w:val="00834532"/>
    <w:rsid w:val="0084037A"/>
    <w:rsid w:val="00887EF1"/>
    <w:rsid w:val="00890E55"/>
    <w:rsid w:val="008D06B6"/>
    <w:rsid w:val="008D1BCC"/>
    <w:rsid w:val="008F778B"/>
    <w:rsid w:val="00927549"/>
    <w:rsid w:val="00970844"/>
    <w:rsid w:val="009733F4"/>
    <w:rsid w:val="0097418D"/>
    <w:rsid w:val="0097445F"/>
    <w:rsid w:val="00984B02"/>
    <w:rsid w:val="009A0422"/>
    <w:rsid w:val="009A1AF3"/>
    <w:rsid w:val="00A03AD8"/>
    <w:rsid w:val="00A37577"/>
    <w:rsid w:val="00A511EA"/>
    <w:rsid w:val="00A70BFE"/>
    <w:rsid w:val="00A77F53"/>
    <w:rsid w:val="00A96572"/>
    <w:rsid w:val="00AC1C74"/>
    <w:rsid w:val="00AD3AAB"/>
    <w:rsid w:val="00AE7CB0"/>
    <w:rsid w:val="00AF186C"/>
    <w:rsid w:val="00B32C7C"/>
    <w:rsid w:val="00B338FC"/>
    <w:rsid w:val="00B47D11"/>
    <w:rsid w:val="00B55AB4"/>
    <w:rsid w:val="00B931FE"/>
    <w:rsid w:val="00BA0BFD"/>
    <w:rsid w:val="00BA7E6E"/>
    <w:rsid w:val="00C12BF6"/>
    <w:rsid w:val="00C1389D"/>
    <w:rsid w:val="00C51AE9"/>
    <w:rsid w:val="00C65424"/>
    <w:rsid w:val="00C74C38"/>
    <w:rsid w:val="00C976AF"/>
    <w:rsid w:val="00CC0B90"/>
    <w:rsid w:val="00CE790F"/>
    <w:rsid w:val="00CF48B4"/>
    <w:rsid w:val="00D021AD"/>
    <w:rsid w:val="00D16470"/>
    <w:rsid w:val="00D165EB"/>
    <w:rsid w:val="00D34520"/>
    <w:rsid w:val="00D41C86"/>
    <w:rsid w:val="00D47BC7"/>
    <w:rsid w:val="00D56792"/>
    <w:rsid w:val="00D77E98"/>
    <w:rsid w:val="00DA69E8"/>
    <w:rsid w:val="00DB2882"/>
    <w:rsid w:val="00DC550A"/>
    <w:rsid w:val="00DD0292"/>
    <w:rsid w:val="00E23D3F"/>
    <w:rsid w:val="00E5443D"/>
    <w:rsid w:val="00E61B2E"/>
    <w:rsid w:val="00E704C4"/>
    <w:rsid w:val="00E73715"/>
    <w:rsid w:val="00E8299A"/>
    <w:rsid w:val="00E858B2"/>
    <w:rsid w:val="00EA222B"/>
    <w:rsid w:val="00EC5046"/>
    <w:rsid w:val="00EE0532"/>
    <w:rsid w:val="00EF75FE"/>
    <w:rsid w:val="00F05DCE"/>
    <w:rsid w:val="00F40DC2"/>
    <w:rsid w:val="00F441EE"/>
    <w:rsid w:val="00F47000"/>
    <w:rsid w:val="00F7361D"/>
    <w:rsid w:val="00F969D9"/>
    <w:rsid w:val="00FA35CC"/>
    <w:rsid w:val="00FB333D"/>
    <w:rsid w:val="00FB6B75"/>
    <w:rsid w:val="00FE171D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CB1D"/>
  <w15:docId w15:val="{C61F3A38-1E65-468E-A0F8-45B938F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046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1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Liste">
    <w:name w:val="List"/>
    <w:basedOn w:val="Normal"/>
    <w:rsid w:val="00EC5046"/>
    <w:pPr>
      <w:ind w:left="283" w:hanging="283"/>
    </w:pPr>
  </w:style>
  <w:style w:type="paragraph" w:styleId="Liste2">
    <w:name w:val="List 2"/>
    <w:basedOn w:val="Normal"/>
    <w:rsid w:val="00EC5046"/>
    <w:pPr>
      <w:ind w:left="566" w:hanging="283"/>
    </w:pPr>
  </w:style>
  <w:style w:type="paragraph" w:styleId="Liste3">
    <w:name w:val="List 3"/>
    <w:basedOn w:val="Normal"/>
    <w:rsid w:val="00EC5046"/>
    <w:pPr>
      <w:ind w:left="849" w:hanging="283"/>
    </w:pPr>
  </w:style>
  <w:style w:type="paragraph" w:styleId="Liste4">
    <w:name w:val="List 4"/>
    <w:basedOn w:val="Normal"/>
    <w:rsid w:val="00EC5046"/>
    <w:pPr>
      <w:ind w:left="1132" w:hanging="283"/>
    </w:pPr>
  </w:style>
  <w:style w:type="paragraph" w:styleId="Liste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qFormat/>
    <w:rsid w:val="00206162"/>
    <w:pPr>
      <w:tabs>
        <w:tab w:val="clear" w:pos="1134"/>
        <w:tab w:val="clear" w:pos="1701"/>
        <w:tab w:val="left" w:leader="dot" w:pos="9219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qFormat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qFormat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83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34532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3453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  <w:lang w:eastAsia="en-US"/>
    </w:rPr>
  </w:style>
  <w:style w:type="paragraph" w:styleId="Ingenafstand">
    <w:name w:val="No Spacing"/>
    <w:uiPriority w:val="1"/>
    <w:qFormat/>
    <w:rsid w:val="00834532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FB6B75"/>
    <w:rPr>
      <w:color w:val="FFFFFF"/>
    </w:rPr>
  </w:style>
  <w:style w:type="paragraph" w:styleId="Brdtekst">
    <w:name w:val="Body Text"/>
    <w:basedOn w:val="Normal"/>
    <w:link w:val="BrdtekstTegn"/>
    <w:uiPriority w:val="1"/>
    <w:qFormat/>
    <w:rsid w:val="00FA35CC"/>
    <w:pPr>
      <w:widowControl w:val="0"/>
      <w:tabs>
        <w:tab w:val="clear" w:pos="567"/>
        <w:tab w:val="clear" w:pos="1134"/>
        <w:tab w:val="clear" w:pos="1701"/>
      </w:tabs>
      <w:overflowPunct/>
      <w:adjustRightInd/>
      <w:spacing w:line="240" w:lineRule="auto"/>
      <w:jc w:val="left"/>
      <w:textAlignment w:val="auto"/>
    </w:pPr>
    <w:rPr>
      <w:rFonts w:ascii="Verdana" w:eastAsia="Verdana" w:hAnsi="Verdana" w:cs="Verdana"/>
      <w:bCs w:val="0"/>
      <w:sz w:val="20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A35CC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7000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700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28E7-3D66-492A-8043-7DCE6BC9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16</TotalTime>
  <Pages>2</Pages>
  <Words>342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Anja Piening</cp:lastModifiedBy>
  <cp:revision>11</cp:revision>
  <cp:lastPrinted>2017-08-21T09:53:00Z</cp:lastPrinted>
  <dcterms:created xsi:type="dcterms:W3CDTF">2017-09-06T17:24:00Z</dcterms:created>
  <dcterms:modified xsi:type="dcterms:W3CDTF">2017-09-18T13:13:00Z</dcterms:modified>
</cp:coreProperties>
</file>