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8" w:rsidRDefault="00200FC8" w:rsidP="00200FC8">
      <w:r>
        <w:t>Pressemeddelelse om samarbejdsaftale vedrørende solcelleudbud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610BE1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Forsyning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9E61D0">
              <w:rPr>
                <w:noProof/>
                <w:sz w:val="16"/>
                <w:szCs w:val="16"/>
              </w:rPr>
              <w:t>20. jul</w:t>
            </w:r>
            <w:r w:rsidR="00200FC8">
              <w:rPr>
                <w:noProof/>
                <w:sz w:val="16"/>
                <w:szCs w:val="16"/>
              </w:rPr>
              <w:t>i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610BE1">
              <w:rPr>
                <w:sz w:val="16"/>
                <w:szCs w:val="16"/>
              </w:rPr>
              <w:t>2015-1233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610BE1" w:rsidP="00A46851">
            <w:pPr>
              <w:spacing w:line="22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rzs</w:t>
            </w:r>
            <w:proofErr w:type="spellEnd"/>
            <w:r w:rsidR="008F2666" w:rsidRPr="00A53C43"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jgk</w:t>
            </w:r>
            <w:proofErr w:type="spellEnd"/>
          </w:p>
        </w:tc>
      </w:tr>
    </w:tbl>
    <w:p w:rsidR="00200FC8" w:rsidRDefault="00200FC8" w:rsidP="00200FC8"/>
    <w:p w:rsidR="000878BD" w:rsidRDefault="000878BD" w:rsidP="00200FC8">
      <w:pPr>
        <w:rPr>
          <w:b/>
          <w:sz w:val="24"/>
          <w:szCs w:val="24"/>
        </w:rPr>
      </w:pPr>
    </w:p>
    <w:p w:rsidR="00200FC8" w:rsidRDefault="00200FC8" w:rsidP="00200FC8">
      <w:pPr>
        <w:rPr>
          <w:b/>
          <w:sz w:val="24"/>
          <w:szCs w:val="24"/>
        </w:rPr>
      </w:pPr>
      <w:r w:rsidRPr="002D25A5">
        <w:rPr>
          <w:b/>
          <w:sz w:val="24"/>
          <w:szCs w:val="24"/>
        </w:rPr>
        <w:t>Tyskland åbner for støtte til 50 MW solceller i Danmark</w:t>
      </w:r>
    </w:p>
    <w:p w:rsidR="00200FC8" w:rsidRDefault="00200FC8" w:rsidP="00200FC8">
      <w:pPr>
        <w:rPr>
          <w:b/>
          <w:szCs w:val="20"/>
        </w:rPr>
      </w:pPr>
    </w:p>
    <w:p w:rsidR="00200FC8" w:rsidRPr="002D25A5" w:rsidRDefault="00200FC8" w:rsidP="00200FC8">
      <w:pPr>
        <w:rPr>
          <w:b/>
          <w:szCs w:val="20"/>
        </w:rPr>
      </w:pPr>
      <w:r>
        <w:rPr>
          <w:b/>
          <w:szCs w:val="20"/>
        </w:rPr>
        <w:t xml:space="preserve">Den midlertidige </w:t>
      </w:r>
      <w:r w:rsidR="008345B6">
        <w:rPr>
          <w:b/>
          <w:szCs w:val="20"/>
        </w:rPr>
        <w:t>PSO-</w:t>
      </w:r>
      <w:r>
        <w:rPr>
          <w:b/>
          <w:szCs w:val="20"/>
        </w:rPr>
        <w:t>løsning for 2015 og 2016 betyder, at Tyskland åbner for</w:t>
      </w:r>
      <w:r w:rsidR="008345B6">
        <w:rPr>
          <w:b/>
          <w:szCs w:val="20"/>
        </w:rPr>
        <w:t xml:space="preserve">, at </w:t>
      </w:r>
      <w:r>
        <w:rPr>
          <w:b/>
          <w:szCs w:val="20"/>
        </w:rPr>
        <w:t xml:space="preserve">50 MW solceller </w:t>
      </w:r>
      <w:r w:rsidR="008345B6">
        <w:rPr>
          <w:b/>
          <w:szCs w:val="20"/>
        </w:rPr>
        <w:t xml:space="preserve">også kan placeres </w:t>
      </w:r>
      <w:r>
        <w:rPr>
          <w:b/>
          <w:szCs w:val="20"/>
        </w:rPr>
        <w:t>i Danmark, mens Danmark åbner for støtte til</w:t>
      </w:r>
      <w:r w:rsidR="008345B6">
        <w:rPr>
          <w:b/>
          <w:szCs w:val="20"/>
        </w:rPr>
        <w:t>, at</w:t>
      </w:r>
      <w:r>
        <w:rPr>
          <w:b/>
          <w:szCs w:val="20"/>
        </w:rPr>
        <w:t xml:space="preserve"> 2,4 MW solceller </w:t>
      </w:r>
      <w:r w:rsidR="008345B6">
        <w:rPr>
          <w:b/>
          <w:szCs w:val="20"/>
        </w:rPr>
        <w:t>på tilsvarende vis kan placeres</w:t>
      </w:r>
      <w:bookmarkStart w:id="0" w:name="_GoBack"/>
      <w:bookmarkEnd w:id="0"/>
      <w:r w:rsidR="008345B6">
        <w:rPr>
          <w:b/>
          <w:szCs w:val="20"/>
        </w:rPr>
        <w:t xml:space="preserve"> </w:t>
      </w:r>
      <w:r>
        <w:rPr>
          <w:b/>
          <w:szCs w:val="20"/>
        </w:rPr>
        <w:t>i Tyskland.</w:t>
      </w:r>
    </w:p>
    <w:p w:rsidR="00200FC8" w:rsidRDefault="00200FC8" w:rsidP="00200FC8"/>
    <w:p w:rsidR="000878BD" w:rsidRDefault="00200FC8" w:rsidP="002B6ADD">
      <w:r>
        <w:t xml:space="preserve">I </w:t>
      </w:r>
      <w:r w:rsidR="00331017">
        <w:t xml:space="preserve">dag </w:t>
      </w:r>
      <w:r>
        <w:t xml:space="preserve">underskrives en samarbejdsaftale mellem Danmark og Tyskland, som gør det muligt for begge lande at </w:t>
      </w:r>
      <w:r w:rsidR="007A5736">
        <w:t xml:space="preserve">opfylde deres aftaler med Europa-Kommissionen om en midlertidig løsning på Europa-Kommissionens kritik af de to landes finansiering af udbygningen med vedvarende energi. </w:t>
      </w:r>
    </w:p>
    <w:p w:rsidR="000878BD" w:rsidRDefault="000878BD" w:rsidP="002B6ADD"/>
    <w:p w:rsidR="00200FC8" w:rsidRDefault="002B6ADD" w:rsidP="00200FC8">
      <w:r>
        <w:t>Løsningen består i, at begge lande afholder udbud af støtte til solcelleanlæg, hvor alle eller en del af solcelleanlæggene</w:t>
      </w:r>
      <w:r w:rsidR="008345B6">
        <w:t xml:space="preserve"> også</w:t>
      </w:r>
      <w:r>
        <w:t xml:space="preserve"> kan placeres i det andet land.</w:t>
      </w:r>
      <w:r w:rsidR="000878BD">
        <w:t xml:space="preserve"> Samtidig vil </w:t>
      </w:r>
      <w:r w:rsidR="009712B2">
        <w:t xml:space="preserve">energien fra anlæggene </w:t>
      </w:r>
      <w:r w:rsidR="000878BD">
        <w:t xml:space="preserve">kunne </w:t>
      </w:r>
      <w:r w:rsidR="009712B2">
        <w:t>tælles med i andelen af vedvarende energi i det land, der betaler støtten.</w:t>
      </w:r>
    </w:p>
    <w:p w:rsidR="00A9284C" w:rsidRDefault="00A9284C" w:rsidP="00804D82"/>
    <w:p w:rsidR="00CE0FBD" w:rsidRDefault="00CE0FBD" w:rsidP="00804D82">
      <w:r w:rsidRPr="00331017">
        <w:rPr>
          <w:i/>
        </w:rPr>
        <w:t xml:space="preserve">”Aftalen med Tyskland er et vigtigt skridt på vejen til at løse PSO-problemet for 2015 og 2016. </w:t>
      </w:r>
      <w:r w:rsidR="003C039E">
        <w:rPr>
          <w:i/>
        </w:rPr>
        <w:t>Vi vil opnå værdifulde erfaringer med udbudsmodellen, og s</w:t>
      </w:r>
      <w:r w:rsidRPr="00331017">
        <w:rPr>
          <w:i/>
        </w:rPr>
        <w:t xml:space="preserve">amtidig </w:t>
      </w:r>
      <w:r w:rsidR="003C039E">
        <w:rPr>
          <w:i/>
        </w:rPr>
        <w:t>vil</w:t>
      </w:r>
      <w:r w:rsidR="003C039E" w:rsidRPr="00331017">
        <w:rPr>
          <w:i/>
        </w:rPr>
        <w:t xml:space="preserve"> </w:t>
      </w:r>
      <w:r w:rsidRPr="00331017">
        <w:rPr>
          <w:i/>
        </w:rPr>
        <w:t xml:space="preserve">udbuddene vise, hvor lidt støtte danske solcelleanlæg reelt kan </w:t>
      </w:r>
      <w:r w:rsidR="003C039E">
        <w:rPr>
          <w:i/>
        </w:rPr>
        <w:t>klare sig</w:t>
      </w:r>
      <w:r w:rsidR="003C039E" w:rsidRPr="00331017">
        <w:rPr>
          <w:i/>
        </w:rPr>
        <w:t xml:space="preserve"> </w:t>
      </w:r>
      <w:r w:rsidRPr="00331017">
        <w:rPr>
          <w:i/>
        </w:rPr>
        <w:t>med</w:t>
      </w:r>
      <w:r w:rsidR="007A5736">
        <w:rPr>
          <w:i/>
        </w:rPr>
        <w:t xml:space="preserve">. </w:t>
      </w:r>
      <w:r w:rsidR="003C039E">
        <w:rPr>
          <w:i/>
        </w:rPr>
        <w:t>Den markedstest bliver det interessant at følge</w:t>
      </w:r>
      <w:r w:rsidRPr="00331017">
        <w:rPr>
          <w:i/>
        </w:rPr>
        <w:t>”</w:t>
      </w:r>
      <w:r>
        <w:t xml:space="preserve">, siger </w:t>
      </w:r>
      <w:r w:rsidR="003C039E">
        <w:t xml:space="preserve">energi-, forsynings- og klimaminister </w:t>
      </w:r>
      <w:r>
        <w:t>Lars Chr. Lilleholt.</w:t>
      </w:r>
    </w:p>
    <w:p w:rsidR="00331017" w:rsidRDefault="00331017" w:rsidP="00804D82"/>
    <w:p w:rsidR="00331017" w:rsidRDefault="00331017" w:rsidP="00804D82">
      <w:r>
        <w:t>Inden udgangen af 2016 vil Danmark og Tyskland afholde hvert sit udbud af støtte til solceller, som er åbent for anlæg i det andet land. Det danske udbud, som også er åbe</w:t>
      </w:r>
      <w:r w:rsidR="002B6ADD">
        <w:t>n</w:t>
      </w:r>
      <w:r>
        <w:t xml:space="preserve">t for anlæg i Tyskland, afholdes af Energistyrelsen, mens det tyske udbud, som også er åbent for anlæg i Danmark, afholdes af det tyske </w:t>
      </w:r>
      <w:proofErr w:type="spellStart"/>
      <w:r>
        <w:t>Bundesnetzagentur</w:t>
      </w:r>
      <w:proofErr w:type="spellEnd"/>
      <w:r>
        <w:t>.</w:t>
      </w:r>
    </w:p>
    <w:p w:rsidR="00331017" w:rsidRDefault="00331017" w:rsidP="00804D82"/>
    <w:p w:rsidR="008B2B9A" w:rsidRDefault="008B2B9A" w:rsidP="00804D82">
      <w:r>
        <w:t xml:space="preserve">Fra 2017 </w:t>
      </w:r>
      <w:r w:rsidR="003C039E">
        <w:t xml:space="preserve">har </w:t>
      </w:r>
      <w:r>
        <w:t xml:space="preserve">regeringen </w:t>
      </w:r>
      <w:r w:rsidR="003C039E">
        <w:t>foreslået</w:t>
      </w:r>
      <w:r>
        <w:t xml:space="preserve"> </w:t>
      </w:r>
      <w:r w:rsidR="00034739">
        <w:t xml:space="preserve">at </w:t>
      </w:r>
      <w:r>
        <w:t xml:space="preserve">løse Europa-Kommissionens kritik af </w:t>
      </w:r>
      <w:r w:rsidR="00814D8D">
        <w:t>den danske PSO-opkrævning</w:t>
      </w:r>
      <w:r>
        <w:t xml:space="preserve"> ved at overføre finansieringen </w:t>
      </w:r>
      <w:r w:rsidR="00814D8D">
        <w:t xml:space="preserve">af udbygningen med vedvarende energi </w:t>
      </w:r>
      <w:r>
        <w:t>fra PSO-</w:t>
      </w:r>
      <w:r w:rsidR="009E503E">
        <w:t>ordningen</w:t>
      </w:r>
      <w:r>
        <w:t xml:space="preserve"> til finansloven. </w:t>
      </w:r>
    </w:p>
    <w:p w:rsidR="003C039E" w:rsidRDefault="003C039E" w:rsidP="00804D82"/>
    <w:p w:rsidR="008B2B9A" w:rsidRPr="009E503E" w:rsidRDefault="009E503E" w:rsidP="00804D82">
      <w:r>
        <w:rPr>
          <w:i/>
        </w:rPr>
        <w:t>”Der er klare fordele ved at flytte PSO-ordningen til finansloven</w:t>
      </w:r>
      <w:r w:rsidRPr="009E503E">
        <w:rPr>
          <w:rFonts w:ascii="Helvetica" w:hAnsi="Helvetica" w:cs="Arial"/>
          <w:color w:val="2F3232"/>
          <w:sz w:val="27"/>
          <w:szCs w:val="27"/>
        </w:rPr>
        <w:t xml:space="preserve"> </w:t>
      </w:r>
      <w:r w:rsidR="004E15DE">
        <w:rPr>
          <w:i/>
        </w:rPr>
        <w:t>særligt</w:t>
      </w:r>
      <w:r w:rsidRPr="00FE6DBC">
        <w:rPr>
          <w:i/>
        </w:rPr>
        <w:t xml:space="preserve"> i forhold til konkurrenceudsatte virksomheder, men også i forhold til den elektrificering, vi ellers er i gang med i det danske samfund</w:t>
      </w:r>
      <w:r>
        <w:rPr>
          <w:i/>
        </w:rPr>
        <w:t>”</w:t>
      </w:r>
      <w:r w:rsidR="0003277F">
        <w:rPr>
          <w:i/>
        </w:rPr>
        <w:t>,</w:t>
      </w:r>
      <w:r w:rsidR="0003277F">
        <w:t xml:space="preserve"> </w:t>
      </w:r>
      <w:r>
        <w:t>siger Lars Chr. Lilleholt.</w:t>
      </w:r>
    </w:p>
    <w:p w:rsidR="008B2B9A" w:rsidRDefault="008B2B9A" w:rsidP="00804D82"/>
    <w:p w:rsidR="008B2B9A" w:rsidRPr="00FE6DBC" w:rsidRDefault="008B2B9A" w:rsidP="00804D82">
      <w:pPr>
        <w:rPr>
          <w:b/>
        </w:rPr>
      </w:pPr>
      <w:r w:rsidRPr="00FE6DBC">
        <w:rPr>
          <w:b/>
        </w:rPr>
        <w:t>Fakta</w:t>
      </w:r>
    </w:p>
    <w:p w:rsidR="008B2B9A" w:rsidRDefault="00B34316" w:rsidP="00FE6DBC">
      <w:pPr>
        <w:pStyle w:val="Listeafsnit"/>
        <w:numPr>
          <w:ilvl w:val="0"/>
          <w:numId w:val="2"/>
        </w:numPr>
      </w:pPr>
      <w:r>
        <w:t>Både det danske og det tyske</w:t>
      </w:r>
      <w:r w:rsidR="008B2B9A">
        <w:t xml:space="preserve"> udbud afholdes i anden halvdel af 2016</w:t>
      </w:r>
      <w:r w:rsidR="009E503E">
        <w:t>.</w:t>
      </w:r>
    </w:p>
    <w:p w:rsidR="009E503E" w:rsidRDefault="009E503E" w:rsidP="009E503E">
      <w:pPr>
        <w:pStyle w:val="Listeafsnit"/>
        <w:numPr>
          <w:ilvl w:val="0"/>
          <w:numId w:val="2"/>
        </w:numPr>
      </w:pPr>
      <w:r>
        <w:t>Hvert land fastsætter selv betingelserne i sit eget udbud.</w:t>
      </w:r>
    </w:p>
    <w:p w:rsidR="008B2B9A" w:rsidRDefault="008B2B9A" w:rsidP="00FE6DBC">
      <w:pPr>
        <w:pStyle w:val="Listeafsnit"/>
        <w:numPr>
          <w:ilvl w:val="0"/>
          <w:numId w:val="2"/>
        </w:numPr>
      </w:pPr>
      <w:r>
        <w:t>Udbuddene vindes af de projekter, som tilbyder at etablere solcelleanlæggene til den laveste støtte.</w:t>
      </w:r>
    </w:p>
    <w:p w:rsidR="009712B2" w:rsidRDefault="008B2B9A" w:rsidP="00804D82">
      <w:pPr>
        <w:pStyle w:val="Listeafsnit"/>
        <w:numPr>
          <w:ilvl w:val="0"/>
          <w:numId w:val="2"/>
        </w:numPr>
      </w:pPr>
      <w:r>
        <w:t>I begge udbud vil danske anlæg være i direkte konkurrence med anlæg i Tyskland.</w:t>
      </w:r>
    </w:p>
    <w:p w:rsidR="009712B2" w:rsidRDefault="009712B2" w:rsidP="00804D82"/>
    <w:sectPr w:rsidR="009712B2" w:rsidSect="000E7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93" w:rsidRDefault="00033593" w:rsidP="008969C1">
      <w:pPr>
        <w:spacing w:line="240" w:lineRule="auto"/>
      </w:pPr>
      <w:r>
        <w:separator/>
      </w:r>
    </w:p>
  </w:endnote>
  <w:endnote w:type="continuationSeparator" w:id="0">
    <w:p w:rsidR="00033593" w:rsidRDefault="0003359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C8" w:rsidRDefault="00200FC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0E795F">
      <w:rPr>
        <w:noProof/>
      </w:rPr>
      <w:t>2</w:t>
    </w:r>
    <w:r w:rsidRPr="002A4EDA">
      <w:fldChar w:fldCharType="end"/>
    </w:r>
    <w:r w:rsidRPr="002A4EDA">
      <w:t>/</w:t>
    </w:r>
    <w:r w:rsidR="00033593">
      <w:fldChar w:fldCharType="begin"/>
    </w:r>
    <w:r w:rsidR="00033593">
      <w:instrText xml:space="preserve"> NUMPAGES </w:instrText>
    </w:r>
    <w:r w:rsidR="00033593">
      <w:fldChar w:fldCharType="separate"/>
    </w:r>
    <w:r w:rsidR="000E795F">
      <w:rPr>
        <w:noProof/>
      </w:rPr>
      <w:t>2</w:t>
    </w:r>
    <w:r w:rsidR="000335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10C19" wp14:editId="197A08C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9E61D0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033593">
      <w:fldChar w:fldCharType="begin"/>
    </w:r>
    <w:r w:rsidR="00033593">
      <w:instrText xml:space="preserve"> NUMPAGES </w:instrText>
    </w:r>
    <w:r w:rsidR="00033593">
      <w:fldChar w:fldCharType="separate"/>
    </w:r>
    <w:r w:rsidR="009E61D0">
      <w:rPr>
        <w:noProof/>
      </w:rPr>
      <w:t>1</w:t>
    </w:r>
    <w:r w:rsidR="000335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93" w:rsidRDefault="00033593" w:rsidP="008969C1">
      <w:pPr>
        <w:spacing w:line="240" w:lineRule="auto"/>
      </w:pPr>
      <w:r>
        <w:separator/>
      </w:r>
    </w:p>
  </w:footnote>
  <w:footnote w:type="continuationSeparator" w:id="0">
    <w:p w:rsidR="00033593" w:rsidRDefault="00033593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C8" w:rsidRDefault="00200FC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775370E1" wp14:editId="571E6252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3AEC3EC" wp14:editId="229F104D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A98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8C728F"/>
    <w:multiLevelType w:val="multilevel"/>
    <w:tmpl w:val="962ED21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8"/>
    <w:rsid w:val="00022817"/>
    <w:rsid w:val="0003277F"/>
    <w:rsid w:val="00033593"/>
    <w:rsid w:val="00034739"/>
    <w:rsid w:val="00036061"/>
    <w:rsid w:val="00065C74"/>
    <w:rsid w:val="00086163"/>
    <w:rsid w:val="000878BD"/>
    <w:rsid w:val="000A08E2"/>
    <w:rsid w:val="000E795F"/>
    <w:rsid w:val="00110084"/>
    <w:rsid w:val="00112F02"/>
    <w:rsid w:val="00137EB2"/>
    <w:rsid w:val="00140C61"/>
    <w:rsid w:val="00193FFD"/>
    <w:rsid w:val="00200FC8"/>
    <w:rsid w:val="00250B7E"/>
    <w:rsid w:val="002611C9"/>
    <w:rsid w:val="0027768F"/>
    <w:rsid w:val="002861AB"/>
    <w:rsid w:val="00296E6F"/>
    <w:rsid w:val="002A4EDA"/>
    <w:rsid w:val="002B6ADD"/>
    <w:rsid w:val="002C135B"/>
    <w:rsid w:val="00331017"/>
    <w:rsid w:val="0034007A"/>
    <w:rsid w:val="003439FA"/>
    <w:rsid w:val="00347BCC"/>
    <w:rsid w:val="00352DBE"/>
    <w:rsid w:val="00375329"/>
    <w:rsid w:val="003B31EC"/>
    <w:rsid w:val="003B5DBB"/>
    <w:rsid w:val="003B7D18"/>
    <w:rsid w:val="003C039E"/>
    <w:rsid w:val="00407D41"/>
    <w:rsid w:val="004129C4"/>
    <w:rsid w:val="004456A7"/>
    <w:rsid w:val="00457E74"/>
    <w:rsid w:val="004704DA"/>
    <w:rsid w:val="004D5CFB"/>
    <w:rsid w:val="004E15DE"/>
    <w:rsid w:val="004F5C81"/>
    <w:rsid w:val="00527652"/>
    <w:rsid w:val="005340A7"/>
    <w:rsid w:val="00610BE1"/>
    <w:rsid w:val="006202F5"/>
    <w:rsid w:val="00665F29"/>
    <w:rsid w:val="00667FF1"/>
    <w:rsid w:val="006803EB"/>
    <w:rsid w:val="006B4CF5"/>
    <w:rsid w:val="006D6210"/>
    <w:rsid w:val="006E691D"/>
    <w:rsid w:val="00721870"/>
    <w:rsid w:val="007636C2"/>
    <w:rsid w:val="007A1D11"/>
    <w:rsid w:val="007A5736"/>
    <w:rsid w:val="007A66F3"/>
    <w:rsid w:val="007B75E6"/>
    <w:rsid w:val="00800E2B"/>
    <w:rsid w:val="00802C9E"/>
    <w:rsid w:val="00804D82"/>
    <w:rsid w:val="00814D8D"/>
    <w:rsid w:val="008176EC"/>
    <w:rsid w:val="008345B6"/>
    <w:rsid w:val="008969C1"/>
    <w:rsid w:val="008B2B9A"/>
    <w:rsid w:val="008E61DD"/>
    <w:rsid w:val="008F2666"/>
    <w:rsid w:val="00923F35"/>
    <w:rsid w:val="009712B2"/>
    <w:rsid w:val="009D3FB5"/>
    <w:rsid w:val="009E503E"/>
    <w:rsid w:val="009E61D0"/>
    <w:rsid w:val="00A46851"/>
    <w:rsid w:val="00A53C43"/>
    <w:rsid w:val="00A9284C"/>
    <w:rsid w:val="00AB4885"/>
    <w:rsid w:val="00AC60EA"/>
    <w:rsid w:val="00B1566A"/>
    <w:rsid w:val="00B34316"/>
    <w:rsid w:val="00B3562F"/>
    <w:rsid w:val="00B536E9"/>
    <w:rsid w:val="00BA0FCB"/>
    <w:rsid w:val="00BD2772"/>
    <w:rsid w:val="00C20E5C"/>
    <w:rsid w:val="00C4750C"/>
    <w:rsid w:val="00C52DD5"/>
    <w:rsid w:val="00C651CC"/>
    <w:rsid w:val="00CB3A7C"/>
    <w:rsid w:val="00CE0FBD"/>
    <w:rsid w:val="00D1257F"/>
    <w:rsid w:val="00D12E7B"/>
    <w:rsid w:val="00D357CF"/>
    <w:rsid w:val="00D93447"/>
    <w:rsid w:val="00DA7419"/>
    <w:rsid w:val="00DC2214"/>
    <w:rsid w:val="00DD1186"/>
    <w:rsid w:val="00E452E8"/>
    <w:rsid w:val="00E65202"/>
    <w:rsid w:val="00E90A4E"/>
    <w:rsid w:val="00ED066E"/>
    <w:rsid w:val="00F3314C"/>
    <w:rsid w:val="00F54277"/>
    <w:rsid w:val="00F70159"/>
    <w:rsid w:val="00F714AB"/>
    <w:rsid w:val="00FB1A39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8B2B9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8B2B9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C03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039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039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03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039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8B2B9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8B2B9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C03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039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039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03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039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2016-07-20T16:36:00Z</dcterms:created>
  <dcterms:modified xsi:type="dcterms:W3CDTF">2016-07-20T16:37:00Z</dcterms:modified>
</cp:coreProperties>
</file>