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82" w:rsidRPr="00896285" w:rsidRDefault="00896285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Area</w:t>
      </w:r>
      <w:r w:rsidRPr="00896285">
        <w:rPr>
          <w:b/>
          <w:lang w:val="en-GB"/>
        </w:rPr>
        <w:t xml:space="preserve"> calculation for offshore wind farms</w:t>
      </w:r>
    </w:p>
    <w:p w:rsidR="00896285" w:rsidRDefault="00D01415" w:rsidP="00600566">
      <w:pPr>
        <w:spacing w:after="0"/>
        <w:rPr>
          <w:lang w:val="en-GB"/>
        </w:rPr>
      </w:pPr>
      <w:r>
        <w:rPr>
          <w:lang w:val="en-GB"/>
        </w:rPr>
        <w:t>I</w:t>
      </w:r>
      <w:r w:rsidR="00896285">
        <w:rPr>
          <w:lang w:val="en-GB"/>
        </w:rPr>
        <w:t xml:space="preserve">n the licenses </w:t>
      </w:r>
      <w:r>
        <w:rPr>
          <w:lang w:val="en-GB"/>
        </w:rPr>
        <w:t>for Danish offshore wind farms</w:t>
      </w:r>
      <w:r w:rsidR="00896285">
        <w:rPr>
          <w:lang w:val="en-GB"/>
        </w:rPr>
        <w:t xml:space="preserve"> a limited area </w:t>
      </w:r>
      <w:r>
        <w:rPr>
          <w:lang w:val="en-GB"/>
        </w:rPr>
        <w:t>can be used</w:t>
      </w:r>
      <w:r w:rsidR="00896285">
        <w:rPr>
          <w:lang w:val="en-GB"/>
        </w:rPr>
        <w:t xml:space="preserve"> for the </w:t>
      </w:r>
      <w:r>
        <w:rPr>
          <w:lang w:val="en-GB"/>
        </w:rPr>
        <w:t>siting</w:t>
      </w:r>
      <w:r w:rsidR="00896285">
        <w:rPr>
          <w:lang w:val="en-GB"/>
        </w:rPr>
        <w:t xml:space="preserve"> of the wind farm.</w:t>
      </w:r>
      <w:r w:rsidR="00600566">
        <w:rPr>
          <w:lang w:val="en-GB"/>
        </w:rPr>
        <w:t xml:space="preserve"> </w:t>
      </w:r>
      <w:r w:rsidR="00896285">
        <w:rPr>
          <w:lang w:val="en-GB"/>
        </w:rPr>
        <w:t xml:space="preserve">The </w:t>
      </w:r>
      <w:r>
        <w:rPr>
          <w:lang w:val="en-GB"/>
        </w:rPr>
        <w:t>used</w:t>
      </w:r>
      <w:r w:rsidR="00896285">
        <w:rPr>
          <w:lang w:val="en-GB"/>
        </w:rPr>
        <w:t xml:space="preserve"> area is </w:t>
      </w:r>
      <w:r w:rsidR="00D457D6">
        <w:rPr>
          <w:lang w:val="en-GB"/>
        </w:rPr>
        <w:t>calculated</w:t>
      </w:r>
      <w:r w:rsidR="00896285">
        <w:rPr>
          <w:lang w:val="en-GB"/>
        </w:rPr>
        <w:t xml:space="preserve"> on the basis of a ratio of 0.22 </w:t>
      </w:r>
      <w:r w:rsidR="00896285" w:rsidRPr="00896285">
        <w:rPr>
          <w:lang w:val="en-GB"/>
        </w:rPr>
        <w:t>km</w:t>
      </w:r>
      <w:r w:rsidR="00896285" w:rsidRPr="00896285">
        <w:rPr>
          <w:vertAlign w:val="superscript"/>
          <w:lang w:val="en-GB"/>
        </w:rPr>
        <w:t>2</w:t>
      </w:r>
      <w:r w:rsidR="00896285" w:rsidRPr="00896285">
        <w:rPr>
          <w:lang w:val="en-GB"/>
        </w:rPr>
        <w:t>/</w:t>
      </w:r>
      <w:r w:rsidR="00D457D6">
        <w:rPr>
          <w:lang w:val="en-GB"/>
        </w:rPr>
        <w:t xml:space="preserve"> </w:t>
      </w:r>
      <w:r w:rsidR="00896285" w:rsidRPr="00896285">
        <w:rPr>
          <w:lang w:val="en-GB"/>
        </w:rPr>
        <w:t>MW</w:t>
      </w:r>
      <w:r w:rsidR="00D457D6">
        <w:rPr>
          <w:lang w:val="en-GB"/>
        </w:rPr>
        <w:t>,</w:t>
      </w:r>
      <w:r>
        <w:rPr>
          <w:lang w:val="en-GB"/>
        </w:rPr>
        <w:t xml:space="preserve"> i.e. the </w:t>
      </w:r>
      <w:r w:rsidR="00896285">
        <w:rPr>
          <w:lang w:val="en-GB"/>
        </w:rPr>
        <w:t>cor</w:t>
      </w:r>
      <w:r w:rsidR="00D457D6">
        <w:rPr>
          <w:lang w:val="en-GB"/>
        </w:rPr>
        <w:t>respond</w:t>
      </w:r>
      <w:r>
        <w:rPr>
          <w:lang w:val="en-GB"/>
        </w:rPr>
        <w:t xml:space="preserve">ing area for the 600 MW </w:t>
      </w:r>
      <w:proofErr w:type="spellStart"/>
      <w:r>
        <w:rPr>
          <w:lang w:val="en-GB"/>
        </w:rPr>
        <w:t>Kriegers</w:t>
      </w:r>
      <w:proofErr w:type="spellEnd"/>
      <w:r>
        <w:rPr>
          <w:lang w:val="en-GB"/>
        </w:rPr>
        <w:t xml:space="preserve"> Flak OWF is</w:t>
      </w:r>
      <w:r w:rsidR="00896285">
        <w:rPr>
          <w:lang w:val="en-GB"/>
        </w:rPr>
        <w:t xml:space="preserve"> </w:t>
      </w:r>
      <w:r w:rsidR="00D457D6">
        <w:rPr>
          <w:lang w:val="en-GB"/>
        </w:rPr>
        <w:t xml:space="preserve">an area of </w:t>
      </w:r>
      <w:r w:rsidR="00896285" w:rsidRPr="00896285">
        <w:rPr>
          <w:lang w:val="en-GB"/>
        </w:rPr>
        <w:t>132 km</w:t>
      </w:r>
      <w:r w:rsidR="00896285" w:rsidRPr="00896285">
        <w:rPr>
          <w:vertAlign w:val="superscript"/>
          <w:lang w:val="en-GB"/>
        </w:rPr>
        <w:t>2</w:t>
      </w:r>
      <w:r w:rsidR="00896285">
        <w:rPr>
          <w:lang w:val="en-GB"/>
        </w:rPr>
        <w:t>.</w:t>
      </w:r>
    </w:p>
    <w:p w:rsidR="00896285" w:rsidRDefault="00D457D6" w:rsidP="00600566">
      <w:pPr>
        <w:spacing w:after="0"/>
        <w:rPr>
          <w:lang w:val="en-GB"/>
        </w:rPr>
      </w:pPr>
      <w:r>
        <w:rPr>
          <w:lang w:val="en-GB"/>
        </w:rPr>
        <w:t>The calculation is based on the coordinates</w:t>
      </w:r>
      <w:r w:rsidR="00D01415">
        <w:rPr>
          <w:lang w:val="en-GB"/>
        </w:rPr>
        <w:t xml:space="preserve"> for the siting of the foundations</w:t>
      </w:r>
      <w:r>
        <w:rPr>
          <w:lang w:val="en-GB"/>
        </w:rPr>
        <w:t>. Hence, the inter array cables, connecting the wind turbines to the offshore substation</w:t>
      </w:r>
      <w:r w:rsidR="00587F24">
        <w:rPr>
          <w:lang w:val="en-GB"/>
        </w:rPr>
        <w:t>(</w:t>
      </w:r>
      <w:r>
        <w:rPr>
          <w:lang w:val="en-GB"/>
        </w:rPr>
        <w:t>s</w:t>
      </w:r>
      <w:r w:rsidR="00587F24">
        <w:rPr>
          <w:lang w:val="en-GB"/>
        </w:rPr>
        <w:t>)</w:t>
      </w:r>
      <w:r>
        <w:rPr>
          <w:lang w:val="en-GB"/>
        </w:rPr>
        <w:t xml:space="preserve"> are not considered in the calculation. </w:t>
      </w:r>
    </w:p>
    <w:p w:rsidR="00587F24" w:rsidRDefault="00587F24" w:rsidP="00600566">
      <w:pPr>
        <w:spacing w:after="0"/>
        <w:rPr>
          <w:lang w:val="en-GB"/>
        </w:rPr>
      </w:pPr>
    </w:p>
    <w:p w:rsidR="00D457D6" w:rsidRPr="000744BA" w:rsidRDefault="00D457D6" w:rsidP="00600566">
      <w:pPr>
        <w:spacing w:after="0"/>
        <w:rPr>
          <w:lang w:val="en-GB"/>
        </w:rPr>
      </w:pPr>
      <w:r>
        <w:rPr>
          <w:lang w:val="en-GB"/>
        </w:rPr>
        <w:t xml:space="preserve">The total </w:t>
      </w:r>
      <w:r w:rsidR="00D01415">
        <w:rPr>
          <w:lang w:val="en-GB"/>
        </w:rPr>
        <w:t>used</w:t>
      </w:r>
      <w:r>
        <w:rPr>
          <w:lang w:val="en-GB"/>
        </w:rPr>
        <w:t xml:space="preserve"> area is </w:t>
      </w:r>
      <w:r w:rsidR="001F44CF">
        <w:rPr>
          <w:lang w:val="en-GB"/>
        </w:rPr>
        <w:t xml:space="preserve">calculated </w:t>
      </w:r>
      <w:r w:rsidR="00457E18">
        <w:rPr>
          <w:lang w:val="en-GB"/>
        </w:rPr>
        <w:t>with</w:t>
      </w:r>
      <w:r w:rsidR="001F44CF">
        <w:rPr>
          <w:lang w:val="en-GB"/>
        </w:rPr>
        <w:t xml:space="preserve"> Delaunay’s triangulation </w:t>
      </w:r>
      <w:r w:rsidR="00827E57">
        <w:rPr>
          <w:lang w:val="en-GB"/>
        </w:rPr>
        <w:t xml:space="preserve">method, which </w:t>
      </w:r>
      <w:r w:rsidR="00457E18">
        <w:rPr>
          <w:lang w:val="en-GB"/>
        </w:rPr>
        <w:t>is based on alpha values</w:t>
      </w:r>
      <w:r w:rsidR="00D01415">
        <w:rPr>
          <w:lang w:val="en-GB"/>
        </w:rPr>
        <w:t xml:space="preserve"> (</w:t>
      </w:r>
      <w:r w:rsidR="00D01415" w:rsidRPr="00896285">
        <w:rPr>
          <w:lang w:val="en-GB"/>
        </w:rPr>
        <w:t>α</w:t>
      </w:r>
      <w:r w:rsidR="00D01415">
        <w:rPr>
          <w:lang w:val="en-GB"/>
        </w:rPr>
        <w:t>)</w:t>
      </w:r>
      <w:r w:rsidR="00457E18">
        <w:rPr>
          <w:lang w:val="en-GB"/>
        </w:rPr>
        <w:t xml:space="preserve">. </w:t>
      </w:r>
      <w:proofErr w:type="gramStart"/>
      <w:r w:rsidR="009E0FBF" w:rsidRPr="00896285">
        <w:rPr>
          <w:lang w:val="en-GB"/>
        </w:rPr>
        <w:t>α</w:t>
      </w:r>
      <w:proofErr w:type="gramEnd"/>
      <w:r w:rsidR="009E0FBF">
        <w:rPr>
          <w:lang w:val="en-GB"/>
        </w:rPr>
        <w:t xml:space="preserve"> </w:t>
      </w:r>
      <w:r w:rsidR="00D01415">
        <w:rPr>
          <w:lang w:val="en-GB"/>
        </w:rPr>
        <w:t>is</w:t>
      </w:r>
      <w:r w:rsidR="009E0FBF">
        <w:rPr>
          <w:lang w:val="en-GB"/>
        </w:rPr>
        <w:t xml:space="preserve"> </w:t>
      </w:r>
      <w:r w:rsidR="00DE4D74">
        <w:rPr>
          <w:lang w:val="en-GB"/>
        </w:rPr>
        <w:t xml:space="preserve">defined as </w:t>
      </w:r>
      <w:r w:rsidR="009E0FBF">
        <w:rPr>
          <w:lang w:val="en-GB"/>
        </w:rPr>
        <w:t>the squared radius (</w:t>
      </w:r>
      <w:r w:rsidR="009E0FBF" w:rsidRPr="00896285">
        <w:rPr>
          <w:lang w:val="en-GB"/>
        </w:rPr>
        <w:t>r</w:t>
      </w:r>
      <w:r w:rsidR="009E0FBF" w:rsidRPr="00896285">
        <w:rPr>
          <w:vertAlign w:val="superscript"/>
          <w:lang w:val="en-GB"/>
        </w:rPr>
        <w:t>2</w:t>
      </w:r>
      <w:r w:rsidR="009E0FBF">
        <w:rPr>
          <w:lang w:val="en-GB"/>
        </w:rPr>
        <w:t>) of each triangle circumscribed</w:t>
      </w:r>
      <w:r w:rsidR="00DE4D74">
        <w:rPr>
          <w:lang w:val="en-GB"/>
        </w:rPr>
        <w:t xml:space="preserve"> circle, which reflect</w:t>
      </w:r>
      <w:r w:rsidR="009E0FBF">
        <w:rPr>
          <w:lang w:val="en-GB"/>
        </w:rPr>
        <w:t xml:space="preserve">s </w:t>
      </w:r>
      <w:r w:rsidR="00DE4D74">
        <w:rPr>
          <w:lang w:val="en-GB"/>
        </w:rPr>
        <w:t>the distances</w:t>
      </w:r>
      <w:r w:rsidR="00587F24">
        <w:rPr>
          <w:lang w:val="en-GB"/>
        </w:rPr>
        <w:t xml:space="preserve"> between neighbouring points (</w:t>
      </w:r>
      <w:r w:rsidR="00587F24">
        <w:rPr>
          <w:i/>
          <w:lang w:val="en-GB"/>
        </w:rPr>
        <w:t xml:space="preserve">e.g. </w:t>
      </w:r>
      <w:r w:rsidR="00587F24">
        <w:rPr>
          <w:lang w:val="en-GB"/>
        </w:rPr>
        <w:t>wind turbines)</w:t>
      </w:r>
      <w:r w:rsidR="00DE4D74">
        <w:rPr>
          <w:lang w:val="en-GB"/>
        </w:rPr>
        <w:t xml:space="preserve">. The figure below </w:t>
      </w:r>
      <w:r w:rsidR="000744BA">
        <w:rPr>
          <w:lang w:val="en-GB"/>
        </w:rPr>
        <w:t xml:space="preserve">illustrates the method with </w:t>
      </w:r>
      <w:r w:rsidR="00D01415">
        <w:rPr>
          <w:lang w:val="en-GB"/>
        </w:rPr>
        <w:t xml:space="preserve">the </w:t>
      </w:r>
      <w:r w:rsidR="000744BA">
        <w:rPr>
          <w:lang w:val="en-GB"/>
        </w:rPr>
        <w:t>triangle</w:t>
      </w:r>
      <w:r w:rsidR="00D01415">
        <w:rPr>
          <w:lang w:val="en-GB"/>
        </w:rPr>
        <w:t>’</w:t>
      </w:r>
      <w:r w:rsidR="000744BA">
        <w:rPr>
          <w:lang w:val="en-GB"/>
        </w:rPr>
        <w:t>s connecting points (</w:t>
      </w:r>
      <w:r w:rsidR="000744BA">
        <w:rPr>
          <w:i/>
          <w:lang w:val="en-GB"/>
        </w:rPr>
        <w:t xml:space="preserve">e.g. </w:t>
      </w:r>
      <w:r w:rsidR="000744BA">
        <w:rPr>
          <w:lang w:val="en-GB"/>
        </w:rPr>
        <w:t xml:space="preserve">wind turbines) as well as their respective circumscribed circles defining </w:t>
      </w:r>
      <w:proofErr w:type="gramStart"/>
      <w:r w:rsidR="000744BA">
        <w:rPr>
          <w:lang w:val="en-GB"/>
        </w:rPr>
        <w:t xml:space="preserve">the </w:t>
      </w:r>
      <w:r w:rsidR="000744BA" w:rsidRPr="00896285">
        <w:rPr>
          <w:lang w:val="en-GB"/>
        </w:rPr>
        <w:t>α</w:t>
      </w:r>
      <w:proofErr w:type="gramEnd"/>
      <w:r w:rsidR="000744BA">
        <w:rPr>
          <w:lang w:val="en-GB"/>
        </w:rPr>
        <w:t xml:space="preserve"> values. </w:t>
      </w:r>
    </w:p>
    <w:p w:rsidR="00CB661A" w:rsidRPr="008137FD" w:rsidRDefault="00CB661A">
      <w:pPr>
        <w:rPr>
          <w:noProof/>
          <w:lang w:val="en-US" w:eastAsia="da-DK"/>
        </w:rPr>
      </w:pPr>
      <w:r w:rsidRPr="00896285">
        <w:rPr>
          <w:noProof/>
          <w:lang w:eastAsia="da-DK"/>
        </w:rPr>
        <w:drawing>
          <wp:inline distT="0" distB="0" distL="0" distR="0" wp14:anchorId="552DF5EB" wp14:editId="5F40107C">
            <wp:extent cx="2371963" cy="1800000"/>
            <wp:effectExtent l="0" t="0" r="0" b="0"/>
            <wp:docPr id="1" name="Billede 1" descr="C:\Users\b015464\Desktop\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15464\Desktop\D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12"/>
                    <a:stretch/>
                  </pic:blipFill>
                  <pic:spPr bwMode="auto">
                    <a:xfrm>
                      <a:off x="0" y="0"/>
                      <a:ext cx="237196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137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 </w:t>
      </w:r>
      <w:r w:rsidRPr="00896285">
        <w:rPr>
          <w:noProof/>
          <w:lang w:eastAsia="da-DK"/>
        </w:rPr>
        <w:drawing>
          <wp:inline distT="0" distB="0" distL="0" distR="0" wp14:anchorId="37C55644" wp14:editId="288B33CA">
            <wp:extent cx="2216266" cy="1800000"/>
            <wp:effectExtent l="0" t="0" r="0" b="0"/>
            <wp:docPr id="2" name="Billede 2" descr="C:\Users\b015464\Desktop\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015464\Desktop\D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31" b="11083"/>
                    <a:stretch/>
                  </pic:blipFill>
                  <pic:spPr bwMode="auto">
                    <a:xfrm>
                      <a:off x="0" y="0"/>
                      <a:ext cx="221626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61A" w:rsidRPr="000744BA" w:rsidRDefault="000744BA" w:rsidP="00CB661A">
      <w:pPr>
        <w:pStyle w:val="Billedtekst"/>
        <w:rPr>
          <w:lang w:val="en-GB"/>
        </w:rPr>
      </w:pPr>
      <w:r>
        <w:rPr>
          <w:lang w:val="en-GB"/>
        </w:rPr>
        <w:t xml:space="preserve">Representation of the </w:t>
      </w:r>
      <w:r w:rsidR="00CB661A" w:rsidRPr="000744BA">
        <w:rPr>
          <w:lang w:val="en-GB"/>
        </w:rPr>
        <w:t>Delaunay triangul</w:t>
      </w:r>
      <w:r>
        <w:rPr>
          <w:lang w:val="en-GB"/>
        </w:rPr>
        <w:t xml:space="preserve">ation </w:t>
      </w:r>
      <w:r w:rsidR="00CB661A" w:rsidRPr="000744BA">
        <w:rPr>
          <w:lang w:val="en-GB"/>
        </w:rPr>
        <w:t>met</w:t>
      </w:r>
      <w:r>
        <w:rPr>
          <w:lang w:val="en-GB"/>
        </w:rPr>
        <w:t>h</w:t>
      </w:r>
      <w:r w:rsidR="00CB661A" w:rsidRPr="000744BA">
        <w:rPr>
          <w:lang w:val="en-GB"/>
        </w:rPr>
        <w:t>od</w:t>
      </w:r>
    </w:p>
    <w:p w:rsidR="00D51CBA" w:rsidRDefault="00D51CBA" w:rsidP="00CB661A">
      <w:pPr>
        <w:rPr>
          <w:lang w:val="en-GB"/>
        </w:rPr>
      </w:pPr>
      <w:r>
        <w:rPr>
          <w:lang w:val="en-GB"/>
        </w:rPr>
        <w:t xml:space="preserve">As shown on the figure above, </w:t>
      </w:r>
      <w:r w:rsidR="006F2656">
        <w:rPr>
          <w:lang w:val="en-GB"/>
        </w:rPr>
        <w:t xml:space="preserve">the alpha value increases with </w:t>
      </w:r>
      <w:r w:rsidR="00D01415">
        <w:rPr>
          <w:lang w:val="en-GB"/>
        </w:rPr>
        <w:t xml:space="preserve">the </w:t>
      </w:r>
      <w:r w:rsidR="006F2656">
        <w:rPr>
          <w:lang w:val="en-GB"/>
        </w:rPr>
        <w:t>distances between the points. The greater the distance between the points (</w:t>
      </w:r>
      <w:r w:rsidR="006F2656">
        <w:rPr>
          <w:i/>
          <w:lang w:val="en-GB"/>
        </w:rPr>
        <w:t xml:space="preserve">e.g. </w:t>
      </w:r>
      <w:r w:rsidR="006F2656">
        <w:rPr>
          <w:lang w:val="en-GB"/>
        </w:rPr>
        <w:t>wind turbines), the flatter the triangles</w:t>
      </w:r>
      <w:r w:rsidR="00D01415" w:rsidRPr="00D01415">
        <w:rPr>
          <w:lang w:val="en-GB"/>
        </w:rPr>
        <w:t xml:space="preserve"> </w:t>
      </w:r>
      <w:r w:rsidR="00D01415">
        <w:rPr>
          <w:lang w:val="en-GB"/>
        </w:rPr>
        <w:t>become and the larger the circles</w:t>
      </w:r>
      <w:r w:rsidR="006F2656">
        <w:rPr>
          <w:lang w:val="en-GB"/>
        </w:rPr>
        <w:t>, hence the larger the alpha values.</w:t>
      </w:r>
    </w:p>
    <w:p w:rsidR="000757E4" w:rsidRDefault="0099254D" w:rsidP="00600566">
      <w:pPr>
        <w:spacing w:after="0"/>
        <w:rPr>
          <w:rFonts w:eastAsiaTheme="minorEastAsia"/>
          <w:lang w:val="en-GB"/>
        </w:rPr>
      </w:pPr>
      <w:r>
        <w:rPr>
          <w:lang w:val="en-US"/>
        </w:rPr>
        <w:t xml:space="preserve">The </w:t>
      </w:r>
      <w:r w:rsidR="000757E4">
        <w:rPr>
          <w:lang w:val="en-US"/>
        </w:rPr>
        <w:t xml:space="preserve">chosen </w:t>
      </w:r>
      <w:r w:rsidRPr="00896285">
        <w:rPr>
          <w:lang w:val="en-GB"/>
        </w:rPr>
        <w:t>α</w:t>
      </w:r>
      <w:r>
        <w:rPr>
          <w:lang w:val="en-GB"/>
        </w:rPr>
        <w:t xml:space="preserve"> </w:t>
      </w:r>
      <w:r w:rsidR="000757E4">
        <w:rPr>
          <w:lang w:val="en-GB"/>
        </w:rPr>
        <w:t xml:space="preserve">used </w:t>
      </w:r>
      <w:r>
        <w:rPr>
          <w:lang w:val="en-GB"/>
        </w:rPr>
        <w:t xml:space="preserve">for the calculation of </w:t>
      </w:r>
      <w:r w:rsidR="007C2F61">
        <w:rPr>
          <w:lang w:val="en-GB"/>
        </w:rPr>
        <w:t xml:space="preserve">the </w:t>
      </w:r>
      <w:r w:rsidR="00D01415">
        <w:rPr>
          <w:lang w:val="en-GB"/>
        </w:rPr>
        <w:t>used</w:t>
      </w:r>
      <w:r>
        <w:rPr>
          <w:lang w:val="en-GB"/>
        </w:rPr>
        <w:t xml:space="preserve"> area </w:t>
      </w:r>
      <w:r w:rsidR="007C2F61">
        <w:rPr>
          <w:lang w:val="en-GB"/>
        </w:rPr>
        <w:t xml:space="preserve">for the </w:t>
      </w:r>
      <w:r>
        <w:rPr>
          <w:lang w:val="en-GB"/>
        </w:rPr>
        <w:t xml:space="preserve">Danish offshore wind farms has been determined </w:t>
      </w:r>
      <w:r>
        <w:rPr>
          <w:lang w:val="en-US"/>
        </w:rPr>
        <w:t>o</w:t>
      </w:r>
      <w:r w:rsidRPr="0099254D">
        <w:rPr>
          <w:lang w:val="en-US"/>
        </w:rPr>
        <w:t xml:space="preserve">n the basis of </w:t>
      </w:r>
      <w:r w:rsidRPr="0099254D">
        <w:rPr>
          <w:lang w:val="en-GB"/>
        </w:rPr>
        <w:t xml:space="preserve">empirical </w:t>
      </w:r>
      <w:r w:rsidR="007C2F61">
        <w:rPr>
          <w:lang w:val="en-GB"/>
        </w:rPr>
        <w:t>analysis</w:t>
      </w:r>
      <w:r w:rsidRPr="0099254D">
        <w:rPr>
          <w:lang w:val="en-GB"/>
        </w:rPr>
        <w:t xml:space="preserve"> on existing </w:t>
      </w:r>
      <w:r w:rsidR="007C2F61">
        <w:rPr>
          <w:lang w:val="en-GB"/>
        </w:rPr>
        <w:t xml:space="preserve">and virtual offshore wind farms. </w:t>
      </w:r>
      <w:r w:rsidR="000757E4">
        <w:rPr>
          <w:lang w:val="en-GB"/>
        </w:rPr>
        <w:t xml:space="preserve">The maximal accepted value has been </w:t>
      </w:r>
      <w:r w:rsidRPr="0099254D">
        <w:rPr>
          <w:lang w:val="en-GB"/>
        </w:rPr>
        <w:t xml:space="preserve">fixed to </w:t>
      </w:r>
      <w:r w:rsidR="00D01415">
        <w:t>α</w:t>
      </w:r>
      <w:r w:rsidR="00D01415">
        <w:rPr>
          <w:lang w:val="en-GB"/>
        </w:rPr>
        <w:t xml:space="preserve"> =</w:t>
      </w:r>
      <w:r w:rsidRPr="0099254D">
        <w:rPr>
          <w:lang w:val="en-GB"/>
        </w:rPr>
        <w:t>20 (in km)</w:t>
      </w:r>
      <w:r w:rsidR="000757E4">
        <w:rPr>
          <w:lang w:val="en-GB"/>
        </w:rPr>
        <w:t xml:space="preserve">. Consequently, the areas resulting from  </w:t>
      </w:r>
      <m:oMath>
        <m:r>
          <m:rPr>
            <m:sty m:val="p"/>
          </m:rPr>
          <w:rPr>
            <w:rFonts w:ascii="Cambria Math" w:hAnsi="Cambria Math"/>
            <w:lang w:val="en-GB"/>
          </w:rPr>
          <m:t>α</m:t>
        </m:r>
        <m:r>
          <w:rPr>
            <w:rFonts w:ascii="Cambria Math" w:hAnsi="Cambria Math"/>
            <w:lang w:val="en-GB"/>
          </w:rPr>
          <m:t>&gt;20</m:t>
        </m:r>
      </m:oMath>
      <w:r w:rsidR="000757E4">
        <w:rPr>
          <w:rFonts w:eastAsiaTheme="minorEastAsia"/>
          <w:lang w:val="en-GB"/>
        </w:rPr>
        <w:t xml:space="preserve"> will not be included in the overall area the wind farm covers. </w:t>
      </w:r>
    </w:p>
    <w:p w:rsidR="005C4972" w:rsidRDefault="0099254D" w:rsidP="00600566">
      <w:pPr>
        <w:spacing w:after="0"/>
        <w:rPr>
          <w:lang w:val="en-GB"/>
        </w:rPr>
      </w:pPr>
      <w:r>
        <w:rPr>
          <w:lang w:val="en-GB"/>
        </w:rPr>
        <w:t xml:space="preserve">This </w:t>
      </w:r>
      <w:r w:rsidR="00600566">
        <w:rPr>
          <w:lang w:val="en-GB"/>
        </w:rPr>
        <w:t>method</w:t>
      </w:r>
      <w:r>
        <w:rPr>
          <w:lang w:val="en-GB"/>
        </w:rPr>
        <w:t xml:space="preserve"> requires that dista</w:t>
      </w:r>
      <w:r w:rsidR="007C2F61">
        <w:rPr>
          <w:lang w:val="en-GB"/>
        </w:rPr>
        <w:t>nces between the wind turbines are measured in kilometre</w:t>
      </w:r>
      <w:r w:rsidR="00D01415">
        <w:rPr>
          <w:lang w:val="en-GB"/>
        </w:rPr>
        <w:t>s</w:t>
      </w:r>
      <w:r w:rsidR="007C2F61">
        <w:rPr>
          <w:lang w:val="en-GB"/>
        </w:rPr>
        <w:t xml:space="preserve"> and that </w:t>
      </w:r>
      <w:r w:rsidR="005C4972">
        <w:rPr>
          <w:lang w:val="en-GB"/>
        </w:rPr>
        <w:t xml:space="preserve">each site </w:t>
      </w:r>
      <w:r w:rsidR="007C2F61">
        <w:rPr>
          <w:lang w:val="en-GB"/>
        </w:rPr>
        <w:t>is des</w:t>
      </w:r>
      <w:r w:rsidR="00261346">
        <w:rPr>
          <w:lang w:val="en-GB"/>
        </w:rPr>
        <w:t>igned in</w:t>
      </w:r>
      <w:r w:rsidR="007C2F61">
        <w:rPr>
          <w:lang w:val="en-GB"/>
        </w:rPr>
        <w:t xml:space="preserve"> one single </w:t>
      </w:r>
      <w:r w:rsidR="00600566">
        <w:rPr>
          <w:lang w:val="en-GB"/>
        </w:rPr>
        <w:t>area</w:t>
      </w:r>
      <w:r w:rsidR="00587F24">
        <w:rPr>
          <w:lang w:val="en-GB"/>
        </w:rPr>
        <w:t xml:space="preserve"> only</w:t>
      </w:r>
      <w:r w:rsidR="00600566">
        <w:rPr>
          <w:lang w:val="en-GB"/>
        </w:rPr>
        <w:t>.</w:t>
      </w:r>
      <w:r w:rsidR="00587F24">
        <w:rPr>
          <w:lang w:val="en-GB"/>
        </w:rPr>
        <w:t xml:space="preserve"> </w:t>
      </w:r>
    </w:p>
    <w:p w:rsidR="00E42160" w:rsidRDefault="00587F24" w:rsidP="00600566">
      <w:pPr>
        <w:spacing w:after="0"/>
        <w:rPr>
          <w:lang w:val="en-GB"/>
        </w:rPr>
      </w:pPr>
      <w:r>
        <w:rPr>
          <w:lang w:val="en-GB"/>
        </w:rPr>
        <w:t>In the case</w:t>
      </w:r>
      <w:r w:rsidR="005C4972">
        <w:rPr>
          <w:lang w:val="en-GB"/>
        </w:rPr>
        <w:t xml:space="preserve">s where it is allowed that </w:t>
      </w:r>
      <w:r>
        <w:rPr>
          <w:lang w:val="en-GB"/>
        </w:rPr>
        <w:t xml:space="preserve">a wind farm </w:t>
      </w:r>
      <w:r w:rsidR="005C4972">
        <w:rPr>
          <w:lang w:val="en-GB"/>
        </w:rPr>
        <w:t xml:space="preserve">is </w:t>
      </w:r>
      <w:r>
        <w:rPr>
          <w:lang w:val="en-GB"/>
        </w:rPr>
        <w:t>divided in</w:t>
      </w:r>
      <w:r w:rsidR="005C4972">
        <w:rPr>
          <w:lang w:val="en-GB"/>
        </w:rPr>
        <w:t>to</w:t>
      </w:r>
      <w:r>
        <w:rPr>
          <w:lang w:val="en-GB"/>
        </w:rPr>
        <w:t xml:space="preserve"> several sub</w:t>
      </w:r>
      <w:r w:rsidR="00D01415">
        <w:rPr>
          <w:lang w:val="en-GB"/>
        </w:rPr>
        <w:t>-</w:t>
      </w:r>
      <w:r>
        <w:rPr>
          <w:lang w:val="en-GB"/>
        </w:rPr>
        <w:t xml:space="preserve">sites, the total area of the farm is calculated by adding the respective </w:t>
      </w:r>
      <w:r w:rsidR="005C4972">
        <w:rPr>
          <w:lang w:val="en-GB"/>
        </w:rPr>
        <w:t>sub-sites, which each has been</w:t>
      </w:r>
      <w:r>
        <w:rPr>
          <w:lang w:val="en-GB"/>
        </w:rPr>
        <w:t xml:space="preserve"> calculated according to the method described above.</w:t>
      </w:r>
    </w:p>
    <w:p w:rsidR="0099254D" w:rsidRDefault="00587F24" w:rsidP="00600566">
      <w:pPr>
        <w:spacing w:after="0"/>
        <w:rPr>
          <w:lang w:val="en-GB"/>
        </w:rPr>
      </w:pPr>
      <w:r>
        <w:rPr>
          <w:lang w:val="en-GB"/>
        </w:rPr>
        <w:t xml:space="preserve"> </w:t>
      </w:r>
    </w:p>
    <w:p w:rsidR="00090B84" w:rsidRPr="008137FD" w:rsidRDefault="00600566" w:rsidP="00600566">
      <w:pPr>
        <w:spacing w:after="0"/>
        <w:rPr>
          <w:rFonts w:eastAsiaTheme="minorEastAsia"/>
          <w:lang w:val="en-US"/>
        </w:rPr>
      </w:pPr>
      <w:r>
        <w:rPr>
          <w:lang w:val="en-GB"/>
        </w:rPr>
        <w:t xml:space="preserve">The figure below represents the application of the method for the </w:t>
      </w:r>
      <w:proofErr w:type="spellStart"/>
      <w:r>
        <w:rPr>
          <w:lang w:val="en-GB"/>
        </w:rPr>
        <w:t>Rødsand</w:t>
      </w:r>
      <w:proofErr w:type="spellEnd"/>
      <w:r>
        <w:rPr>
          <w:lang w:val="en-GB"/>
        </w:rPr>
        <w:t xml:space="preserve"> 2 wind farm. The cumulative exploited area is calculated to </w:t>
      </w:r>
      <w:r w:rsidRPr="00600566">
        <w:rPr>
          <w:rFonts w:eastAsiaTheme="minorEastAsia"/>
          <w:lang w:val="en-US"/>
        </w:rPr>
        <w:t>32 km</w:t>
      </w:r>
      <w:r w:rsidRPr="00600566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 xml:space="preserve"> (31.</w:t>
      </w:r>
      <w:r w:rsidRPr="00600566">
        <w:rPr>
          <w:rFonts w:eastAsiaTheme="minorEastAsia"/>
          <w:lang w:val="en-US"/>
        </w:rPr>
        <w:t xml:space="preserve">72) for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  <w:lang w:val="en-US"/>
          </w:rPr>
          <m:t>≤20</m:t>
        </m:r>
      </m:oMath>
      <w:r>
        <w:rPr>
          <w:rFonts w:eastAsiaTheme="minorEastAsia"/>
          <w:lang w:val="en-US"/>
        </w:rPr>
        <w:t xml:space="preserve"> and does not include the dark brown area. </w:t>
      </w:r>
    </w:p>
    <w:p w:rsidR="00090B84" w:rsidRPr="008137FD" w:rsidRDefault="007A155A" w:rsidP="00090B84">
      <w:pPr>
        <w:rPr>
          <w:noProof/>
          <w:lang w:eastAsia="da-DK"/>
        </w:rPr>
      </w:pPr>
      <w:r w:rsidRPr="00896285">
        <w:rPr>
          <w:noProof/>
          <w:color w:val="1F497D"/>
          <w:lang w:eastAsia="da-DK"/>
        </w:rPr>
        <w:lastRenderedPageBreak/>
        <w:drawing>
          <wp:inline distT="0" distB="0" distL="0" distR="0" wp14:anchorId="7F4E91FD" wp14:editId="04438D4D">
            <wp:extent cx="3079865" cy="1800000"/>
            <wp:effectExtent l="0" t="0" r="6350" b="0"/>
            <wp:docPr id="9" name="Billede 9" descr="cid:image001.png@01D1C714.C315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C714.C3152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6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B84" w:rsidRPr="008137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55074C" w:rsidRPr="009235CC" w:rsidRDefault="009235CC" w:rsidP="007A155A">
      <w:pPr>
        <w:pStyle w:val="Billedtekst"/>
        <w:rPr>
          <w:lang w:val="en-GB"/>
        </w:rPr>
      </w:pPr>
      <w:r w:rsidRPr="009235CC">
        <w:rPr>
          <w:lang w:val="en-GB"/>
        </w:rPr>
        <w:t xml:space="preserve">Example </w:t>
      </w:r>
      <w:r>
        <w:rPr>
          <w:lang w:val="en-GB"/>
        </w:rPr>
        <w:t xml:space="preserve">of the application of the method </w:t>
      </w:r>
      <w:r w:rsidR="00090B84" w:rsidRPr="009235CC">
        <w:rPr>
          <w:lang w:val="en-GB"/>
        </w:rPr>
        <w:t xml:space="preserve">for </w:t>
      </w:r>
      <w:r>
        <w:rPr>
          <w:lang w:val="en-GB"/>
        </w:rPr>
        <w:t xml:space="preserve">the </w:t>
      </w:r>
      <w:proofErr w:type="spellStart"/>
      <w:r w:rsidR="00090B84" w:rsidRPr="009235CC">
        <w:rPr>
          <w:lang w:val="en-GB"/>
        </w:rPr>
        <w:t>Rød</w:t>
      </w:r>
      <w:r w:rsidR="00C2082E" w:rsidRPr="009235CC">
        <w:rPr>
          <w:lang w:val="en-GB"/>
        </w:rPr>
        <w:t>s</w:t>
      </w:r>
      <w:r w:rsidR="00090B84" w:rsidRPr="009235CC">
        <w:rPr>
          <w:lang w:val="en-GB"/>
        </w:rPr>
        <w:t>and</w:t>
      </w:r>
      <w:proofErr w:type="spellEnd"/>
      <w:r w:rsidR="00C2082E" w:rsidRPr="009235CC">
        <w:rPr>
          <w:lang w:val="en-GB"/>
        </w:rPr>
        <w:t xml:space="preserve"> 2</w:t>
      </w:r>
      <w:r>
        <w:rPr>
          <w:lang w:val="en-GB"/>
        </w:rPr>
        <w:t xml:space="preserve"> offshore wind farm</w:t>
      </w:r>
    </w:p>
    <w:sectPr w:rsidR="0055074C" w:rsidRPr="009235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6C" w:rsidRDefault="00F35D6C" w:rsidP="00C82599">
      <w:pPr>
        <w:spacing w:after="0" w:line="240" w:lineRule="auto"/>
      </w:pPr>
      <w:r>
        <w:separator/>
      </w:r>
    </w:p>
  </w:endnote>
  <w:endnote w:type="continuationSeparator" w:id="0">
    <w:p w:rsidR="00F35D6C" w:rsidRDefault="00F35D6C" w:rsidP="00C8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99" w:rsidRDefault="00C8259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99" w:rsidRDefault="00C8259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99" w:rsidRDefault="00C8259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6C" w:rsidRDefault="00F35D6C" w:rsidP="00C82599">
      <w:pPr>
        <w:spacing w:after="0" w:line="240" w:lineRule="auto"/>
      </w:pPr>
      <w:r>
        <w:separator/>
      </w:r>
    </w:p>
  </w:footnote>
  <w:footnote w:type="continuationSeparator" w:id="0">
    <w:p w:rsidR="00F35D6C" w:rsidRDefault="00F35D6C" w:rsidP="00C8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99" w:rsidRDefault="00C8259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99" w:rsidRDefault="00C8259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99" w:rsidRDefault="00C8259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39"/>
    <w:rsid w:val="00023422"/>
    <w:rsid w:val="000744BA"/>
    <w:rsid w:val="000757E4"/>
    <w:rsid w:val="0008339F"/>
    <w:rsid w:val="00090B84"/>
    <w:rsid w:val="000F5BC0"/>
    <w:rsid w:val="00122A0B"/>
    <w:rsid w:val="001862FE"/>
    <w:rsid w:val="001F44CF"/>
    <w:rsid w:val="00261346"/>
    <w:rsid w:val="002B0B03"/>
    <w:rsid w:val="003217B5"/>
    <w:rsid w:val="00356CD2"/>
    <w:rsid w:val="00387F29"/>
    <w:rsid w:val="00457E18"/>
    <w:rsid w:val="00496780"/>
    <w:rsid w:val="004E7739"/>
    <w:rsid w:val="0055074C"/>
    <w:rsid w:val="00555CB6"/>
    <w:rsid w:val="00587F24"/>
    <w:rsid w:val="005C4972"/>
    <w:rsid w:val="00600566"/>
    <w:rsid w:val="006756A1"/>
    <w:rsid w:val="00680D26"/>
    <w:rsid w:val="006F2656"/>
    <w:rsid w:val="007601E8"/>
    <w:rsid w:val="007706C5"/>
    <w:rsid w:val="007A155A"/>
    <w:rsid w:val="007C2F61"/>
    <w:rsid w:val="007E3766"/>
    <w:rsid w:val="007E577F"/>
    <w:rsid w:val="008137FD"/>
    <w:rsid w:val="00827E57"/>
    <w:rsid w:val="00896285"/>
    <w:rsid w:val="008A3574"/>
    <w:rsid w:val="009235CC"/>
    <w:rsid w:val="0099254D"/>
    <w:rsid w:val="009A4279"/>
    <w:rsid w:val="009E0FBF"/>
    <w:rsid w:val="00A746E7"/>
    <w:rsid w:val="00B05B41"/>
    <w:rsid w:val="00BF1464"/>
    <w:rsid w:val="00C2082E"/>
    <w:rsid w:val="00C66BBD"/>
    <w:rsid w:val="00C82599"/>
    <w:rsid w:val="00CB661A"/>
    <w:rsid w:val="00D01415"/>
    <w:rsid w:val="00D35705"/>
    <w:rsid w:val="00D457D6"/>
    <w:rsid w:val="00D4718F"/>
    <w:rsid w:val="00D51CBA"/>
    <w:rsid w:val="00D571A0"/>
    <w:rsid w:val="00D67164"/>
    <w:rsid w:val="00DA07C8"/>
    <w:rsid w:val="00DB71D4"/>
    <w:rsid w:val="00DC23CD"/>
    <w:rsid w:val="00DE4D74"/>
    <w:rsid w:val="00E42160"/>
    <w:rsid w:val="00E705A3"/>
    <w:rsid w:val="00E83D0D"/>
    <w:rsid w:val="00EE0D14"/>
    <w:rsid w:val="00F3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61A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CB661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EE0D14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C82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2599"/>
  </w:style>
  <w:style w:type="paragraph" w:styleId="Sidefod">
    <w:name w:val="footer"/>
    <w:basedOn w:val="Normal"/>
    <w:link w:val="SidefodTegn"/>
    <w:uiPriority w:val="99"/>
    <w:unhideWhenUsed/>
    <w:rsid w:val="00C82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2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61A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CB661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EE0D14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C82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2599"/>
  </w:style>
  <w:style w:type="paragraph" w:styleId="Sidefod">
    <w:name w:val="footer"/>
    <w:basedOn w:val="Normal"/>
    <w:link w:val="SidefodTegn"/>
    <w:uiPriority w:val="99"/>
    <w:unhideWhenUsed/>
    <w:rsid w:val="00C82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cid:image001.png@01D1C714.C31520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B8DA-8848-4575-8541-4DF583A8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Bizet</dc:creator>
  <cp:lastModifiedBy>Lisbeth Kjersgaard</cp:lastModifiedBy>
  <cp:revision>2</cp:revision>
  <dcterms:created xsi:type="dcterms:W3CDTF">2016-07-08T12:16:00Z</dcterms:created>
  <dcterms:modified xsi:type="dcterms:W3CDTF">2016-07-08T12:16:00Z</dcterms:modified>
</cp:coreProperties>
</file>