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233498" w:rsidP="00491C76">
      <w:pPr>
        <w:pStyle w:val="Pagedecouverture"/>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83AC3EEE3404878BA1428B448096180" style="width:450.75pt;height:396pt">
            <v:imagedata r:id="rId9" o:title=""/>
          </v:shape>
        </w:pict>
      </w:r>
    </w:p>
    <w:p w:rsidR="002122F2" w:rsidRPr="00A01AA1" w:rsidRDefault="002122F2" w:rsidP="00A01AA1">
      <w:pPr>
        <w:sectPr w:rsidR="002122F2" w:rsidRPr="00A01AA1" w:rsidSect="00491C76">
          <w:footerReference w:type="default" r:id="rId10"/>
          <w:pgSz w:w="11907" w:h="16839"/>
          <w:pgMar w:top="1134" w:right="1417" w:bottom="1134" w:left="1417" w:header="709" w:footer="709" w:gutter="0"/>
          <w:pgNumType w:start="1"/>
          <w:cols w:space="720"/>
          <w:docGrid w:linePitch="360"/>
        </w:sectPr>
      </w:pPr>
    </w:p>
    <w:p w:rsidR="002122F2" w:rsidRPr="00A01AA1" w:rsidRDefault="00491C76" w:rsidP="00491C76">
      <w:pPr>
        <w:pStyle w:val="Typedudocument"/>
      </w:pPr>
      <w:proofErr w:type="gramStart"/>
      <w:r w:rsidRPr="00491C76">
        <w:lastRenderedPageBreak/>
        <w:t>COMMISSION REGULATION (EU) …/…</w:t>
      </w:r>
      <w:proofErr w:type="gramEnd"/>
    </w:p>
    <w:p w:rsidR="002122F2" w:rsidRPr="00A01AA1" w:rsidRDefault="00491C76" w:rsidP="00491C76">
      <w:pPr>
        <w:pStyle w:val="Datedadoption"/>
      </w:pPr>
      <w:proofErr w:type="gramStart"/>
      <w:r w:rsidRPr="00491C76">
        <w:t>of</w:t>
      </w:r>
      <w:proofErr w:type="gramEnd"/>
      <w:r w:rsidRPr="00491C76">
        <w:t xml:space="preserve"> </w:t>
      </w:r>
      <w:r w:rsidRPr="00491C76">
        <w:rPr>
          <w:rStyle w:val="Marker2"/>
        </w:rPr>
        <w:t>XXX</w:t>
      </w:r>
    </w:p>
    <w:p w:rsidR="002122F2" w:rsidRPr="00A01AA1" w:rsidRDefault="00491C76" w:rsidP="00491C76">
      <w:pPr>
        <w:pStyle w:val="Titreobjet"/>
      </w:pPr>
      <w:proofErr w:type="gramStart"/>
      <w:r w:rsidRPr="00491C76">
        <w:t>implementing</w:t>
      </w:r>
      <w:proofErr w:type="gramEnd"/>
      <w:r w:rsidRPr="00491C76">
        <w:t xml:space="preserve"> Directive 2009/125/EC of the European Parliament and of the Council with regard to </w:t>
      </w:r>
      <w:proofErr w:type="spellStart"/>
      <w:r w:rsidRPr="00491C76">
        <w:t>ecodesign</w:t>
      </w:r>
      <w:proofErr w:type="spellEnd"/>
      <w:r w:rsidRPr="00491C76">
        <w:t xml:space="preserve"> requirements for lighting products</w:t>
      </w:r>
    </w:p>
    <w:p w:rsidR="002122F2" w:rsidRPr="002122F2" w:rsidRDefault="00491C76" w:rsidP="00491C76">
      <w:pPr>
        <w:pStyle w:val="IntrtEEE"/>
      </w:pPr>
      <w:r w:rsidRPr="00491C76">
        <w:t>(Text with EEA relevance)</w:t>
      </w:r>
    </w:p>
    <w:p w:rsidR="002122F2" w:rsidRPr="00A01AA1" w:rsidRDefault="002122F2" w:rsidP="001C3314">
      <w:pPr>
        <w:pStyle w:val="Institutionquiagit"/>
      </w:pPr>
      <w:r w:rsidRPr="00A01AA1">
        <w:t>THE EUROPEAN COMMISSION,</w:t>
      </w:r>
    </w:p>
    <w:p w:rsidR="002122F2" w:rsidRDefault="002122F2" w:rsidP="002122F2">
      <w:r>
        <w:t>Having regard to the Treaty on the Functioning of the European Union,</w:t>
      </w:r>
    </w:p>
    <w:p w:rsidR="002122F2" w:rsidRDefault="002122F2" w:rsidP="002122F2">
      <w:r>
        <w:t xml:space="preserve">Having regard to Directive 2009/125/EC of the European Parliament and of the Council of 21 October 2009 establishing a framework for the setting of </w:t>
      </w:r>
      <w:proofErr w:type="spellStart"/>
      <w:r>
        <w:t>ecodesign</w:t>
      </w:r>
      <w:proofErr w:type="spellEnd"/>
      <w:r>
        <w:t xml:space="preserve"> requirements for energy-related products </w:t>
      </w:r>
      <w:r w:rsidRPr="00E4325D">
        <w:t>(</w:t>
      </w:r>
      <w:r w:rsidRPr="00E4325D">
        <w:rPr>
          <w:rStyle w:val="FootnoteReference"/>
        </w:rPr>
        <w:footnoteReference w:id="1"/>
      </w:r>
      <w:r w:rsidRPr="00E4325D">
        <w:t>)</w:t>
      </w:r>
      <w:r>
        <w:t>, and in particular Article 15(1) thereof,</w:t>
      </w:r>
    </w:p>
    <w:p w:rsidR="002122F2" w:rsidRDefault="002122F2" w:rsidP="002122F2">
      <w:r>
        <w:t xml:space="preserve">After consulting the </w:t>
      </w:r>
      <w:proofErr w:type="spellStart"/>
      <w:r>
        <w:t>Ecodesign</w:t>
      </w:r>
      <w:proofErr w:type="spellEnd"/>
      <w:r>
        <w:t xml:space="preserve"> Consultation Forum,</w:t>
      </w:r>
    </w:p>
    <w:p w:rsidR="002122F2" w:rsidRPr="00A01AA1" w:rsidRDefault="002122F2" w:rsidP="002122F2">
      <w:r w:rsidRPr="00A01AA1">
        <w:t>Whereas:</w:t>
      </w:r>
    </w:p>
    <w:p w:rsidR="00B60749" w:rsidRDefault="00B00A73" w:rsidP="00B00A73">
      <w:pPr>
        <w:pStyle w:val="Considrant"/>
        <w:numPr>
          <w:ilvl w:val="0"/>
          <w:numId w:val="11"/>
        </w:numPr>
        <w:rPr>
          <w:rStyle w:val="Marker"/>
          <w:color w:val="000000" w:themeColor="text1"/>
        </w:rPr>
      </w:pPr>
      <w:r w:rsidRPr="00B00A73">
        <w:rPr>
          <w:rStyle w:val="Marker"/>
          <w:color w:val="000000" w:themeColor="text1"/>
        </w:rPr>
        <w:t xml:space="preserve">Directive 2009/125/EC requires the Commission to set </w:t>
      </w:r>
      <w:proofErr w:type="spellStart"/>
      <w:r w:rsidRPr="00B00A73">
        <w:rPr>
          <w:rStyle w:val="Marker"/>
          <w:color w:val="000000" w:themeColor="text1"/>
        </w:rPr>
        <w:t>ecodesign</w:t>
      </w:r>
      <w:proofErr w:type="spellEnd"/>
      <w:r w:rsidRPr="00B00A73">
        <w:rPr>
          <w:rStyle w:val="Marker"/>
          <w:color w:val="000000" w:themeColor="text1"/>
        </w:rPr>
        <w:t xml:space="preserve"> requirements for energy-related products representing significant volumes of sales and trade, having a significant environmental impact and presenting significant potential for improvement through design in terms of their environmental impact, without entailing excessive costs.</w:t>
      </w:r>
    </w:p>
    <w:p w:rsidR="00B00A73" w:rsidRDefault="00B00A73" w:rsidP="00B00A73">
      <w:pPr>
        <w:pStyle w:val="Considrant"/>
        <w:numPr>
          <w:ilvl w:val="0"/>
          <w:numId w:val="11"/>
        </w:numPr>
        <w:rPr>
          <w:color w:val="000000" w:themeColor="text1"/>
        </w:rPr>
      </w:pPr>
      <w:r w:rsidRPr="00B00A73">
        <w:rPr>
          <w:color w:val="000000" w:themeColor="text1"/>
        </w:rPr>
        <w:t>Article 16(2</w:t>
      </w:r>
      <w:proofErr w:type="gramStart"/>
      <w:r w:rsidRPr="00B00A73">
        <w:rPr>
          <w:color w:val="000000" w:themeColor="text1"/>
        </w:rPr>
        <w:t>)(</w:t>
      </w:r>
      <w:proofErr w:type="gramEnd"/>
      <w:r w:rsidRPr="00B00A73">
        <w:rPr>
          <w:color w:val="000000" w:themeColor="text1"/>
        </w:rPr>
        <w:t xml:space="preserve">a) of Directive 2009/125/EC provides that in accordance with the procedure referred to in Article 19(3) and the criteria set out in Article 15(2), and after consulting the </w:t>
      </w:r>
      <w:proofErr w:type="spellStart"/>
      <w:r w:rsidRPr="00B00A73">
        <w:rPr>
          <w:color w:val="000000" w:themeColor="text1"/>
        </w:rPr>
        <w:t>Ecodesign</w:t>
      </w:r>
      <w:proofErr w:type="spellEnd"/>
      <w:r w:rsidRPr="00B00A73">
        <w:rPr>
          <w:color w:val="000000" w:themeColor="text1"/>
        </w:rPr>
        <w:t xml:space="preserve"> Consultation Forum, the Commission has to, as appropriate, introduce implementing measures that offer a high potential for cost-effective reduction of greenhouse gas emissions, such as lighting products </w:t>
      </w:r>
      <w:r>
        <w:rPr>
          <w:color w:val="000000" w:themeColor="text1"/>
        </w:rPr>
        <w:t>and components</w:t>
      </w:r>
      <w:r w:rsidRPr="00B00A73">
        <w:rPr>
          <w:color w:val="000000" w:themeColor="text1"/>
        </w:rPr>
        <w:t>.</w:t>
      </w:r>
    </w:p>
    <w:p w:rsidR="00B00A73" w:rsidRDefault="008C4A03" w:rsidP="008C4A03">
      <w:pPr>
        <w:pStyle w:val="Considrant"/>
        <w:numPr>
          <w:ilvl w:val="0"/>
          <w:numId w:val="11"/>
        </w:numPr>
        <w:rPr>
          <w:color w:val="000000" w:themeColor="text1"/>
        </w:rPr>
      </w:pPr>
      <w:r w:rsidRPr="008C4A03">
        <w:rPr>
          <w:color w:val="000000" w:themeColor="text1"/>
        </w:rPr>
        <w:t>The Commission</w:t>
      </w:r>
      <w:r>
        <w:rPr>
          <w:color w:val="000000" w:themeColor="text1"/>
        </w:rPr>
        <w:t xml:space="preserve"> has</w:t>
      </w:r>
      <w:r w:rsidRPr="008C4A03">
        <w:rPr>
          <w:color w:val="000000" w:themeColor="text1"/>
        </w:rPr>
        <w:t xml:space="preserve"> carried out a preparatory study to analyse the technical, environmental and economic aspects of </w:t>
      </w:r>
      <w:r>
        <w:rPr>
          <w:color w:val="000000" w:themeColor="text1"/>
        </w:rPr>
        <w:t>lighting products and components</w:t>
      </w:r>
      <w:r w:rsidRPr="008C4A03">
        <w:rPr>
          <w:color w:val="000000" w:themeColor="text1"/>
        </w:rPr>
        <w:t>. The study has been developed together with stakeholders and interested parties from the Union and third countries, and the results hav</w:t>
      </w:r>
      <w:r>
        <w:rPr>
          <w:color w:val="000000" w:themeColor="text1"/>
        </w:rPr>
        <w:t>e been made publicly available.</w:t>
      </w:r>
    </w:p>
    <w:p w:rsidR="00710439" w:rsidRPr="0011527A" w:rsidRDefault="008C4A03" w:rsidP="0011527A">
      <w:pPr>
        <w:pStyle w:val="Considrant"/>
        <w:numPr>
          <w:ilvl w:val="0"/>
          <w:numId w:val="11"/>
        </w:numPr>
        <w:rPr>
          <w:color w:val="000000" w:themeColor="text1"/>
        </w:rPr>
      </w:pPr>
      <w:r w:rsidRPr="008C4A03">
        <w:rPr>
          <w:color w:val="000000" w:themeColor="text1"/>
        </w:rPr>
        <w:t xml:space="preserve">This preparatory study builds upon </w:t>
      </w:r>
      <w:r w:rsidR="00710439">
        <w:rPr>
          <w:color w:val="000000" w:themeColor="text1"/>
        </w:rPr>
        <w:t xml:space="preserve">and reviews </w:t>
      </w:r>
      <w:r w:rsidR="002E1F59">
        <w:rPr>
          <w:color w:val="000000" w:themeColor="text1"/>
        </w:rPr>
        <w:t xml:space="preserve">the regulatory requirements introduced through </w:t>
      </w:r>
      <w:r w:rsidRPr="008C4A03">
        <w:rPr>
          <w:color w:val="000000" w:themeColor="text1"/>
        </w:rPr>
        <w:t>Commission Regulation (EC) No 244/2009</w:t>
      </w:r>
      <w:r>
        <w:rPr>
          <w:color w:val="000000" w:themeColor="text1"/>
        </w:rPr>
        <w:t xml:space="preserve"> </w:t>
      </w:r>
      <w:r w:rsidRPr="00E4325D">
        <w:t>(</w:t>
      </w:r>
      <w:r w:rsidRPr="00E4325D">
        <w:rPr>
          <w:rStyle w:val="FootnoteReference"/>
        </w:rPr>
        <w:footnoteReference w:id="2"/>
      </w:r>
      <w:r w:rsidRPr="00E4325D">
        <w:t>)</w:t>
      </w:r>
      <w:r w:rsidRPr="008C4A03">
        <w:rPr>
          <w:color w:val="000000" w:themeColor="text1"/>
        </w:rPr>
        <w:t>, Commiss</w:t>
      </w:r>
      <w:r>
        <w:rPr>
          <w:color w:val="000000" w:themeColor="text1"/>
        </w:rPr>
        <w:t xml:space="preserve">ion Regulation (EC) No 245/2009 </w:t>
      </w:r>
      <w:r w:rsidRPr="00E4325D">
        <w:t>(</w:t>
      </w:r>
      <w:r w:rsidRPr="00E4325D">
        <w:rPr>
          <w:rStyle w:val="FootnoteReference"/>
        </w:rPr>
        <w:footnoteReference w:id="3"/>
      </w:r>
      <w:r w:rsidRPr="00E4325D">
        <w:t>)</w:t>
      </w:r>
      <w:r>
        <w:rPr>
          <w:color w:val="000000" w:themeColor="text1"/>
        </w:rPr>
        <w:t xml:space="preserve"> and </w:t>
      </w:r>
      <w:r w:rsidRPr="008C4A03">
        <w:rPr>
          <w:color w:val="000000" w:themeColor="text1"/>
        </w:rPr>
        <w:t>Commissi</w:t>
      </w:r>
      <w:r>
        <w:rPr>
          <w:color w:val="000000" w:themeColor="text1"/>
        </w:rPr>
        <w:t xml:space="preserve">on Regulation (EU) No 1194/2012 </w:t>
      </w:r>
      <w:r w:rsidRPr="00E4325D">
        <w:t>(</w:t>
      </w:r>
      <w:r w:rsidRPr="00E4325D">
        <w:rPr>
          <w:rStyle w:val="FootnoteReference"/>
        </w:rPr>
        <w:footnoteReference w:id="4"/>
      </w:r>
      <w:r w:rsidRPr="00E4325D">
        <w:t>)</w:t>
      </w:r>
      <w:r w:rsidR="00710439">
        <w:t xml:space="preserve">. The results of this study show the benefit of continued </w:t>
      </w:r>
      <w:r w:rsidR="00F6491A">
        <w:t xml:space="preserve">and improved </w:t>
      </w:r>
      <w:r w:rsidR="00710439">
        <w:t>requirements, adapted in stringency to the technological progress of lighting products and components.</w:t>
      </w:r>
    </w:p>
    <w:p w:rsidR="00710439" w:rsidRDefault="00710439" w:rsidP="00710439">
      <w:pPr>
        <w:pStyle w:val="Considrant"/>
        <w:numPr>
          <w:ilvl w:val="0"/>
          <w:numId w:val="11"/>
        </w:numPr>
        <w:rPr>
          <w:color w:val="000000" w:themeColor="text1"/>
        </w:rPr>
      </w:pPr>
      <w:r w:rsidRPr="00710439">
        <w:rPr>
          <w:color w:val="000000" w:themeColor="text1"/>
        </w:rPr>
        <w:t>T</w:t>
      </w:r>
      <w:r>
        <w:rPr>
          <w:color w:val="000000" w:themeColor="text1"/>
        </w:rPr>
        <w:t>he environmental aspects of the lighting products and components</w:t>
      </w:r>
      <w:r w:rsidRPr="00710439">
        <w:rPr>
          <w:color w:val="000000" w:themeColor="text1"/>
        </w:rPr>
        <w:t xml:space="preserve"> covered that have been identified as significant for the purposes of this Regulation are energy consumption in the use phase along with mercury content and mercury emissions.</w:t>
      </w:r>
    </w:p>
    <w:p w:rsidR="00710439" w:rsidRDefault="00710439" w:rsidP="00710439">
      <w:pPr>
        <w:pStyle w:val="Considrant"/>
        <w:numPr>
          <w:ilvl w:val="0"/>
          <w:numId w:val="11"/>
        </w:numPr>
        <w:rPr>
          <w:color w:val="000000" w:themeColor="text1"/>
        </w:rPr>
      </w:pPr>
      <w:r w:rsidRPr="00710439">
        <w:rPr>
          <w:color w:val="000000" w:themeColor="text1"/>
        </w:rPr>
        <w:lastRenderedPageBreak/>
        <w:t>Setting energy efficiency requirements for lamps should lead to a decrease in the overall mercury emissions</w:t>
      </w:r>
      <w:r w:rsidR="00761A95">
        <w:rPr>
          <w:color w:val="000000" w:themeColor="text1"/>
        </w:rPr>
        <w:t xml:space="preserve">, especially considering the switch to solid-state lighting technology, hence no specific </w:t>
      </w:r>
      <w:proofErr w:type="spellStart"/>
      <w:r w:rsidR="00761A95">
        <w:rPr>
          <w:color w:val="000000" w:themeColor="text1"/>
        </w:rPr>
        <w:t>ecodesign</w:t>
      </w:r>
      <w:proofErr w:type="spellEnd"/>
      <w:r w:rsidR="00761A95">
        <w:rPr>
          <w:color w:val="000000" w:themeColor="text1"/>
        </w:rPr>
        <w:t xml:space="preserve"> requirements on mercury content are deemed appropriate</w:t>
      </w:r>
      <w:r w:rsidRPr="00710439">
        <w:rPr>
          <w:color w:val="000000" w:themeColor="text1"/>
        </w:rPr>
        <w:t>.</w:t>
      </w:r>
    </w:p>
    <w:p w:rsidR="00710439" w:rsidRDefault="00710439" w:rsidP="00710439">
      <w:pPr>
        <w:pStyle w:val="Considrant"/>
        <w:numPr>
          <w:ilvl w:val="0"/>
          <w:numId w:val="11"/>
        </w:numPr>
        <w:rPr>
          <w:color w:val="000000" w:themeColor="text1"/>
        </w:rPr>
      </w:pPr>
      <w:r w:rsidRPr="00710439">
        <w:rPr>
          <w:color w:val="000000" w:themeColor="text1"/>
        </w:rPr>
        <w:t>The electricity consumption of products subject to this Regulation should be imp</w:t>
      </w:r>
      <w:r w:rsidR="00761A95">
        <w:rPr>
          <w:color w:val="000000" w:themeColor="text1"/>
        </w:rPr>
        <w:t>roved by applying existing non-</w:t>
      </w:r>
      <w:r w:rsidRPr="00710439">
        <w:rPr>
          <w:color w:val="000000" w:themeColor="text1"/>
        </w:rPr>
        <w:t>proprietary cost-effective technologies, which lead to a reduction of the combined expenses for purchasing and operating the equipment.</w:t>
      </w:r>
    </w:p>
    <w:p w:rsidR="00761A95" w:rsidRPr="00491C76" w:rsidRDefault="00761A95" w:rsidP="00491C76">
      <w:pPr>
        <w:pStyle w:val="Considrant"/>
        <w:numPr>
          <w:ilvl w:val="0"/>
          <w:numId w:val="11"/>
        </w:numPr>
        <w:rPr>
          <w:color w:val="000000" w:themeColor="text1"/>
        </w:rPr>
      </w:pPr>
      <w:r w:rsidRPr="00491C76">
        <w:rPr>
          <w:color w:val="000000" w:themeColor="text1"/>
        </w:rPr>
        <w:t>The exclusion of certain</w:t>
      </w:r>
      <w:r w:rsidRPr="00761A95">
        <w:t xml:space="preserve"> </w:t>
      </w:r>
      <w:r w:rsidRPr="00491C76">
        <w:rPr>
          <w:color w:val="000000" w:themeColor="text1"/>
        </w:rPr>
        <w:t>lighting products and lighting product components specified to operate exclusively in well-defined applications is necessary to minimise unintended negative consequences, e.g. to health and safety, and protect cultural heritages, such as pieces of art. In this context, pieces of art are exceptional objects of great cultural value, which are only produced in limited numbers and not aimed at the mass market.</w:t>
      </w:r>
    </w:p>
    <w:p w:rsidR="00710439" w:rsidRDefault="00710439" w:rsidP="00710439">
      <w:pPr>
        <w:pStyle w:val="Considrant"/>
        <w:numPr>
          <w:ilvl w:val="0"/>
          <w:numId w:val="11"/>
        </w:numPr>
        <w:rPr>
          <w:color w:val="000000" w:themeColor="text1"/>
        </w:rPr>
      </w:pPr>
      <w:proofErr w:type="spellStart"/>
      <w:r w:rsidRPr="00710439">
        <w:rPr>
          <w:color w:val="000000" w:themeColor="text1"/>
        </w:rPr>
        <w:t>Ecodesign</w:t>
      </w:r>
      <w:proofErr w:type="spellEnd"/>
      <w:r w:rsidRPr="00710439">
        <w:rPr>
          <w:color w:val="000000" w:themeColor="text1"/>
        </w:rPr>
        <w:t xml:space="preserve"> requirements for products subject to this Regulation should be set with a view to improving the environmental performance of the products concerned and contributing to the functioning of the internal market and to the Union objective of reducing energy consumption by </w:t>
      </w:r>
      <w:r>
        <w:rPr>
          <w:color w:val="000000" w:themeColor="text1"/>
        </w:rPr>
        <w:t xml:space="preserve">at least </w:t>
      </w:r>
      <w:r w:rsidRPr="00710439">
        <w:rPr>
          <w:color w:val="000000" w:themeColor="text1"/>
        </w:rPr>
        <w:t>2</w:t>
      </w:r>
      <w:r>
        <w:rPr>
          <w:color w:val="000000" w:themeColor="text1"/>
        </w:rPr>
        <w:t>7</w:t>
      </w:r>
      <w:r w:rsidRPr="00710439">
        <w:rPr>
          <w:color w:val="000000" w:themeColor="text1"/>
        </w:rPr>
        <w:t>% in 20</w:t>
      </w:r>
      <w:r>
        <w:rPr>
          <w:color w:val="000000" w:themeColor="text1"/>
        </w:rPr>
        <w:t>30</w:t>
      </w:r>
      <w:r w:rsidRPr="00710439">
        <w:rPr>
          <w:color w:val="000000" w:themeColor="text1"/>
        </w:rPr>
        <w:t xml:space="preserve"> compared with the assumed energy consumption in that year if no measures were taken.</w:t>
      </w:r>
    </w:p>
    <w:p w:rsidR="00D2558A" w:rsidRDefault="00D2558A" w:rsidP="00D2558A">
      <w:pPr>
        <w:pStyle w:val="Considrant"/>
        <w:numPr>
          <w:ilvl w:val="0"/>
          <w:numId w:val="11"/>
        </w:numPr>
        <w:rPr>
          <w:color w:val="000000" w:themeColor="text1"/>
        </w:rPr>
      </w:pPr>
      <w:r w:rsidRPr="00D2558A">
        <w:rPr>
          <w:color w:val="000000" w:themeColor="text1"/>
        </w:rPr>
        <w:t xml:space="preserve">Phasing the </w:t>
      </w:r>
      <w:proofErr w:type="spellStart"/>
      <w:r w:rsidRPr="00D2558A">
        <w:rPr>
          <w:color w:val="000000" w:themeColor="text1"/>
        </w:rPr>
        <w:t>ecodesign</w:t>
      </w:r>
      <w:proofErr w:type="spellEnd"/>
      <w:r w:rsidRPr="00D2558A">
        <w:rPr>
          <w:color w:val="000000" w:themeColor="text1"/>
        </w:rPr>
        <w:t xml:space="preserve"> requirements should provide a sufficient timeframe for manufacturers to re-design products subject to this Regulation. The timing of the stages should be such that any negative impact on functionalities of equipment on the market are avoided and that the cost impact for end-users and manufacturers, in particular small and medium-sized enterprises, is taken into account, while ensuring timely achievement of the objectives of this Regulation.</w:t>
      </w:r>
    </w:p>
    <w:p w:rsidR="00D2558A" w:rsidRDefault="00D2558A" w:rsidP="00D2558A">
      <w:pPr>
        <w:pStyle w:val="Considrant"/>
        <w:numPr>
          <w:ilvl w:val="0"/>
          <w:numId w:val="11"/>
        </w:numPr>
        <w:rPr>
          <w:color w:val="000000" w:themeColor="text1"/>
        </w:rPr>
      </w:pPr>
      <w:r w:rsidRPr="00D2558A">
        <w:rPr>
          <w:color w:val="000000" w:themeColor="text1"/>
        </w:rPr>
        <w:t xml:space="preserve">The </w:t>
      </w:r>
      <w:proofErr w:type="spellStart"/>
      <w:r w:rsidRPr="00D2558A">
        <w:rPr>
          <w:color w:val="000000" w:themeColor="text1"/>
        </w:rPr>
        <w:t>ecodesign</w:t>
      </w:r>
      <w:proofErr w:type="spellEnd"/>
      <w:r w:rsidRPr="00D2558A">
        <w:rPr>
          <w:color w:val="000000" w:themeColor="text1"/>
        </w:rPr>
        <w:t xml:space="preserve"> requirements should not affect functionality from the user’s perspective and should not negatively affect health, safety or the environment. In particular, the benefits of reducing the electricity consumption during the use phase should outweigh any potential additional environmental impact during the production phase of products subject to this Regulation. In order to ensure consumer satisfaction with </w:t>
      </w:r>
      <w:r w:rsidR="002622B4">
        <w:rPr>
          <w:color w:val="000000" w:themeColor="text1"/>
        </w:rPr>
        <w:t>more energy efficient lighting products and components</w:t>
      </w:r>
      <w:r w:rsidRPr="00D2558A">
        <w:rPr>
          <w:color w:val="000000" w:themeColor="text1"/>
        </w:rPr>
        <w:t>, functionality requirements should be set. Product information requirements should allow consumers to make informed choices.</w:t>
      </w:r>
    </w:p>
    <w:p w:rsidR="002622B4" w:rsidRDefault="002622B4" w:rsidP="002622B4">
      <w:pPr>
        <w:pStyle w:val="Considrant"/>
        <w:numPr>
          <w:ilvl w:val="0"/>
          <w:numId w:val="11"/>
        </w:numPr>
        <w:rPr>
          <w:color w:val="000000" w:themeColor="text1"/>
        </w:rPr>
      </w:pPr>
      <w:r w:rsidRPr="002622B4">
        <w:rPr>
          <w:color w:val="000000" w:themeColor="text1"/>
        </w:rPr>
        <w:t xml:space="preserve">Measurements of the relevant product parameters should be performed through reliable, accurate and reproducible measurement methods, which take into account the recognised state-of-the-art measurement methods including, where available, harmonised standards adopted by the European standardisation bodies, as listed in Annex I to Directive 98/34/EC of the European Parliament and of the Council </w:t>
      </w:r>
      <w:r>
        <w:rPr>
          <w:color w:val="000000" w:themeColor="text1"/>
        </w:rPr>
        <w:t>(</w:t>
      </w:r>
      <w:r>
        <w:rPr>
          <w:rStyle w:val="FootnoteReference"/>
          <w:color w:val="000000" w:themeColor="text1"/>
        </w:rPr>
        <w:footnoteReference w:id="5"/>
      </w:r>
      <w:r>
        <w:rPr>
          <w:color w:val="000000" w:themeColor="text1"/>
        </w:rPr>
        <w:t>).</w:t>
      </w:r>
    </w:p>
    <w:p w:rsidR="00DC0E0E" w:rsidRDefault="00DC0E0E" w:rsidP="00DC0E0E">
      <w:pPr>
        <w:pStyle w:val="Considrant"/>
        <w:numPr>
          <w:ilvl w:val="0"/>
          <w:numId w:val="11"/>
        </w:numPr>
        <w:rPr>
          <w:color w:val="000000" w:themeColor="text1"/>
        </w:rPr>
      </w:pPr>
      <w:r w:rsidRPr="00DC0E0E">
        <w:rPr>
          <w:color w:val="000000" w:themeColor="text1"/>
        </w:rPr>
        <w:t>In accordance with Article 8 of Directive 2009/125/EC, this Regulation should specify the conformity assessment procedures applicable.</w:t>
      </w:r>
    </w:p>
    <w:p w:rsidR="00DC0E0E" w:rsidRDefault="00DC0E0E" w:rsidP="00DC0E0E">
      <w:pPr>
        <w:pStyle w:val="Considrant"/>
        <w:numPr>
          <w:ilvl w:val="0"/>
          <w:numId w:val="11"/>
        </w:numPr>
        <w:rPr>
          <w:color w:val="000000" w:themeColor="text1"/>
        </w:rPr>
      </w:pPr>
      <w:r w:rsidRPr="00DC0E0E">
        <w:rPr>
          <w:color w:val="000000" w:themeColor="text1"/>
        </w:rPr>
        <w:t>In order to facilitate compliance checks, manufacturers should provide information in the technical documentation referred to in Annexes V and VI to Directive 2009/125/EC in so far as that information relates to the requirements laid down in this Regulation.</w:t>
      </w:r>
    </w:p>
    <w:p w:rsidR="00DC0E0E" w:rsidRDefault="00DC0E0E" w:rsidP="00DC0E0E">
      <w:pPr>
        <w:pStyle w:val="Considrant"/>
        <w:numPr>
          <w:ilvl w:val="0"/>
          <w:numId w:val="11"/>
        </w:numPr>
        <w:rPr>
          <w:color w:val="000000" w:themeColor="text1"/>
        </w:rPr>
      </w:pPr>
      <w:r w:rsidRPr="00DC0E0E">
        <w:rPr>
          <w:color w:val="000000" w:themeColor="text1"/>
        </w:rPr>
        <w:t xml:space="preserve">In addition to the legally binding requirements laid down in this Regulation, indicative benchmarks for best available technologies should be identified to make information </w:t>
      </w:r>
      <w:r w:rsidRPr="00DC0E0E">
        <w:rPr>
          <w:color w:val="000000" w:themeColor="text1"/>
        </w:rPr>
        <w:lastRenderedPageBreak/>
        <w:t>on the life-cycle environmental performance of products subject to this Regulation widely available and easily accessible.</w:t>
      </w:r>
    </w:p>
    <w:p w:rsidR="00DC0E0E" w:rsidRDefault="00DC0E0E" w:rsidP="00DC0E0E">
      <w:pPr>
        <w:pStyle w:val="Considrant"/>
        <w:numPr>
          <w:ilvl w:val="0"/>
          <w:numId w:val="11"/>
        </w:numPr>
        <w:rPr>
          <w:color w:val="000000" w:themeColor="text1"/>
        </w:rPr>
      </w:pPr>
      <w:r w:rsidRPr="00DC0E0E">
        <w:rPr>
          <w:color w:val="000000" w:themeColor="text1"/>
        </w:rPr>
        <w:t>A revie</w:t>
      </w:r>
      <w:r>
        <w:rPr>
          <w:color w:val="000000" w:themeColor="text1"/>
        </w:rPr>
        <w:t>w of this Regulation should assess the appropriateness and effectiveness of its provisions</w:t>
      </w:r>
      <w:r w:rsidR="005A4609">
        <w:rPr>
          <w:color w:val="000000" w:themeColor="text1"/>
        </w:rPr>
        <w:t xml:space="preserve"> in achieving its goals</w:t>
      </w:r>
      <w:r w:rsidR="001B564D">
        <w:rPr>
          <w:color w:val="000000" w:themeColor="text1"/>
        </w:rPr>
        <w:t>. The timing</w:t>
      </w:r>
      <w:r w:rsidR="005A4609">
        <w:rPr>
          <w:color w:val="000000" w:themeColor="text1"/>
        </w:rPr>
        <w:t xml:space="preserve"> of the review</w:t>
      </w:r>
      <w:r w:rsidR="001B564D">
        <w:rPr>
          <w:color w:val="000000" w:themeColor="text1"/>
        </w:rPr>
        <w:t xml:space="preserve"> should </w:t>
      </w:r>
      <w:r w:rsidR="005A4609">
        <w:rPr>
          <w:color w:val="000000" w:themeColor="text1"/>
        </w:rPr>
        <w:t>be</w:t>
      </w:r>
      <w:r w:rsidR="001B564D">
        <w:rPr>
          <w:color w:val="000000" w:themeColor="text1"/>
        </w:rPr>
        <w:t xml:space="preserve"> sufficien</w:t>
      </w:r>
      <w:r w:rsidR="005A4609">
        <w:rPr>
          <w:color w:val="000000" w:themeColor="text1"/>
        </w:rPr>
        <w:t xml:space="preserve">t </w:t>
      </w:r>
      <w:r w:rsidR="001B564D">
        <w:rPr>
          <w:color w:val="000000" w:themeColor="text1"/>
        </w:rPr>
        <w:t>for all provisions to be implemented and show an effect on the market</w:t>
      </w:r>
      <w:r>
        <w:rPr>
          <w:color w:val="000000" w:themeColor="text1"/>
        </w:rPr>
        <w:t xml:space="preserve">. </w:t>
      </w:r>
      <w:r w:rsidR="005A4609">
        <w:rPr>
          <w:color w:val="000000" w:themeColor="text1"/>
        </w:rPr>
        <w:t>In case of unforeseen technological developments, an earlier review covering the total or only part of this Regulation should be allowed to happen.</w:t>
      </w:r>
    </w:p>
    <w:p w:rsidR="00AF3903" w:rsidRPr="00DC0E0E" w:rsidRDefault="00AF3903" w:rsidP="00DC0E0E">
      <w:pPr>
        <w:pStyle w:val="Considrant"/>
        <w:numPr>
          <w:ilvl w:val="0"/>
          <w:numId w:val="11"/>
        </w:numPr>
        <w:rPr>
          <w:color w:val="000000" w:themeColor="text1"/>
        </w:rPr>
      </w:pPr>
      <w:r>
        <w:rPr>
          <w:color w:val="000000" w:themeColor="text1"/>
        </w:rPr>
        <w:t xml:space="preserve">A common verification procedure </w:t>
      </w:r>
      <w:r w:rsidR="006A05B8">
        <w:rPr>
          <w:color w:val="000000" w:themeColor="text1"/>
        </w:rPr>
        <w:t xml:space="preserve">for </w:t>
      </w:r>
      <w:r>
        <w:rPr>
          <w:color w:val="000000" w:themeColor="text1"/>
        </w:rPr>
        <w:t>compliance with the requirements set out in this Regulation for all Member States' authorities, including the applicable tolerance, gives manufacturers of lighting products and components the necessary legal certainty. The mandatory information sharing on verification testing, including the model of the product tested and the results of the</w:t>
      </w:r>
      <w:r w:rsidR="006A05B8">
        <w:rPr>
          <w:color w:val="000000" w:themeColor="text1"/>
        </w:rPr>
        <w:t xml:space="preserve"> </w:t>
      </w:r>
      <w:proofErr w:type="gramStart"/>
      <w:r w:rsidR="006A05B8">
        <w:rPr>
          <w:color w:val="000000" w:themeColor="text1"/>
        </w:rPr>
        <w:t>procedure,</w:t>
      </w:r>
      <w:proofErr w:type="gramEnd"/>
      <w:r w:rsidR="006A05B8">
        <w:rPr>
          <w:color w:val="000000" w:themeColor="text1"/>
        </w:rPr>
        <w:t xml:space="preserve"> will minimise unnecessary double testing while reducing the number of non-compliant models on the Union's market.</w:t>
      </w:r>
    </w:p>
    <w:p w:rsidR="002122F2" w:rsidRPr="0099786F" w:rsidRDefault="0099786F" w:rsidP="002122F2">
      <w:pPr>
        <w:pStyle w:val="Considrant"/>
        <w:rPr>
          <w:color w:val="000000" w:themeColor="text1"/>
        </w:rPr>
      </w:pPr>
      <w:r>
        <w:rPr>
          <w:color w:val="000000" w:themeColor="text1"/>
        </w:rPr>
        <w:t xml:space="preserve">The deference of </w:t>
      </w:r>
      <w:r w:rsidR="00CC21D9">
        <w:rPr>
          <w:color w:val="000000" w:themeColor="text1"/>
        </w:rPr>
        <w:t xml:space="preserve">most of </w:t>
      </w:r>
      <w:r>
        <w:rPr>
          <w:color w:val="000000" w:themeColor="text1"/>
        </w:rPr>
        <w:t xml:space="preserve">this </w:t>
      </w:r>
      <w:r w:rsidR="00710439">
        <w:rPr>
          <w:color w:val="000000" w:themeColor="text1"/>
        </w:rPr>
        <w:t>Regulation</w:t>
      </w:r>
      <w:r w:rsidR="00B8797E">
        <w:rPr>
          <w:color w:val="000000" w:themeColor="text1"/>
        </w:rPr>
        <w:t>'s</w:t>
      </w:r>
      <w:r>
        <w:rPr>
          <w:color w:val="000000" w:themeColor="text1"/>
        </w:rPr>
        <w:t xml:space="preserve"> application to 1 September 2018 give</w:t>
      </w:r>
      <w:r w:rsidR="00B8797E">
        <w:rPr>
          <w:color w:val="000000" w:themeColor="text1"/>
        </w:rPr>
        <w:t>s</w:t>
      </w:r>
      <w:r>
        <w:rPr>
          <w:color w:val="000000" w:themeColor="text1"/>
        </w:rPr>
        <w:t xml:space="preserve"> manufacturers </w:t>
      </w:r>
      <w:r w:rsidR="00710439">
        <w:rPr>
          <w:color w:val="000000" w:themeColor="text1"/>
        </w:rPr>
        <w:t xml:space="preserve">and importers </w:t>
      </w:r>
      <w:r>
        <w:rPr>
          <w:color w:val="000000" w:themeColor="text1"/>
        </w:rPr>
        <w:t xml:space="preserve">of lighting products and components the necessary legal certainty concerning </w:t>
      </w:r>
      <w:r w:rsidR="00B8797E">
        <w:rPr>
          <w:color w:val="000000" w:themeColor="text1"/>
        </w:rPr>
        <w:t xml:space="preserve">future </w:t>
      </w:r>
      <w:r>
        <w:rPr>
          <w:color w:val="000000" w:themeColor="text1"/>
        </w:rPr>
        <w:t xml:space="preserve">requirements, while allowing </w:t>
      </w:r>
      <w:r w:rsidR="00B8797E">
        <w:rPr>
          <w:color w:val="000000" w:themeColor="text1"/>
        </w:rPr>
        <w:t>old requirements from the Commission Regulations repealed through this act to stay in force until th</w:t>
      </w:r>
      <w:r w:rsidR="0053268B">
        <w:rPr>
          <w:color w:val="000000" w:themeColor="text1"/>
        </w:rPr>
        <w:t xml:space="preserve">e technological development of </w:t>
      </w:r>
      <w:r w:rsidR="00B8797E">
        <w:rPr>
          <w:color w:val="000000" w:themeColor="text1"/>
        </w:rPr>
        <w:t>lighting products and components allows for the replacement of these old requirements.</w:t>
      </w:r>
    </w:p>
    <w:p w:rsidR="002122F2" w:rsidRPr="00A01AA1" w:rsidRDefault="002122F2" w:rsidP="002122F2">
      <w:pPr>
        <w:pStyle w:val="Considrant"/>
      </w:pPr>
      <w:r w:rsidRPr="00A01AA1">
        <w:t xml:space="preserve">The measures provided for in this Regulation are in accordance </w:t>
      </w:r>
      <w:r w:rsidRPr="00AE2BD7">
        <w:t>with the opinion of the Committee established by Article 19(1) of Directive 2009/125/EC</w:t>
      </w:r>
      <w:r w:rsidR="0099786F">
        <w:t>.</w:t>
      </w:r>
    </w:p>
    <w:p w:rsidR="002122F2" w:rsidRPr="00A01AA1" w:rsidRDefault="002122F2" w:rsidP="001C3314">
      <w:pPr>
        <w:pStyle w:val="Formuledadoption"/>
      </w:pPr>
      <w:r w:rsidRPr="00A01AA1">
        <w:t>HAS ADOPTED THIS REGULATION:</w:t>
      </w:r>
    </w:p>
    <w:p w:rsidR="00DF2337" w:rsidRPr="00AE2BD7" w:rsidRDefault="00DF2337" w:rsidP="00DF2337">
      <w:pPr>
        <w:pStyle w:val="Titrearticle"/>
        <w:rPr>
          <w:b/>
        </w:rPr>
      </w:pPr>
      <w:r w:rsidRPr="00AE2BD7">
        <w:t>Article 1</w:t>
      </w:r>
      <w:r w:rsidRPr="00AE2BD7">
        <w:br/>
      </w:r>
      <w:r w:rsidRPr="005869E9">
        <w:rPr>
          <w:b/>
          <w:i w:val="0"/>
        </w:rPr>
        <w:t>Subject matter and scope</w:t>
      </w:r>
    </w:p>
    <w:p w:rsidR="00DF2337" w:rsidRDefault="00DF2337" w:rsidP="00C4303A">
      <w:r w:rsidRPr="00DF2337">
        <w:t xml:space="preserve">This Regulation establishes </w:t>
      </w:r>
      <w:proofErr w:type="spellStart"/>
      <w:r w:rsidRPr="00DF2337">
        <w:t>ecodesign</w:t>
      </w:r>
      <w:proofErr w:type="spellEnd"/>
      <w:r w:rsidRPr="00DF2337">
        <w:t xml:space="preserve"> requirements for placing on the market and putting into service of </w:t>
      </w:r>
      <w:r>
        <w:t>lighting products</w:t>
      </w:r>
      <w:r w:rsidRPr="00DF2337">
        <w:t xml:space="preserve"> and </w:t>
      </w:r>
      <w:r w:rsidR="00F42DDF">
        <w:t xml:space="preserve">lighting product </w:t>
      </w:r>
      <w:r w:rsidRPr="00DF2337">
        <w:t xml:space="preserve">components, </w:t>
      </w:r>
      <w:r w:rsidR="00037DB1">
        <w:t>including</w:t>
      </w:r>
      <w:r w:rsidRPr="00DF2337">
        <w:t xml:space="preserve"> when they are integrated into other products.</w:t>
      </w:r>
    </w:p>
    <w:p w:rsidR="005869E9" w:rsidRDefault="005869E9" w:rsidP="00C4303A">
      <w:r>
        <w:t xml:space="preserve">This Regulation shall not apply to lighting </w:t>
      </w:r>
      <w:r w:rsidR="007C662C">
        <w:t>products</w:t>
      </w:r>
      <w:r>
        <w:t xml:space="preserve"> and </w:t>
      </w:r>
      <w:r w:rsidR="00F42DDF">
        <w:t xml:space="preserve">lighting product </w:t>
      </w:r>
      <w:r>
        <w:t>components</w:t>
      </w:r>
      <w:r w:rsidR="007222DB">
        <w:t>,</w:t>
      </w:r>
      <w:r>
        <w:t xml:space="preserve"> which are</w:t>
      </w:r>
      <w:r w:rsidR="007222DB">
        <w:t xml:space="preserve"> either in the scope of </w:t>
      </w:r>
      <w:r w:rsidR="007222DB" w:rsidRPr="008568B4">
        <w:t>Directive 2014/34/EU</w:t>
      </w:r>
      <w:r w:rsidR="007222DB">
        <w:t xml:space="preserve"> (</w:t>
      </w:r>
      <w:r w:rsidR="007222DB">
        <w:rPr>
          <w:rStyle w:val="FootnoteReference"/>
        </w:rPr>
        <w:footnoteReference w:id="6"/>
      </w:r>
      <w:r w:rsidR="007222DB">
        <w:t>) or specified to operate exclusively in</w:t>
      </w:r>
      <w:r>
        <w:t>:</w:t>
      </w:r>
    </w:p>
    <w:p w:rsidR="008568B4" w:rsidRDefault="007222DB" w:rsidP="00DF3BB9">
      <w:pPr>
        <w:pStyle w:val="Point1letter"/>
      </w:pPr>
      <w:r>
        <w:rPr>
          <w:lang w:eastAsia="en-GB"/>
        </w:rPr>
        <w:t xml:space="preserve">military or civil defence </w:t>
      </w:r>
      <w:r w:rsidR="00FE14D2">
        <w:rPr>
          <w:lang w:eastAsia="en-GB"/>
        </w:rPr>
        <w:t xml:space="preserve">equipment </w:t>
      </w:r>
      <w:r w:rsidR="00DF3BB9">
        <w:rPr>
          <w:lang w:eastAsia="en-GB"/>
        </w:rPr>
        <w:t>or</w:t>
      </w:r>
      <w:r w:rsidR="00FE14D2">
        <w:rPr>
          <w:lang w:eastAsia="en-GB"/>
        </w:rPr>
        <w:t xml:space="preserve"> installations</w:t>
      </w:r>
      <w:r w:rsidR="008568B4">
        <w:t>;</w:t>
      </w:r>
    </w:p>
    <w:p w:rsidR="00FE14D2" w:rsidRDefault="00FE14D2" w:rsidP="00DF3BB9">
      <w:pPr>
        <w:pStyle w:val="Point1letter"/>
      </w:pPr>
      <w:r>
        <w:t>nuclear installations;</w:t>
      </w:r>
    </w:p>
    <w:p w:rsidR="007222DB" w:rsidRDefault="007222DB" w:rsidP="00DF3BB9">
      <w:pPr>
        <w:pStyle w:val="Point1letter"/>
      </w:pPr>
      <w:r>
        <w:t>means of transport for persons or goods other than those operated by a stationary motor;</w:t>
      </w:r>
    </w:p>
    <w:p w:rsidR="00494D5E" w:rsidRDefault="00FE14D2" w:rsidP="00DF3BB9">
      <w:pPr>
        <w:pStyle w:val="Point1letter"/>
      </w:pPr>
      <w:r w:rsidRPr="00FE14D2">
        <w:t xml:space="preserve">road, railway, marine </w:t>
      </w:r>
      <w:r w:rsidR="00DF3BB9">
        <w:t>or</w:t>
      </w:r>
      <w:r w:rsidRPr="00FE14D2">
        <w:t xml:space="preserve"> air traffic signalling</w:t>
      </w:r>
      <w:r>
        <w:t>;</w:t>
      </w:r>
    </w:p>
    <w:p w:rsidR="00FE14D2" w:rsidRDefault="00FE14D2" w:rsidP="00DF3BB9">
      <w:pPr>
        <w:pStyle w:val="Point1letter"/>
      </w:pPr>
      <w:r>
        <w:t>medical devices;</w:t>
      </w:r>
    </w:p>
    <w:p w:rsidR="00FE14D2" w:rsidRDefault="00FE14D2" w:rsidP="00DF3BB9">
      <w:pPr>
        <w:pStyle w:val="Point1letter"/>
      </w:pPr>
      <w:r>
        <w:t>laboratory equipment;</w:t>
      </w:r>
    </w:p>
    <w:p w:rsidR="004B44C4" w:rsidRDefault="00B8797E" w:rsidP="004B44C4">
      <w:pPr>
        <w:pStyle w:val="Point1letter"/>
      </w:pPr>
      <w:r>
        <w:t>electronic displays;</w:t>
      </w:r>
    </w:p>
    <w:p w:rsidR="00621A20" w:rsidRDefault="00621A20" w:rsidP="004B44C4">
      <w:pPr>
        <w:pStyle w:val="Point1letter"/>
      </w:pPr>
      <w:r>
        <w:t>pieces of art;</w:t>
      </w:r>
    </w:p>
    <w:p w:rsidR="004B44C4" w:rsidRPr="00494D5E" w:rsidRDefault="00DF3BB9" w:rsidP="004B44C4">
      <w:pPr>
        <w:pStyle w:val="Point1letter"/>
      </w:pPr>
      <w:proofErr w:type="gramStart"/>
      <w:r>
        <w:t>environments</w:t>
      </w:r>
      <w:proofErr w:type="gramEnd"/>
      <w:r>
        <w:t xml:space="preserve"> w</w:t>
      </w:r>
      <w:r w:rsidR="00A53B14">
        <w:t xml:space="preserve">ith ambient temperatures </w:t>
      </w:r>
      <w:r w:rsidR="003E4421">
        <w:t xml:space="preserve">below -20°C or </w:t>
      </w:r>
      <w:r w:rsidR="00A53B14">
        <w:t>above 5</w:t>
      </w:r>
      <w:r w:rsidR="004B44C4">
        <w:t>0°C.</w:t>
      </w:r>
    </w:p>
    <w:p w:rsidR="005869E9" w:rsidRPr="00AE2BD7" w:rsidRDefault="005869E9" w:rsidP="005869E9">
      <w:pPr>
        <w:pStyle w:val="Titrearticle"/>
      </w:pPr>
      <w:r>
        <w:lastRenderedPageBreak/>
        <w:t>Article 2</w:t>
      </w:r>
      <w:r w:rsidRPr="00AE2BD7">
        <w:br/>
      </w:r>
      <w:r w:rsidRPr="005869E9">
        <w:rPr>
          <w:b/>
          <w:i w:val="0"/>
        </w:rPr>
        <w:t>Definitions</w:t>
      </w:r>
    </w:p>
    <w:p w:rsidR="005869E9" w:rsidRDefault="005869E9" w:rsidP="005869E9">
      <w:pPr>
        <w:rPr>
          <w:i/>
        </w:rPr>
      </w:pPr>
      <w:r w:rsidRPr="005869E9">
        <w:t>In addition to the definitions set out in Article 2 of Directive 2009/125/EC, the following definitions shall apply for the purposes of this Regulation:</w:t>
      </w:r>
    </w:p>
    <w:p w:rsidR="008A16AA" w:rsidRDefault="00CB3A16" w:rsidP="0013333B">
      <w:pPr>
        <w:pStyle w:val="Point0number"/>
        <w:numPr>
          <w:ilvl w:val="0"/>
          <w:numId w:val="34"/>
        </w:numPr>
      </w:pPr>
      <w:r>
        <w:t>'</w:t>
      </w:r>
      <w:r w:rsidR="0025356A">
        <w:t xml:space="preserve">luminous flux' </w:t>
      </w:r>
      <w:r w:rsidR="008A16AA" w:rsidRPr="008A16AA">
        <w:t>(</w:t>
      </w:r>
      <w:r w:rsidR="0025356A" w:rsidRPr="0025356A">
        <w:t>Φ</w:t>
      </w:r>
      <w:r w:rsidR="0025356A">
        <w:t xml:space="preserve">) is measured in </w:t>
      </w:r>
      <w:r w:rsidR="0025356A" w:rsidRPr="001A5AF2">
        <w:rPr>
          <w:i/>
        </w:rPr>
        <w:t>lm</w:t>
      </w:r>
      <w:r w:rsidR="0025356A">
        <w:t xml:space="preserve"> and</w:t>
      </w:r>
      <w:r w:rsidR="008A16AA" w:rsidRPr="008A16AA">
        <w:t xml:space="preserve"> means the quantity derived from radiant flux (radiant power) by evaluating the </w:t>
      </w:r>
      <w:r w:rsidR="00473DDA">
        <w:t xml:space="preserve">electromagnetic </w:t>
      </w:r>
      <w:r w:rsidR="008A16AA" w:rsidRPr="008A16AA">
        <w:t>radiation in accordance with the spectral sensitivity of the human eye</w:t>
      </w:r>
      <w:r w:rsidR="008A16AA">
        <w:t xml:space="preserve">, and </w:t>
      </w:r>
      <w:r w:rsidR="008A16AA" w:rsidRPr="008A16AA">
        <w:t xml:space="preserve">refers to the initial luminous flux of the </w:t>
      </w:r>
      <w:r w:rsidR="008A16AA">
        <w:t>lighting product</w:t>
      </w:r>
      <w:r w:rsidR="008A16AA" w:rsidRPr="008A16AA">
        <w:t xml:space="preserve"> after a short operating period</w:t>
      </w:r>
      <w:r w:rsidR="008A16AA">
        <w:t xml:space="preserve"> if not specified differently</w:t>
      </w:r>
      <w:r w:rsidR="001A5AF2">
        <w:t>.</w:t>
      </w:r>
    </w:p>
    <w:p w:rsidR="008A16AA" w:rsidRPr="002D6665" w:rsidRDefault="00CB3A16" w:rsidP="0013333B">
      <w:pPr>
        <w:pStyle w:val="Point0number"/>
        <w:numPr>
          <w:ilvl w:val="0"/>
          <w:numId w:val="34"/>
        </w:numPr>
      </w:pPr>
      <w:r w:rsidRPr="002D6665">
        <w:t>'</w:t>
      </w:r>
      <w:proofErr w:type="gramStart"/>
      <w:r w:rsidR="008A16AA" w:rsidRPr="002D6665">
        <w:t>lumi</w:t>
      </w:r>
      <w:r w:rsidRPr="002D6665">
        <w:t>nous</w:t>
      </w:r>
      <w:proofErr w:type="gramEnd"/>
      <w:r w:rsidRPr="002D6665">
        <w:t xml:space="preserve"> intensity'</w:t>
      </w:r>
      <w:r w:rsidR="0025356A" w:rsidRPr="002D6665">
        <w:t xml:space="preserve"> is measured in </w:t>
      </w:r>
      <w:r w:rsidR="008A16AA" w:rsidRPr="001A5AF2">
        <w:rPr>
          <w:i/>
        </w:rPr>
        <w:t>cd</w:t>
      </w:r>
      <w:r w:rsidR="0025356A" w:rsidRPr="002D6665">
        <w:t xml:space="preserve"> and</w:t>
      </w:r>
      <w:r w:rsidR="008A16AA" w:rsidRPr="002D6665">
        <w:t xml:space="preserve"> means the quotient of the luminous flux leaving the source and propagated in the element of solid angle containing the given direction</w:t>
      </w:r>
      <w:r w:rsidR="001A5AF2">
        <w:t>, by the element of solid angle.</w:t>
      </w:r>
    </w:p>
    <w:p w:rsidR="008A16AA" w:rsidRPr="00AE2BD7" w:rsidRDefault="00CB3A16" w:rsidP="0013333B">
      <w:pPr>
        <w:pStyle w:val="Point0number"/>
        <w:numPr>
          <w:ilvl w:val="0"/>
          <w:numId w:val="34"/>
        </w:numPr>
      </w:pPr>
      <w:r>
        <w:t>'</w:t>
      </w:r>
      <w:proofErr w:type="gramStart"/>
      <w:r>
        <w:t>chromaticity</w:t>
      </w:r>
      <w:proofErr w:type="gramEnd"/>
      <w:r>
        <w:t>'</w:t>
      </w:r>
      <w:r w:rsidR="008A16AA" w:rsidRPr="00AE2BD7">
        <w:t xml:space="preserve"> means the property of a colour stimulus defined by its chromaticity coordinates</w:t>
      </w:r>
      <w:r w:rsidR="0025356A">
        <w:t xml:space="preserve"> (x and y)</w:t>
      </w:r>
      <w:r w:rsidR="008A16AA" w:rsidRPr="00AE2BD7">
        <w:t>, or by its dominant or complementary wavel</w:t>
      </w:r>
      <w:r w:rsidR="002D6665">
        <w:t>ength and purity taken together.</w:t>
      </w:r>
    </w:p>
    <w:p w:rsidR="008A16AA" w:rsidRDefault="00CB3A16" w:rsidP="0013333B">
      <w:pPr>
        <w:pStyle w:val="Point0number"/>
        <w:numPr>
          <w:ilvl w:val="0"/>
          <w:numId w:val="34"/>
        </w:numPr>
      </w:pPr>
      <w:r>
        <w:t>'colour rendering'</w:t>
      </w:r>
      <w:r w:rsidR="0025356A">
        <w:t xml:space="preserve"> is measured with the colour rendering index (CRI) in </w:t>
      </w:r>
      <w:r w:rsidR="008A16AA" w:rsidRPr="001A5AF2">
        <w:rPr>
          <w:i/>
        </w:rPr>
        <w:t>Ra</w:t>
      </w:r>
      <w:r w:rsidR="0025356A" w:rsidRPr="001A5AF2">
        <w:rPr>
          <w:i/>
        </w:rPr>
        <w:t xml:space="preserve"> </w:t>
      </w:r>
      <w:r w:rsidR="0025356A">
        <w:t>and</w:t>
      </w:r>
      <w:r w:rsidR="008A16AA" w:rsidRPr="008A16AA">
        <w:t xml:space="preserve"> means the effect of an </w:t>
      </w:r>
      <w:proofErr w:type="spellStart"/>
      <w:r w:rsidR="008A16AA" w:rsidRPr="008A16AA">
        <w:t>illuminant</w:t>
      </w:r>
      <w:proofErr w:type="spellEnd"/>
      <w:r w:rsidR="008A16AA" w:rsidRPr="008A16AA">
        <w:t xml:space="preserve"> on the colour appearance of objects by conscious or subconscious comparison with their colour appearan</w:t>
      </w:r>
      <w:r w:rsidR="002D6665">
        <w:t xml:space="preserve">ce under a reference </w:t>
      </w:r>
      <w:proofErr w:type="spellStart"/>
      <w:r w:rsidR="002D6665">
        <w:t>illuminant</w:t>
      </w:r>
      <w:proofErr w:type="spellEnd"/>
      <w:r w:rsidR="002D6665">
        <w:t>.</w:t>
      </w:r>
    </w:p>
    <w:p w:rsidR="008A16AA" w:rsidRPr="001A5AF2" w:rsidRDefault="00CB3A16" w:rsidP="0013333B">
      <w:pPr>
        <w:pStyle w:val="Point0number"/>
        <w:numPr>
          <w:ilvl w:val="0"/>
          <w:numId w:val="34"/>
        </w:numPr>
        <w:rPr>
          <w:color w:val="000000" w:themeColor="text1"/>
        </w:rPr>
      </w:pPr>
      <w:r w:rsidRPr="001A5AF2">
        <w:rPr>
          <w:color w:val="000000" w:themeColor="text1"/>
        </w:rPr>
        <w:t>'</w:t>
      </w:r>
      <w:proofErr w:type="gramStart"/>
      <w:r w:rsidRPr="001A5AF2">
        <w:rPr>
          <w:color w:val="000000" w:themeColor="text1"/>
        </w:rPr>
        <w:t>nominal</w:t>
      </w:r>
      <w:proofErr w:type="gramEnd"/>
      <w:r w:rsidRPr="001A5AF2">
        <w:rPr>
          <w:color w:val="000000" w:themeColor="text1"/>
        </w:rPr>
        <w:t xml:space="preserve"> value'</w:t>
      </w:r>
      <w:r w:rsidR="008A16AA" w:rsidRPr="001A5AF2">
        <w:rPr>
          <w:color w:val="000000" w:themeColor="text1"/>
        </w:rPr>
        <w:t xml:space="preserve"> means the value of a quantity used to d</w:t>
      </w:r>
      <w:r w:rsidR="002D6665" w:rsidRPr="001A5AF2">
        <w:rPr>
          <w:color w:val="000000" w:themeColor="text1"/>
        </w:rPr>
        <w:t>esignate and identify a product.</w:t>
      </w:r>
    </w:p>
    <w:p w:rsidR="00CB3A16" w:rsidRPr="001A5AF2" w:rsidRDefault="00CB3A16" w:rsidP="0013333B">
      <w:pPr>
        <w:pStyle w:val="Point0number"/>
        <w:numPr>
          <w:ilvl w:val="0"/>
          <w:numId w:val="34"/>
        </w:numPr>
        <w:rPr>
          <w:color w:val="000000" w:themeColor="text1"/>
        </w:rPr>
      </w:pPr>
      <w:r w:rsidRPr="001A5AF2">
        <w:rPr>
          <w:color w:val="000000" w:themeColor="text1"/>
        </w:rPr>
        <w:t>'rated value'</w:t>
      </w:r>
      <w:r w:rsidR="008A16AA" w:rsidRPr="001A5AF2">
        <w:rPr>
          <w:color w:val="000000" w:themeColor="text1"/>
        </w:rPr>
        <w:t xml:space="preserve"> means the value of a quantity used for specification purposes, established for a specified set of operating conditions of a product, and all requirements are set in rated values if not specified otherwise</w:t>
      </w:r>
      <w:r w:rsidR="002D6665" w:rsidRPr="001A5AF2">
        <w:rPr>
          <w:color w:val="000000" w:themeColor="text1"/>
        </w:rPr>
        <w:t>.</w:t>
      </w:r>
    </w:p>
    <w:p w:rsidR="000253E6" w:rsidRPr="001A5AF2" w:rsidRDefault="00CB3A16" w:rsidP="0013333B">
      <w:pPr>
        <w:pStyle w:val="Point0number"/>
        <w:numPr>
          <w:ilvl w:val="0"/>
          <w:numId w:val="34"/>
        </w:numPr>
        <w:rPr>
          <w:color w:val="000000" w:themeColor="text1"/>
        </w:rPr>
      </w:pPr>
      <w:r w:rsidRPr="001A5AF2">
        <w:rPr>
          <w:color w:val="000000" w:themeColor="text1"/>
        </w:rPr>
        <w:t>'</w:t>
      </w:r>
      <w:proofErr w:type="gramStart"/>
      <w:r w:rsidR="00774084">
        <w:rPr>
          <w:color w:val="000000" w:themeColor="text1"/>
        </w:rPr>
        <w:t>final</w:t>
      </w:r>
      <w:proofErr w:type="gramEnd"/>
      <w:r w:rsidR="00774084">
        <w:rPr>
          <w:color w:val="000000" w:themeColor="text1"/>
        </w:rPr>
        <w:t xml:space="preserve"> </w:t>
      </w:r>
      <w:r w:rsidRPr="001A5AF2">
        <w:rPr>
          <w:color w:val="000000" w:themeColor="text1"/>
        </w:rPr>
        <w:t>owner'</w:t>
      </w:r>
      <w:r w:rsidR="000E0247" w:rsidRPr="001A5AF2">
        <w:rPr>
          <w:color w:val="000000" w:themeColor="text1"/>
        </w:rPr>
        <w:t xml:space="preserve"> means the entity owning a product during the use phase of its life cycle, or any other entity acting on its behalf</w:t>
      </w:r>
      <w:r w:rsidR="002D6665" w:rsidRPr="001A5AF2">
        <w:rPr>
          <w:color w:val="000000" w:themeColor="text1"/>
        </w:rPr>
        <w:t>.</w:t>
      </w:r>
    </w:p>
    <w:p w:rsidR="00473DDA" w:rsidRDefault="00473DDA" w:rsidP="0013333B">
      <w:pPr>
        <w:pStyle w:val="Point0number"/>
        <w:numPr>
          <w:ilvl w:val="0"/>
          <w:numId w:val="34"/>
        </w:numPr>
      </w:pPr>
      <w:r>
        <w:t>'light' means electromagnetic radiation between 380</w:t>
      </w:r>
      <w:r w:rsidRPr="001A5AF2">
        <w:rPr>
          <w:i/>
        </w:rPr>
        <w:t>nm</w:t>
      </w:r>
      <w:r>
        <w:t xml:space="preserve"> and 780</w:t>
      </w:r>
      <w:r w:rsidRPr="001A5AF2">
        <w:rPr>
          <w:i/>
        </w:rPr>
        <w:t>nm</w:t>
      </w:r>
      <w:r>
        <w:t xml:space="preserve"> wavelength and the chromaticity coordinates x and y in the range:</w:t>
      </w:r>
    </w:p>
    <w:p w:rsidR="00473DDA" w:rsidRDefault="00473DDA" w:rsidP="00774084">
      <w:pPr>
        <w:pStyle w:val="Tiret1"/>
      </w:pPr>
      <w:r>
        <w:t>0,2 &lt; x &lt; 0,6;</w:t>
      </w:r>
      <w:r w:rsidR="00774084">
        <w:t xml:space="preserve"> and</w:t>
      </w:r>
    </w:p>
    <w:p w:rsidR="00473DDA" w:rsidRPr="00473DDA" w:rsidRDefault="00473DDA" w:rsidP="00774084">
      <w:pPr>
        <w:pStyle w:val="Tiret1"/>
      </w:pPr>
      <w:r>
        <w:t>–2</w:t>
      </w:r>
      <w:proofErr w:type="gramStart"/>
      <w:r>
        <w:t>,3172</w:t>
      </w:r>
      <w:proofErr w:type="gramEnd"/>
      <w:r>
        <w:t xml:space="preserve"> x² + 2,3653 x – 0,28 &lt; y &lt; – 2,3172 x² + 2,3653 x – 0,1</w:t>
      </w:r>
      <w:r w:rsidR="002D6665">
        <w:t>.</w:t>
      </w:r>
    </w:p>
    <w:p w:rsidR="000253E6" w:rsidRDefault="000253E6" w:rsidP="0013333B">
      <w:pPr>
        <w:pStyle w:val="Point0number"/>
        <w:numPr>
          <w:ilvl w:val="0"/>
          <w:numId w:val="34"/>
        </w:numPr>
      </w:pPr>
      <w:r>
        <w:t>'lighting product' means a configuration of one or more lighting product components that can be operated,</w:t>
      </w:r>
      <w:r w:rsidRPr="00500C0C">
        <w:t xml:space="preserve"> </w:t>
      </w:r>
      <w:r>
        <w:t>without any further modification, by applying electricity with a nominal voltage of 230</w:t>
      </w:r>
      <w:r w:rsidRPr="001A5AF2">
        <w:rPr>
          <w:i/>
        </w:rPr>
        <w:t>V</w:t>
      </w:r>
      <w:r w:rsidRPr="00344116">
        <w:t xml:space="preserve"> (±10%), alternatin</w:t>
      </w:r>
      <w:r>
        <w:t>g current and a frequency of 50</w:t>
      </w:r>
      <w:r w:rsidRPr="001A5AF2">
        <w:rPr>
          <w:i/>
        </w:rPr>
        <w:t>Hz</w:t>
      </w:r>
      <w:r>
        <w:t>, and this configuration has the primary function of emitting electromagnetic radiation with all of the following characteristics:</w:t>
      </w:r>
    </w:p>
    <w:p w:rsidR="000253E6" w:rsidRDefault="00275078" w:rsidP="0013333B">
      <w:pPr>
        <w:pStyle w:val="Point1letter"/>
        <w:numPr>
          <w:ilvl w:val="3"/>
          <w:numId w:val="28"/>
        </w:numPr>
      </w:pPr>
      <w:r>
        <w:t xml:space="preserve">a </w:t>
      </w:r>
      <w:r w:rsidR="00473DDA">
        <w:t xml:space="preserve">light emission with a </w:t>
      </w:r>
      <w:r>
        <w:t xml:space="preserve">rated luminous flux </w:t>
      </w:r>
      <w:r w:rsidRPr="009C24E7">
        <w:t>of</w:t>
      </w:r>
      <w:r>
        <w:t xml:space="preserve"> 60</w:t>
      </w:r>
      <w:r w:rsidRPr="00DF3BB9">
        <w:rPr>
          <w:i/>
        </w:rPr>
        <w:t>lm</w:t>
      </w:r>
      <w:r>
        <w:t xml:space="preserve"> ≤ </w:t>
      </w:r>
      <w:r w:rsidRPr="0025356A">
        <w:t>Φ</w:t>
      </w:r>
      <w:r w:rsidRPr="00C51CB8">
        <w:t xml:space="preserve"> </w:t>
      </w:r>
      <w:r>
        <w:t>≤ 100</w:t>
      </w:r>
      <w:r w:rsidRPr="00DF3BB9">
        <w:rPr>
          <w:i/>
        </w:rPr>
        <w:t>klm</w:t>
      </w:r>
      <w:r>
        <w:t>;</w:t>
      </w:r>
    </w:p>
    <w:p w:rsidR="000253E6" w:rsidRDefault="000253E6" w:rsidP="00DF3BB9">
      <w:pPr>
        <w:pStyle w:val="Point1letter"/>
      </w:pPr>
      <w:r>
        <w:t>a maximum luminous flux of 1</w:t>
      </w:r>
      <w:r w:rsidRPr="00F87147">
        <w:rPr>
          <w:i/>
        </w:rPr>
        <w:t>k</w:t>
      </w:r>
      <w:r w:rsidRPr="00842C19">
        <w:rPr>
          <w:i/>
        </w:rPr>
        <w:t>lm</w:t>
      </w:r>
      <w:r>
        <w:t>/</w:t>
      </w:r>
      <w:r w:rsidRPr="00842C19">
        <w:rPr>
          <w:i/>
        </w:rPr>
        <w:t>mm</w:t>
      </w:r>
      <w:r w:rsidRPr="00842C19">
        <w:rPr>
          <w:i/>
          <w:vertAlign w:val="superscript"/>
        </w:rPr>
        <w:t>2</w:t>
      </w:r>
      <w:r>
        <w:t xml:space="preserve"> of the light-emitting surface's </w:t>
      </w:r>
      <w:r w:rsidRPr="00A20312">
        <w:rPr>
          <w:lang w:eastAsia="en-GB"/>
        </w:rPr>
        <w:t>orthographic projection</w:t>
      </w:r>
      <w:r>
        <w:rPr>
          <w:lang w:eastAsia="en-GB"/>
        </w:rPr>
        <w:t xml:space="preserve"> viewed </w:t>
      </w:r>
      <w:r w:rsidRPr="00A20312">
        <w:rPr>
          <w:lang w:eastAsia="en-GB"/>
        </w:rPr>
        <w:t xml:space="preserve">from the direction with the highest </w:t>
      </w:r>
      <w:r>
        <w:rPr>
          <w:lang w:eastAsia="en-GB"/>
        </w:rPr>
        <w:t>luminous</w:t>
      </w:r>
      <w:r w:rsidRPr="00A20312">
        <w:rPr>
          <w:lang w:eastAsia="en-GB"/>
        </w:rPr>
        <w:t xml:space="preserve"> intensity</w:t>
      </w:r>
      <w:r>
        <w:t>;</w:t>
      </w:r>
    </w:p>
    <w:p w:rsidR="000253E6" w:rsidRDefault="000253E6" w:rsidP="00DF3BB9">
      <w:pPr>
        <w:pStyle w:val="Point1letter"/>
      </w:pPr>
      <w:proofErr w:type="gramStart"/>
      <w:r>
        <w:t>a</w:t>
      </w:r>
      <w:proofErr w:type="gramEnd"/>
      <w:r>
        <w:t xml:space="preserve"> colour rendering index of CRI ≥ 0</w:t>
      </w:r>
      <w:r w:rsidRPr="00376EEA">
        <w:rPr>
          <w:i/>
        </w:rPr>
        <w:t>Ra</w:t>
      </w:r>
      <w:r w:rsidR="002D6665">
        <w:t>.</w:t>
      </w:r>
    </w:p>
    <w:p w:rsidR="000253E6" w:rsidRDefault="000253E6" w:rsidP="0013333B">
      <w:pPr>
        <w:pStyle w:val="Point0number"/>
        <w:numPr>
          <w:ilvl w:val="0"/>
          <w:numId w:val="34"/>
        </w:numPr>
      </w:pPr>
      <w:r>
        <w:t>'lighting product component' means a component that is inten</w:t>
      </w:r>
      <w:r w:rsidR="00774084">
        <w:t xml:space="preserve">ded to be marketed to the final </w:t>
      </w:r>
      <w:r>
        <w:t xml:space="preserve">owner as </w:t>
      </w:r>
      <w:r w:rsidR="001F29D3">
        <w:t>a lighting product</w:t>
      </w:r>
      <w:r w:rsidR="00BE6AC5">
        <w:t xml:space="preserve"> or a part thereof,</w:t>
      </w:r>
      <w:r w:rsidR="001F29D3">
        <w:t xml:space="preserve"> and has </w:t>
      </w:r>
      <w:r>
        <w:t>one</w:t>
      </w:r>
      <w:r w:rsidR="001F29D3">
        <w:t xml:space="preserve"> or more</w:t>
      </w:r>
      <w:r>
        <w:t xml:space="preserve"> of the following functions:</w:t>
      </w:r>
    </w:p>
    <w:p w:rsidR="000253E6" w:rsidRDefault="000253E6" w:rsidP="0013333B">
      <w:pPr>
        <w:pStyle w:val="Point1letter"/>
        <w:numPr>
          <w:ilvl w:val="3"/>
          <w:numId w:val="29"/>
        </w:numPr>
      </w:pPr>
      <w:r>
        <w:t>to transform</w:t>
      </w:r>
      <w:r w:rsidRPr="003A066C">
        <w:t xml:space="preserve"> electrical energy </w:t>
      </w:r>
      <w:r>
        <w:t>into light (including, but not limited to, lamps and light emitting diodes);</w:t>
      </w:r>
    </w:p>
    <w:p w:rsidR="000253E6" w:rsidRDefault="000253E6" w:rsidP="0013333B">
      <w:pPr>
        <w:pStyle w:val="Point1letter"/>
        <w:numPr>
          <w:ilvl w:val="3"/>
          <w:numId w:val="29"/>
        </w:numPr>
      </w:pPr>
      <w:r>
        <w:lastRenderedPageBreak/>
        <w:t>to transform electricity by supplying a different voltage, limiting the electrical current, or changing the current's directionality or frequency (including, but not limited to, transformers and power converters);</w:t>
      </w:r>
    </w:p>
    <w:p w:rsidR="000E0247" w:rsidRPr="000253E6" w:rsidRDefault="000253E6" w:rsidP="0013333B">
      <w:pPr>
        <w:pStyle w:val="Point1letter"/>
        <w:numPr>
          <w:ilvl w:val="3"/>
          <w:numId w:val="29"/>
        </w:numPr>
      </w:pPr>
      <w:proofErr w:type="gramStart"/>
      <w:r>
        <w:t>to</w:t>
      </w:r>
      <w:proofErr w:type="gramEnd"/>
      <w:r>
        <w:t xml:space="preserve"> control, process and/or regulate</w:t>
      </w:r>
      <w:r w:rsidRPr="003A066C">
        <w:t xml:space="preserve"> switching, luminous intensity and/or chromaticity of </w:t>
      </w:r>
      <w:r>
        <w:t>the emitted light (including, but not limited to, control devices and dimmers)</w:t>
      </w:r>
      <w:r w:rsidR="000E0247" w:rsidRPr="00DF3BB9">
        <w:rPr>
          <w:color w:val="000000" w:themeColor="text1"/>
        </w:rPr>
        <w:t>.</w:t>
      </w:r>
    </w:p>
    <w:p w:rsidR="00037DB1" w:rsidRPr="00AE2BD7" w:rsidRDefault="00037DB1" w:rsidP="00037DB1">
      <w:pPr>
        <w:pStyle w:val="Titrearticle"/>
      </w:pPr>
      <w:r>
        <w:t>Article 3</w:t>
      </w:r>
      <w:r w:rsidRPr="00AE2BD7">
        <w:br/>
      </w:r>
      <w:proofErr w:type="spellStart"/>
      <w:r>
        <w:rPr>
          <w:b/>
          <w:i w:val="0"/>
        </w:rPr>
        <w:t>Ecodesign</w:t>
      </w:r>
      <w:proofErr w:type="spellEnd"/>
      <w:r>
        <w:rPr>
          <w:b/>
          <w:i w:val="0"/>
        </w:rPr>
        <w:t xml:space="preserve"> requirements</w:t>
      </w:r>
    </w:p>
    <w:p w:rsidR="00656494" w:rsidRDefault="00656494" w:rsidP="00656494">
      <w:pPr>
        <w:pStyle w:val="NumPar1"/>
      </w:pPr>
      <w:r>
        <w:t>No lighting product or lighting product component shall be placed on the Union's market, which is designed in a way to alter its</w:t>
      </w:r>
      <w:r w:rsidRPr="00286E0F">
        <w:t xml:space="preserve"> performance </w:t>
      </w:r>
      <w:r>
        <w:t>during a verification process</w:t>
      </w:r>
      <w:r w:rsidRPr="00286E0F">
        <w:t xml:space="preserve"> with the objective to improve </w:t>
      </w:r>
      <w:r>
        <w:t>its energy efficiency or functionality.</w:t>
      </w:r>
    </w:p>
    <w:p w:rsidR="005869E9" w:rsidRDefault="00037DB1" w:rsidP="00656494">
      <w:pPr>
        <w:pStyle w:val="NumPar1"/>
      </w:pPr>
      <w:r>
        <w:t xml:space="preserve">The products in scope of this Regulation shall meet the </w:t>
      </w:r>
      <w:proofErr w:type="spellStart"/>
      <w:r>
        <w:t>ecodesign</w:t>
      </w:r>
      <w:proofErr w:type="spellEnd"/>
      <w:r>
        <w:t xml:space="preserve"> requirements set out in Annex I</w:t>
      </w:r>
      <w:r w:rsidR="0060589E">
        <w:t>I</w:t>
      </w:r>
      <w:r>
        <w:t xml:space="preserve"> of this Regulation.</w:t>
      </w:r>
    </w:p>
    <w:p w:rsidR="00037DB1" w:rsidRDefault="00037DB1" w:rsidP="001A539D">
      <w:pPr>
        <w:pStyle w:val="Text1"/>
      </w:pPr>
      <w:r>
        <w:t xml:space="preserve">Each </w:t>
      </w:r>
      <w:proofErr w:type="spellStart"/>
      <w:r>
        <w:t>ecodesign</w:t>
      </w:r>
      <w:proofErr w:type="spellEnd"/>
      <w:r>
        <w:t xml:space="preserve"> requirement shall apply in accordance with the following stages: </w:t>
      </w:r>
    </w:p>
    <w:p w:rsidR="00037DB1" w:rsidRDefault="00B8797E" w:rsidP="001A539D">
      <w:pPr>
        <w:pStyle w:val="Text1"/>
      </w:pPr>
      <w:r>
        <w:t>Stage 1: 1 September 2018</w:t>
      </w:r>
      <w:r w:rsidR="0081158C">
        <w:t>;</w:t>
      </w:r>
    </w:p>
    <w:p w:rsidR="00037DB1" w:rsidRDefault="00B8797E" w:rsidP="001A539D">
      <w:pPr>
        <w:pStyle w:val="Text1"/>
      </w:pPr>
      <w:r>
        <w:t>Stage 2: 1 September 2020</w:t>
      </w:r>
      <w:r w:rsidR="0081158C">
        <w:t>; and</w:t>
      </w:r>
    </w:p>
    <w:p w:rsidR="00037DB1" w:rsidRDefault="00B8797E" w:rsidP="001A539D">
      <w:pPr>
        <w:pStyle w:val="Text1"/>
      </w:pPr>
      <w:r>
        <w:t>Stage 3: 1 September 2024</w:t>
      </w:r>
      <w:r w:rsidR="0081158C">
        <w:t>.</w:t>
      </w:r>
    </w:p>
    <w:p w:rsidR="00037DB1" w:rsidRDefault="00037DB1" w:rsidP="001A539D">
      <w:pPr>
        <w:pStyle w:val="Text1"/>
      </w:pPr>
      <w:r>
        <w:t xml:space="preserve">Unless a requirement is superseded or </w:t>
      </w:r>
      <w:r w:rsidR="0081158C">
        <w:t>it</w:t>
      </w:r>
      <w:r>
        <w:t xml:space="preserve"> is otherwise specified, it shall continue to apply together with the other requirements introduced at later stages.</w:t>
      </w:r>
    </w:p>
    <w:p w:rsidR="00547CF9" w:rsidRPr="00AE2BD7" w:rsidRDefault="00547CF9" w:rsidP="00547CF9">
      <w:pPr>
        <w:pStyle w:val="Titrearticle"/>
      </w:pPr>
      <w:r>
        <w:t>Article 4</w:t>
      </w:r>
      <w:r w:rsidRPr="00AE2BD7">
        <w:br/>
      </w:r>
      <w:r>
        <w:rPr>
          <w:b/>
          <w:i w:val="0"/>
        </w:rPr>
        <w:t>Conformity assessment</w:t>
      </w:r>
    </w:p>
    <w:p w:rsidR="00547CF9" w:rsidRDefault="00547CF9" w:rsidP="00C4303A">
      <w:r>
        <w:t>The conformity assessment procedure referred to in Article 8 of Directive 2009/125/EC shall be the internal design control set out in Annex IV to that Directive or the management system set out in Annex V to the same Directive.</w:t>
      </w:r>
    </w:p>
    <w:p w:rsidR="00547CF9" w:rsidRDefault="00547CF9" w:rsidP="00C4303A">
      <w:r>
        <w:t>For the purposes of conformity assessment pursuant to Article 8 of Directive 2009/125/EC, the technical documentation file shall:</w:t>
      </w:r>
    </w:p>
    <w:p w:rsidR="00547CF9" w:rsidRDefault="00547CF9" w:rsidP="0013333B">
      <w:pPr>
        <w:pStyle w:val="Point1letter"/>
        <w:numPr>
          <w:ilvl w:val="3"/>
          <w:numId w:val="30"/>
        </w:numPr>
      </w:pPr>
      <w:r>
        <w:t xml:space="preserve">contain a copy of the product information provided in accordance </w:t>
      </w:r>
      <w:r w:rsidR="002D1F4B">
        <w:t>with Annex III</w:t>
      </w:r>
      <w:r>
        <w:t>;</w:t>
      </w:r>
    </w:p>
    <w:p w:rsidR="00547CF9" w:rsidRDefault="00547CF9" w:rsidP="0013333B">
      <w:pPr>
        <w:pStyle w:val="Point1letter"/>
        <w:numPr>
          <w:ilvl w:val="3"/>
          <w:numId w:val="30"/>
        </w:numPr>
      </w:pPr>
      <w:r>
        <w:t>provide any other information required by this Regulation to be present in the technical documentation file;</w:t>
      </w:r>
    </w:p>
    <w:p w:rsidR="00547CF9" w:rsidRDefault="00547CF9" w:rsidP="0013333B">
      <w:pPr>
        <w:pStyle w:val="Point1letter"/>
        <w:numPr>
          <w:ilvl w:val="3"/>
          <w:numId w:val="30"/>
        </w:numPr>
      </w:pPr>
      <w:proofErr w:type="gramStart"/>
      <w:r>
        <w:t>specify</w:t>
      </w:r>
      <w:proofErr w:type="gramEnd"/>
      <w:r>
        <w:t xml:space="preserve"> at least one realistic combination of product settings and conditions in which the product complies with this Regulation.</w:t>
      </w:r>
    </w:p>
    <w:p w:rsidR="00547CF9" w:rsidRDefault="00547CF9" w:rsidP="00547CF9">
      <w:pPr>
        <w:pStyle w:val="Titrearticle"/>
        <w:rPr>
          <w:b/>
          <w:i w:val="0"/>
        </w:rPr>
      </w:pPr>
      <w:r>
        <w:t>Article 5</w:t>
      </w:r>
      <w:r w:rsidRPr="00AE2BD7">
        <w:br/>
      </w:r>
      <w:r>
        <w:rPr>
          <w:b/>
          <w:i w:val="0"/>
        </w:rPr>
        <w:t>Verification procedure for market surveillance purposes</w:t>
      </w:r>
    </w:p>
    <w:p w:rsidR="00547CF9" w:rsidRPr="00547CF9" w:rsidRDefault="00547CF9" w:rsidP="00547CF9">
      <w:r w:rsidRPr="00547CF9">
        <w:t>Member States shall apply the verification procedure described in Annex IV to this Regulation when performing the market surveillance checks referred to in Article 3(2) of Directive 2009/125/EC.</w:t>
      </w:r>
    </w:p>
    <w:p w:rsidR="00547CF9" w:rsidRPr="00547CF9" w:rsidRDefault="00547CF9" w:rsidP="00547CF9">
      <w:pPr>
        <w:pStyle w:val="Titrearticle"/>
        <w:rPr>
          <w:b/>
          <w:i w:val="0"/>
        </w:rPr>
      </w:pPr>
      <w:r w:rsidRPr="00547CF9">
        <w:lastRenderedPageBreak/>
        <w:t>Article 6</w:t>
      </w:r>
      <w:r w:rsidRPr="00547CF9">
        <w:br/>
      </w:r>
      <w:r w:rsidRPr="00547CF9">
        <w:rPr>
          <w:b/>
          <w:i w:val="0"/>
        </w:rPr>
        <w:t>Indicative benchmarks</w:t>
      </w:r>
    </w:p>
    <w:p w:rsidR="00547CF9" w:rsidRDefault="00547CF9" w:rsidP="00547CF9">
      <w:r w:rsidRPr="00547CF9">
        <w:t xml:space="preserve">The indicative benchmarks for the best-performing products and technologies available on the market at the time of adopting this Regulation are set out in Annex </w:t>
      </w:r>
      <w:r w:rsidR="0081158C">
        <w:t>V</w:t>
      </w:r>
      <w:r w:rsidRPr="00547CF9">
        <w:t>.</w:t>
      </w:r>
    </w:p>
    <w:p w:rsidR="00547CF9" w:rsidRPr="00547CF9" w:rsidRDefault="00547CF9" w:rsidP="00547CF9">
      <w:pPr>
        <w:pStyle w:val="Titrearticle"/>
        <w:rPr>
          <w:b/>
          <w:i w:val="0"/>
        </w:rPr>
      </w:pPr>
      <w:r w:rsidRPr="00547CF9">
        <w:t xml:space="preserve">Article </w:t>
      </w:r>
      <w:r>
        <w:t>7</w:t>
      </w:r>
      <w:r w:rsidRPr="00547CF9">
        <w:br/>
      </w:r>
      <w:r>
        <w:rPr>
          <w:b/>
          <w:i w:val="0"/>
        </w:rPr>
        <w:t>Repeal</w:t>
      </w:r>
    </w:p>
    <w:p w:rsidR="00FB3B8F" w:rsidRPr="00FB3B8F" w:rsidRDefault="00FB3B8F" w:rsidP="00FB3B8F">
      <w:pPr>
        <w:rPr>
          <w:b/>
        </w:rPr>
      </w:pPr>
      <w:r>
        <w:t>The following Commission Regulations shall be repealed:</w:t>
      </w:r>
    </w:p>
    <w:p w:rsidR="00547CF9" w:rsidRDefault="00547CF9" w:rsidP="006C76B0">
      <w:pPr>
        <w:pStyle w:val="Tiret0"/>
      </w:pPr>
      <w:r>
        <w:t>Commission Regulation (EC) No 244/2009</w:t>
      </w:r>
      <w:r w:rsidR="00FB3B8F">
        <w:t>;</w:t>
      </w:r>
    </w:p>
    <w:p w:rsidR="00547CF9" w:rsidRPr="00547CF9" w:rsidRDefault="00547CF9" w:rsidP="006C76B0">
      <w:pPr>
        <w:pStyle w:val="Tiret0"/>
      </w:pPr>
      <w:r>
        <w:t>Commission Regulation (EC) No 245/2009</w:t>
      </w:r>
      <w:r w:rsidR="00FB3B8F">
        <w:t>;</w:t>
      </w:r>
      <w:r w:rsidR="006C76B0">
        <w:t xml:space="preserve"> and</w:t>
      </w:r>
    </w:p>
    <w:p w:rsidR="00547CF9" w:rsidRDefault="00547CF9" w:rsidP="006C76B0">
      <w:pPr>
        <w:pStyle w:val="Tiret0"/>
      </w:pPr>
      <w:r>
        <w:t>Commission Regulation (EU) No 1194/2012</w:t>
      </w:r>
      <w:r w:rsidR="00FB3B8F">
        <w:t>.</w:t>
      </w:r>
    </w:p>
    <w:p w:rsidR="00547CF9" w:rsidRPr="00547CF9" w:rsidRDefault="00547CF9" w:rsidP="00547CF9">
      <w:pPr>
        <w:pStyle w:val="Titrearticle"/>
        <w:rPr>
          <w:b/>
          <w:i w:val="0"/>
        </w:rPr>
      </w:pPr>
      <w:r w:rsidRPr="00547CF9">
        <w:t xml:space="preserve">Article </w:t>
      </w:r>
      <w:r>
        <w:t>8</w:t>
      </w:r>
      <w:r w:rsidRPr="00547CF9">
        <w:br/>
      </w:r>
      <w:r w:rsidR="00491C76">
        <w:rPr>
          <w:b/>
          <w:i w:val="0"/>
        </w:rPr>
        <w:t>Review</w:t>
      </w:r>
    </w:p>
    <w:p w:rsidR="00547CF9" w:rsidRDefault="00547CF9" w:rsidP="00547CF9">
      <w:r w:rsidRPr="00AE2BD7">
        <w:t xml:space="preserve">The Commission shall </w:t>
      </w:r>
      <w:r w:rsidR="00491C76">
        <w:t>review</w:t>
      </w:r>
      <w:r w:rsidRPr="00AE2BD7">
        <w:t xml:space="preserve"> this Regulation no later than </w:t>
      </w:r>
      <w:r w:rsidR="00C54292">
        <w:t>1 September 2025</w:t>
      </w:r>
      <w:r w:rsidRPr="00AE2BD7">
        <w:t xml:space="preserve"> and shall present the results</w:t>
      </w:r>
      <w:r>
        <w:t xml:space="preserve"> to the </w:t>
      </w:r>
      <w:proofErr w:type="spellStart"/>
      <w:r w:rsidR="00DF3BB9">
        <w:t>Ecodesign</w:t>
      </w:r>
      <w:proofErr w:type="spellEnd"/>
      <w:r w:rsidR="00DF3BB9">
        <w:t xml:space="preserve"> </w:t>
      </w:r>
      <w:r>
        <w:t>Consultation Forum.</w:t>
      </w:r>
    </w:p>
    <w:p w:rsidR="00C54292" w:rsidRPr="00547CF9" w:rsidRDefault="00C54292" w:rsidP="00C54292">
      <w:pPr>
        <w:pStyle w:val="Titrearticle"/>
        <w:rPr>
          <w:b/>
          <w:i w:val="0"/>
        </w:rPr>
      </w:pPr>
      <w:r w:rsidRPr="00547CF9">
        <w:t xml:space="preserve">Article </w:t>
      </w:r>
      <w:r w:rsidR="0099786F">
        <w:t>9</w:t>
      </w:r>
      <w:r w:rsidRPr="00547CF9">
        <w:br/>
      </w:r>
      <w:r>
        <w:rPr>
          <w:b/>
          <w:i w:val="0"/>
        </w:rPr>
        <w:t>Entry into force</w:t>
      </w:r>
    </w:p>
    <w:p w:rsidR="002122F2" w:rsidRDefault="002122F2" w:rsidP="001C3314">
      <w:r w:rsidRPr="00A01AA1">
        <w:t xml:space="preserve">This Regulation shall enter into force on the </w:t>
      </w:r>
      <w:bookmarkStart w:id="1" w:name="DQCErrorScope4C40A1F752174858BDA49CD15FB"/>
      <w:r w:rsidR="00C54292" w:rsidRPr="00C54292">
        <w:rPr>
          <w:rStyle w:val="Marker"/>
          <w:color w:val="000000" w:themeColor="text1"/>
        </w:rPr>
        <w:t xml:space="preserve">twentieth </w:t>
      </w:r>
      <w:bookmarkEnd w:id="1"/>
      <w:r w:rsidRPr="00A01AA1">
        <w:t xml:space="preserve">day following that of its publication in the </w:t>
      </w:r>
      <w:r w:rsidRPr="00A01AA1">
        <w:rPr>
          <w:i/>
        </w:rPr>
        <w:t>Official Journal of the European Union</w:t>
      </w:r>
      <w:r w:rsidRPr="00A01AA1">
        <w:t>.</w:t>
      </w:r>
    </w:p>
    <w:p w:rsidR="0099786F" w:rsidRPr="00A01AA1" w:rsidRDefault="0099786F" w:rsidP="001C3314">
      <w:r>
        <w:t>It sh</w:t>
      </w:r>
      <w:r w:rsidR="00656494">
        <w:t>all apply from 1 September 2018, except for Article 3 (1) which shall apply from its entry into force.</w:t>
      </w:r>
    </w:p>
    <w:p w:rsidR="002122F2" w:rsidRDefault="002122F2" w:rsidP="00F404D5">
      <w:pPr>
        <w:pStyle w:val="Applicationdirecte"/>
      </w:pPr>
      <w:r w:rsidRPr="00A01AA1">
        <w:t>This Regulation shall be binding in its entirety and directly applicable in all Member States.</w:t>
      </w:r>
    </w:p>
    <w:p w:rsidR="002122F2" w:rsidRDefault="00491C76" w:rsidP="00491C76">
      <w:pPr>
        <w:pStyle w:val="Fait"/>
      </w:pPr>
      <w:r w:rsidRPr="00491C76">
        <w:t>Done at Brussels,</w:t>
      </w:r>
    </w:p>
    <w:p w:rsidR="002122F2" w:rsidRDefault="002122F2" w:rsidP="002122F2">
      <w:pPr>
        <w:pStyle w:val="Institutionquisigne"/>
      </w:pPr>
      <w:r w:rsidRPr="002122F2">
        <w:tab/>
        <w:t>For the Commission</w:t>
      </w:r>
    </w:p>
    <w:p w:rsidR="003F5A03" w:rsidRDefault="002122F2" w:rsidP="003F5A03">
      <w:pPr>
        <w:pStyle w:val="Personnequisigne"/>
        <w:rPr>
          <w:rStyle w:val="Marker"/>
        </w:rPr>
        <w:sectPr w:rsidR="003F5A03" w:rsidSect="00491C76">
          <w:footerReference w:type="default" r:id="rId11"/>
          <w:footerReference w:type="first" r:id="rId12"/>
          <w:pgSz w:w="11907" w:h="16839"/>
          <w:pgMar w:top="1134" w:right="1417" w:bottom="1134" w:left="1417" w:header="709" w:footer="709" w:gutter="0"/>
          <w:cols w:space="720"/>
          <w:docGrid w:linePitch="360"/>
        </w:sectPr>
      </w:pPr>
      <w:r w:rsidRPr="002122F2">
        <w:tab/>
        <w:t>The President</w:t>
      </w:r>
      <w:r w:rsidRPr="002122F2">
        <w:br/>
      </w:r>
      <w:r w:rsidRPr="002122F2">
        <w:tab/>
      </w:r>
      <w:r w:rsidRPr="002122F2">
        <w:rPr>
          <w:rStyle w:val="Marker"/>
        </w:rPr>
        <w:t>[…]</w:t>
      </w:r>
    </w:p>
    <w:p w:rsidR="003F5A03" w:rsidRPr="003F5A03" w:rsidRDefault="003F5A03" w:rsidP="003F5A03">
      <w:pPr>
        <w:pStyle w:val="Annexetitre"/>
        <w:rPr>
          <w:u w:val="none"/>
        </w:rPr>
      </w:pPr>
      <w:bookmarkStart w:id="2" w:name="DQCErrorScope25E02A97F3A448838C06AB2BE20"/>
      <w:bookmarkStart w:id="3" w:name="DQCErrorScope1CEEC0DB62054EAAA231944E747"/>
      <w:r w:rsidRPr="003F5A03">
        <w:rPr>
          <w:b w:val="0"/>
          <w:i/>
          <w:u w:val="none"/>
        </w:rPr>
        <w:lastRenderedPageBreak/>
        <w:t xml:space="preserve">ANNEX </w:t>
      </w:r>
      <w:proofErr w:type="gramStart"/>
      <w:r w:rsidRPr="003F5A03">
        <w:rPr>
          <w:b w:val="0"/>
          <w:i/>
          <w:u w:val="none"/>
        </w:rPr>
        <w:t>I</w:t>
      </w:r>
      <w:proofErr w:type="gramEnd"/>
      <w:r w:rsidRPr="003F5A03">
        <w:rPr>
          <w:u w:val="none"/>
        </w:rPr>
        <w:br/>
      </w:r>
      <w:r w:rsidR="009E1669">
        <w:rPr>
          <w:u w:val="none"/>
        </w:rPr>
        <w:t xml:space="preserve">Definitions for the purposes of Annexes II to </w:t>
      </w:r>
      <w:bookmarkEnd w:id="2"/>
      <w:r w:rsidR="00C24AC1">
        <w:rPr>
          <w:u w:val="none"/>
        </w:rPr>
        <w:t>V</w:t>
      </w:r>
    </w:p>
    <w:bookmarkEnd w:id="3"/>
    <w:p w:rsidR="009E1669" w:rsidRDefault="000E0247" w:rsidP="009E1669">
      <w:r w:rsidRPr="000E0247">
        <w:t>For the purposes of Annexes I</w:t>
      </w:r>
      <w:r>
        <w:t xml:space="preserve">I to </w:t>
      </w:r>
      <w:r w:rsidR="00C24AC1">
        <w:t>V</w:t>
      </w:r>
      <w:r w:rsidRPr="000E0247">
        <w:t>, the following definitions shall apply:</w:t>
      </w:r>
    </w:p>
    <w:p w:rsidR="004861E3" w:rsidRDefault="004861E3" w:rsidP="0013333B">
      <w:pPr>
        <w:pStyle w:val="Point0number"/>
        <w:numPr>
          <w:ilvl w:val="0"/>
          <w:numId w:val="37"/>
        </w:numPr>
      </w:pPr>
      <w:r>
        <w:t>'</w:t>
      </w:r>
      <w:proofErr w:type="gramStart"/>
      <w:r>
        <w:t>lighting</w:t>
      </w:r>
      <w:proofErr w:type="gramEnd"/>
      <w:r>
        <w:t xml:space="preserve"> part' means a </w:t>
      </w:r>
      <w:r w:rsidRPr="004861E3">
        <w:t>lighting product component falling primarily und</w:t>
      </w:r>
      <w:r w:rsidR="002D6665">
        <w:t>er the definition of Article 2 (10</w:t>
      </w:r>
      <w:r w:rsidR="006806B6">
        <w:t>)</w:t>
      </w:r>
      <w:r w:rsidRPr="004861E3">
        <w:t xml:space="preserve"> (a)</w:t>
      </w:r>
      <w:r w:rsidR="002D6665">
        <w:t>.</w:t>
      </w:r>
    </w:p>
    <w:p w:rsidR="006806B6" w:rsidRDefault="004861E3" w:rsidP="0013333B">
      <w:pPr>
        <w:pStyle w:val="Point0number"/>
      </w:pPr>
      <w:r>
        <w:t>'</w:t>
      </w:r>
      <w:proofErr w:type="gramStart"/>
      <w:r>
        <w:t>auxiliary</w:t>
      </w:r>
      <w:proofErr w:type="gramEnd"/>
      <w:r>
        <w:t xml:space="preserve"> part' means a </w:t>
      </w:r>
      <w:r w:rsidRPr="004861E3">
        <w:t>lighting product component falling primarily under the definition of Article 2 (10) (</w:t>
      </w:r>
      <w:r>
        <w:t>b</w:t>
      </w:r>
      <w:r w:rsidRPr="004861E3">
        <w:t>)</w:t>
      </w:r>
      <w:r>
        <w:t xml:space="preserve"> or Article 2 (10) </w:t>
      </w:r>
      <w:r w:rsidRPr="004861E3">
        <w:t>(</w:t>
      </w:r>
      <w:r>
        <w:t>c</w:t>
      </w:r>
      <w:r w:rsidRPr="004861E3">
        <w:t>)</w:t>
      </w:r>
      <w:r w:rsidR="006806B6">
        <w:t>.</w:t>
      </w:r>
    </w:p>
    <w:p w:rsidR="006806B6" w:rsidRDefault="006806B6" w:rsidP="0013333B">
      <w:pPr>
        <w:pStyle w:val="Point0number"/>
      </w:pPr>
      <w:r>
        <w:t>'</w:t>
      </w:r>
      <w:proofErr w:type="gramStart"/>
      <w:r>
        <w:t>power</w:t>
      </w:r>
      <w:proofErr w:type="gramEnd"/>
      <w:r>
        <w:t xml:space="preserve"> factor' (PF) means the</w:t>
      </w:r>
      <w:r w:rsidRPr="000973DE">
        <w:t xml:space="preserve"> ratio of the </w:t>
      </w:r>
      <w:r>
        <w:t xml:space="preserve">real </w:t>
      </w:r>
      <w:r w:rsidRPr="000973DE">
        <w:t>power flowing to the load to the appar</w:t>
      </w:r>
      <w:r>
        <w:t>ent power in the circuit in an alternative current electrical power system.</w:t>
      </w:r>
    </w:p>
    <w:p w:rsidR="006806B6" w:rsidRPr="006806B6" w:rsidRDefault="006806B6" w:rsidP="0013333B">
      <w:pPr>
        <w:pStyle w:val="Point0number"/>
      </w:pPr>
      <w:r w:rsidRPr="006806B6">
        <w:t>'</w:t>
      </w:r>
      <w:proofErr w:type="gramStart"/>
      <w:r w:rsidRPr="006806B6">
        <w:t>stabilised</w:t>
      </w:r>
      <w:proofErr w:type="gramEnd"/>
      <w:r w:rsidRPr="006806B6">
        <w:t xml:space="preserve"> luminous flux' </w:t>
      </w:r>
      <w:r>
        <w:t>is the luminous flux</w:t>
      </w:r>
      <w:r w:rsidR="00BD6396">
        <w:t xml:space="preserve"> emitted by a lighting product or lighting part after 10</w:t>
      </w:r>
      <w:r w:rsidR="00BD6396" w:rsidRPr="001A5AF2">
        <w:rPr>
          <w:i/>
        </w:rPr>
        <w:t>h</w:t>
      </w:r>
      <w:r w:rsidR="00BD6396">
        <w:t xml:space="preserve"> of continuous operation.</w:t>
      </w:r>
    </w:p>
    <w:p w:rsidR="006806B6" w:rsidRDefault="006806B6" w:rsidP="0013333B">
      <w:pPr>
        <w:pStyle w:val="Point0number"/>
      </w:pPr>
      <w:r>
        <w:t>'warm-up time' (</w:t>
      </w:r>
      <w:proofErr w:type="spellStart"/>
      <w:r>
        <w:t>t</w:t>
      </w:r>
      <w:r w:rsidRPr="001A5AF2">
        <w:rPr>
          <w:vertAlign w:val="subscript"/>
        </w:rPr>
        <w:t>wu</w:t>
      </w:r>
      <w:proofErr w:type="spellEnd"/>
      <w:r>
        <w:t>) means the elapsed time for a lighting product or lighting part to emit 60% of the stabilised luminous flux.</w:t>
      </w:r>
    </w:p>
    <w:p w:rsidR="006806B6" w:rsidRDefault="006806B6" w:rsidP="0013333B">
      <w:pPr>
        <w:pStyle w:val="Point0number"/>
      </w:pPr>
      <w:r>
        <w:t>'</w:t>
      </w:r>
      <w:proofErr w:type="gramStart"/>
      <w:r>
        <w:t>lumen</w:t>
      </w:r>
      <w:proofErr w:type="gramEnd"/>
      <w:r>
        <w:t xml:space="preserve"> deterioration' (</w:t>
      </w:r>
      <w:proofErr w:type="spellStart"/>
      <w:r w:rsidRPr="0025356A">
        <w:t>Φ</w:t>
      </w:r>
      <w:r w:rsidRPr="001A5AF2">
        <w:rPr>
          <w:vertAlign w:val="subscript"/>
        </w:rPr>
        <w:t>det</w:t>
      </w:r>
      <w:proofErr w:type="spellEnd"/>
      <w:r>
        <w:t xml:space="preserve">) means the </w:t>
      </w:r>
      <w:r w:rsidR="00BD6396">
        <w:t>difference of the</w:t>
      </w:r>
      <w:r>
        <w:t xml:space="preserve"> </w:t>
      </w:r>
      <w:r w:rsidR="00BD6396">
        <w:t xml:space="preserve">luminous flux compared with the </w:t>
      </w:r>
      <w:r w:rsidRPr="006806B6">
        <w:t>stabilised luminous flux</w:t>
      </w:r>
      <w:r w:rsidR="00306823">
        <w:t>.</w:t>
      </w:r>
    </w:p>
    <w:p w:rsidR="00BD6396" w:rsidRDefault="00BD6396" w:rsidP="008B3B0A">
      <w:pPr>
        <w:pStyle w:val="Point0number"/>
      </w:pPr>
      <w:r>
        <w:t>'</w:t>
      </w:r>
      <w:proofErr w:type="gramStart"/>
      <w:r>
        <w:t>failure</w:t>
      </w:r>
      <w:proofErr w:type="gramEnd"/>
      <w:r>
        <w:t xml:space="preserve"> rate' (F</w:t>
      </w:r>
      <w:r w:rsidRPr="001A5AF2">
        <w:rPr>
          <w:vertAlign w:val="subscript"/>
        </w:rPr>
        <w:t>r</w:t>
      </w:r>
      <w:r>
        <w:t>) means the fraction of products or components, which stopped operation</w:t>
      </w:r>
      <w:r w:rsidR="00594F14">
        <w:t xml:space="preserve"> during a certain amount of time</w:t>
      </w:r>
      <w:r>
        <w:t>.</w:t>
      </w:r>
    </w:p>
    <w:p w:rsidR="00DA4610" w:rsidRDefault="008B3B0A" w:rsidP="00DA4610">
      <w:pPr>
        <w:pStyle w:val="Point0number"/>
      </w:pPr>
      <w:r>
        <w:t>'flicker</w:t>
      </w:r>
      <w:r w:rsidR="0013333B">
        <w:t xml:space="preserve"> index</w:t>
      </w:r>
      <w:r>
        <w:t>' (</w:t>
      </w:r>
      <w:r w:rsidR="0013333B">
        <w:t>I</w:t>
      </w:r>
      <w:r w:rsidR="0013333B">
        <w:rPr>
          <w:vertAlign w:val="subscript"/>
        </w:rPr>
        <w:t>F</w:t>
      </w:r>
      <w:r>
        <w:t>) means the</w:t>
      </w:r>
      <w:r w:rsidR="0013333B">
        <w:t xml:space="preserve"> </w:t>
      </w:r>
      <w:r w:rsidR="00E07D11">
        <w:t xml:space="preserve">variation in luminous flux, measured as the luminous flux above the </w:t>
      </w:r>
      <w:r w:rsidR="00E07D11" w:rsidRPr="006806B6">
        <w:t>stabilised luminous flux</w:t>
      </w:r>
      <w:r w:rsidR="00E07D11">
        <w:t xml:space="preserve"> divided by the </w:t>
      </w:r>
      <w:r w:rsidR="00E07D11" w:rsidRPr="006806B6">
        <w:t>stabilised luminous flux</w:t>
      </w:r>
      <w:r w:rsidR="003D71F6">
        <w:t xml:space="preserve"> during a 0,02</w:t>
      </w:r>
      <w:r w:rsidR="003D71F6">
        <w:rPr>
          <w:i/>
        </w:rPr>
        <w:t>s</w:t>
      </w:r>
      <w:r w:rsidR="003D71F6">
        <w:t xml:space="preserve"> electricity switching cycle</w:t>
      </w:r>
      <w:r w:rsidR="00A16360">
        <w:t xml:space="preserve"> and presented in per cent</w:t>
      </w:r>
      <w:r w:rsidR="00E07D11">
        <w:t>.</w:t>
      </w:r>
    </w:p>
    <w:p w:rsidR="00DA4610" w:rsidRDefault="00DA4610" w:rsidP="00DA4610">
      <w:pPr>
        <w:pStyle w:val="Point0number"/>
      </w:pPr>
      <w:r>
        <w:t>'</w:t>
      </w:r>
      <w:proofErr w:type="gramStart"/>
      <w:r w:rsidR="005466A4">
        <w:t>accelerated</w:t>
      </w:r>
      <w:proofErr w:type="gramEnd"/>
      <w:r>
        <w:t xml:space="preserve"> endurance testing' means the testing procedure described in Annex I</w:t>
      </w:r>
      <w:r w:rsidR="007A2FA2">
        <w:t>V</w:t>
      </w:r>
      <w:r>
        <w:t xml:space="preserve"> of this Regulation.</w:t>
      </w:r>
    </w:p>
    <w:p w:rsidR="00DA4610" w:rsidRPr="00DA4610" w:rsidRDefault="00DA4610" w:rsidP="00DA4610">
      <w:pPr>
        <w:pStyle w:val="Point0number"/>
        <w:sectPr w:rsidR="00DA4610" w:rsidRPr="00DA4610" w:rsidSect="00491C76">
          <w:pgSz w:w="11907" w:h="16839"/>
          <w:pgMar w:top="1134" w:right="1417" w:bottom="1134" w:left="1417" w:header="709" w:footer="709" w:gutter="0"/>
          <w:cols w:space="720"/>
          <w:docGrid w:linePitch="360"/>
        </w:sectPr>
      </w:pPr>
    </w:p>
    <w:p w:rsidR="009E1669" w:rsidRPr="003F5A03" w:rsidRDefault="009E1669" w:rsidP="009E1669">
      <w:pPr>
        <w:pStyle w:val="Annexetitre"/>
        <w:rPr>
          <w:u w:val="none"/>
        </w:rPr>
      </w:pPr>
      <w:bookmarkStart w:id="4" w:name="DQCErrorScope9F9B356BF37943B494A65FE55D4"/>
      <w:r w:rsidRPr="003F5A03">
        <w:rPr>
          <w:b w:val="0"/>
          <w:i/>
          <w:u w:val="none"/>
        </w:rPr>
        <w:lastRenderedPageBreak/>
        <w:t>ANNEX I</w:t>
      </w:r>
      <w:r>
        <w:rPr>
          <w:b w:val="0"/>
          <w:i/>
          <w:u w:val="none"/>
        </w:rPr>
        <w:t>I</w:t>
      </w:r>
      <w:r w:rsidRPr="003F5A03">
        <w:rPr>
          <w:u w:val="none"/>
        </w:rPr>
        <w:br/>
      </w:r>
      <w:proofErr w:type="spellStart"/>
      <w:r>
        <w:rPr>
          <w:u w:val="none"/>
        </w:rPr>
        <w:t>Ecodesign</w:t>
      </w:r>
      <w:proofErr w:type="spellEnd"/>
      <w:r>
        <w:rPr>
          <w:u w:val="none"/>
        </w:rPr>
        <w:t xml:space="preserve"> requirements</w:t>
      </w:r>
    </w:p>
    <w:p w:rsidR="009E1669" w:rsidRDefault="009E1669" w:rsidP="00DF3BB9">
      <w:pPr>
        <w:pStyle w:val="Heading1"/>
        <w:numPr>
          <w:ilvl w:val="0"/>
          <w:numId w:val="10"/>
        </w:numPr>
      </w:pPr>
      <w:bookmarkStart w:id="5" w:name="_Toc212450706"/>
      <w:bookmarkEnd w:id="4"/>
      <w:r w:rsidRPr="00AE2BD7">
        <w:t>Energy efficiency requirements</w:t>
      </w:r>
      <w:bookmarkEnd w:id="5"/>
    </w:p>
    <w:p w:rsidR="00F17E26" w:rsidRPr="00B8797E" w:rsidRDefault="00F17E26" w:rsidP="00F17E26">
      <w:pPr>
        <w:pStyle w:val="Heading2"/>
      </w:pPr>
      <w:r>
        <w:t xml:space="preserve">Lighting products and </w:t>
      </w:r>
      <w:r w:rsidR="004B44C4">
        <w:t xml:space="preserve">lighting </w:t>
      </w:r>
      <w:r>
        <w:t>parts</w:t>
      </w:r>
    </w:p>
    <w:p w:rsidR="00A402F3" w:rsidRDefault="00332B6E" w:rsidP="00F17E26">
      <w:pPr>
        <w:pStyle w:val="Heading3"/>
      </w:pPr>
      <w:r>
        <w:t>Stage 1</w:t>
      </w:r>
    </w:p>
    <w:p w:rsidR="0060589E" w:rsidRDefault="00560CAA" w:rsidP="00A402F3">
      <w:r>
        <w:t>As f</w:t>
      </w:r>
      <w:r w:rsidR="00332B6E">
        <w:t xml:space="preserve">rom </w:t>
      </w:r>
      <w:r w:rsidR="00F9258B">
        <w:t>stage</w:t>
      </w:r>
      <w:r w:rsidR="00332B6E">
        <w:t xml:space="preserve"> 1</w:t>
      </w:r>
      <w:r w:rsidR="00F9258B">
        <w:t xml:space="preserve"> onwards,</w:t>
      </w:r>
      <w:r w:rsidR="0060589E">
        <w:t xml:space="preserve"> the following </w:t>
      </w:r>
      <w:r w:rsidR="004703D6">
        <w:t xml:space="preserve">energy efficiency </w:t>
      </w:r>
      <w:r w:rsidR="0060589E">
        <w:t>requirements shall apply</w:t>
      </w:r>
      <w:r w:rsidR="00F17E26">
        <w:t xml:space="preserve"> to lighting products and </w:t>
      </w:r>
      <w:r w:rsidR="004B44C4">
        <w:t xml:space="preserve">lighting </w:t>
      </w:r>
      <w:r w:rsidR="00F17E26">
        <w:t>parts</w:t>
      </w:r>
      <w:r w:rsidR="0060589E">
        <w:t>:</w:t>
      </w:r>
    </w:p>
    <w:p w:rsidR="00A402F3" w:rsidRDefault="002D6665" w:rsidP="0013333B">
      <w:pPr>
        <w:pStyle w:val="Point0number"/>
        <w:numPr>
          <w:ilvl w:val="0"/>
          <w:numId w:val="36"/>
        </w:numPr>
      </w:pPr>
      <w:r>
        <w:t>T</w:t>
      </w:r>
      <w:r w:rsidR="003267A3">
        <w:t xml:space="preserve">he </w:t>
      </w:r>
      <w:r w:rsidR="0085142A">
        <w:t xml:space="preserve">maximum allowed </w:t>
      </w:r>
      <w:r w:rsidR="00A402F3">
        <w:t>rated power consumption</w:t>
      </w:r>
      <w:r w:rsidR="00F9258B">
        <w:t xml:space="preserve"> </w:t>
      </w:r>
      <w:r w:rsidR="000973DE">
        <w:t>(</w:t>
      </w:r>
      <w:proofErr w:type="spellStart"/>
      <w:r w:rsidR="00F9258B">
        <w:t>P</w:t>
      </w:r>
      <w:r w:rsidR="00F9258B" w:rsidRPr="001A5AF2">
        <w:rPr>
          <w:vertAlign w:val="subscript"/>
        </w:rPr>
        <w:t>on</w:t>
      </w:r>
      <w:proofErr w:type="spellEnd"/>
      <w:r w:rsidR="0060589E">
        <w:t xml:space="preserve">) shall be in full-load mode </w:t>
      </w:r>
      <w:r w:rsidR="0060589E" w:rsidRPr="001A5AF2">
        <w:rPr>
          <w:rFonts w:eastAsiaTheme="minorEastAsia"/>
        </w:rPr>
        <w:t>for a rated luminous flux</w:t>
      </w:r>
      <w:r w:rsidR="0060589E">
        <w:t xml:space="preserve"> and colour rendering index</w:t>
      </w:r>
      <w:r w:rsidR="00332B6E">
        <w:t>:</w:t>
      </w:r>
    </w:p>
    <w:p w:rsidR="002D6665" w:rsidRPr="001A5AF2" w:rsidRDefault="00233498" w:rsidP="001A5AF2">
      <w:pPr>
        <w:pStyle w:val="Point0number"/>
        <w:numPr>
          <w:ilvl w:val="0"/>
          <w:numId w:val="0"/>
        </w:numPr>
        <w:ind w:left="850"/>
        <w:rPr>
          <w:rFonts w:eastAsiaTheme="minorEastAsia"/>
          <w:sz w:val="22"/>
        </w:rPr>
      </w:pPr>
      <m:oMathPara>
        <m:oMathParaPr>
          <m:jc m:val="center"/>
        </m:oMathParaP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on</m:t>
              </m:r>
            </m:sub>
          </m:sSub>
          <m:r>
            <w:rPr>
              <w:rFonts w:ascii="Cambria Math" w:hAnsi="Cambria Math"/>
              <w:sz w:val="22"/>
            </w:rPr>
            <m:t>=(2+</m:t>
          </m:r>
          <m:f>
            <m:fPr>
              <m:ctrlPr>
                <w:rPr>
                  <w:rFonts w:ascii="Cambria Math" w:hAnsi="Cambria Math"/>
                  <w:i/>
                  <w:sz w:val="22"/>
                </w:rPr>
              </m:ctrlPr>
            </m:fPr>
            <m:num>
              <m:r>
                <m:rPr>
                  <m:sty m:val="p"/>
                </m:rPr>
                <w:rPr>
                  <w:rFonts w:ascii="Cambria Math" w:hAnsi="Cambria Math"/>
                  <w:sz w:val="22"/>
                </w:rPr>
                <m:t>Φ</m:t>
              </m:r>
            </m:num>
            <m:den>
              <m:r>
                <w:rPr>
                  <w:rFonts w:ascii="Cambria Math" w:hAnsi="Cambria Math"/>
                  <w:sz w:val="22"/>
                </w:rPr>
                <m:t>60lm</m:t>
              </m:r>
            </m:den>
          </m:f>
          <m:r>
            <w:rPr>
              <w:rFonts w:ascii="Cambria Math" w:hAnsi="Cambria Math"/>
              <w:sz w:val="22"/>
            </w:rPr>
            <m:t xml:space="preserve">)* </m:t>
          </m:r>
          <m:f>
            <m:fPr>
              <m:ctrlPr>
                <w:rPr>
                  <w:rFonts w:ascii="Cambria Math" w:hAnsi="Cambria Math"/>
                  <w:i/>
                  <w:sz w:val="22"/>
                </w:rPr>
              </m:ctrlPr>
            </m:fPr>
            <m:num>
              <m:r>
                <m:rPr>
                  <m:sty m:val="p"/>
                </m:rPr>
                <w:rPr>
                  <w:rFonts w:ascii="Cambria Math" w:hAnsi="Cambria Math"/>
                  <w:sz w:val="22"/>
                </w:rPr>
                <m:t>CRI</m:t>
              </m:r>
              <m:r>
                <w:rPr>
                  <w:rFonts w:ascii="Cambria Math" w:hAnsi="Cambria Math"/>
                  <w:sz w:val="22"/>
                </w:rPr>
                <m:t>+240</m:t>
              </m:r>
            </m:num>
            <m:den>
              <m:r>
                <w:rPr>
                  <w:rFonts w:ascii="Cambria Math" w:hAnsi="Cambria Math"/>
                  <w:sz w:val="22"/>
                </w:rPr>
                <m:t>320Ra</m:t>
              </m:r>
            </m:den>
          </m:f>
          <m:r>
            <w:rPr>
              <w:rFonts w:ascii="Cambria Math" w:eastAsiaTheme="minorEastAsia" w:hAnsi="Cambria Math"/>
              <w:sz w:val="22"/>
            </w:rPr>
            <m:t>W</m:t>
          </m:r>
        </m:oMath>
      </m:oMathPara>
    </w:p>
    <w:p w:rsidR="00332B6E" w:rsidRDefault="002D6665" w:rsidP="0013333B">
      <w:pPr>
        <w:pStyle w:val="Point0number"/>
        <w:numPr>
          <w:ilvl w:val="0"/>
          <w:numId w:val="36"/>
        </w:numPr>
      </w:pPr>
      <w:r>
        <w:t>T</w:t>
      </w:r>
      <w:r w:rsidR="00332B6E" w:rsidRPr="004D1AC7">
        <w:t xml:space="preserve">he maximum allowed rated power consumption in </w:t>
      </w:r>
      <w:r w:rsidR="00332B6E">
        <w:t>stand-by</w:t>
      </w:r>
      <w:r w:rsidR="00332B6E" w:rsidRPr="004D1AC7">
        <w:t xml:space="preserve"> mode</w:t>
      </w:r>
      <w:r w:rsidR="000973DE">
        <w:t xml:space="preserve"> (</w:t>
      </w:r>
      <w:proofErr w:type="spellStart"/>
      <w:r w:rsidR="000973DE">
        <w:t>P</w:t>
      </w:r>
      <w:r w:rsidR="000973DE" w:rsidRPr="001A5AF2">
        <w:rPr>
          <w:vertAlign w:val="subscript"/>
        </w:rPr>
        <w:t>sb</w:t>
      </w:r>
      <w:proofErr w:type="spellEnd"/>
      <w:r w:rsidR="000973DE">
        <w:t>)</w:t>
      </w:r>
      <w:r w:rsidR="00332B6E">
        <w:t>, if existing,</w:t>
      </w:r>
      <w:r w:rsidR="00332B6E" w:rsidRPr="004D1AC7">
        <w:t xml:space="preserve"> </w:t>
      </w:r>
      <w:r w:rsidR="00332B6E">
        <w:t>shall be</w:t>
      </w:r>
      <w:bookmarkStart w:id="6" w:name="DQCErrorScope0494F8F48ECB49EB9932D21D5D6"/>
      <w:r w:rsidR="00332B6E">
        <w:t xml:space="preserve"> </w:t>
      </w:r>
      <w:bookmarkEnd w:id="6"/>
      <w:proofErr w:type="spellStart"/>
      <w:r w:rsidR="00664CBE">
        <w:t>P</w:t>
      </w:r>
      <w:r w:rsidR="00664CBE" w:rsidRPr="00DF335E">
        <w:rPr>
          <w:vertAlign w:val="subscript"/>
        </w:rPr>
        <w:t>sb</w:t>
      </w:r>
      <w:proofErr w:type="spellEnd"/>
      <w:r w:rsidR="00664CBE">
        <w:rPr>
          <w:vertAlign w:val="subscript"/>
        </w:rPr>
        <w:t xml:space="preserve"> </w:t>
      </w:r>
      <w:r w:rsidR="00664CBE">
        <w:t>= 0,5</w:t>
      </w:r>
      <w:r w:rsidR="00664CBE">
        <w:rPr>
          <w:i/>
        </w:rPr>
        <w:t>W</w:t>
      </w:r>
      <w:r>
        <w:t>.</w:t>
      </w:r>
    </w:p>
    <w:p w:rsidR="00332B6E" w:rsidRDefault="00F17E26" w:rsidP="0013333B">
      <w:pPr>
        <w:pStyle w:val="Point0number"/>
        <w:numPr>
          <w:ilvl w:val="0"/>
          <w:numId w:val="36"/>
        </w:numPr>
      </w:pPr>
      <w:r>
        <w:t>T</w:t>
      </w:r>
      <w:r w:rsidRPr="004D1AC7">
        <w:t>he</w:t>
      </w:r>
      <w:r>
        <w:t>re</w:t>
      </w:r>
      <w:r w:rsidRPr="004D1AC7">
        <w:t xml:space="preserve"> </w:t>
      </w:r>
      <w:r>
        <w:t>shall be no</w:t>
      </w:r>
      <w:r w:rsidRPr="004D1AC7">
        <w:t xml:space="preserve"> allowed rated power consumption </w:t>
      </w:r>
      <w:r w:rsidR="00332B6E">
        <w:t>in off-mode.</w:t>
      </w:r>
    </w:p>
    <w:p w:rsidR="009E1669" w:rsidRDefault="00332B6E" w:rsidP="00F17E26">
      <w:pPr>
        <w:pStyle w:val="Heading3"/>
      </w:pPr>
      <w:r>
        <w:t>Stage 2</w:t>
      </w:r>
    </w:p>
    <w:p w:rsidR="0060589E" w:rsidRDefault="0060589E" w:rsidP="004861E3">
      <w:r>
        <w:t xml:space="preserve">As from stage 2 onwards, </w:t>
      </w:r>
      <w:r w:rsidR="004861E3">
        <w:t>the maximum allowed rated power consumption (</w:t>
      </w:r>
      <w:proofErr w:type="spellStart"/>
      <w:r w:rsidR="004861E3">
        <w:t>P</w:t>
      </w:r>
      <w:r w:rsidR="004861E3">
        <w:rPr>
          <w:vertAlign w:val="subscript"/>
        </w:rPr>
        <w:t>on</w:t>
      </w:r>
      <w:proofErr w:type="spellEnd"/>
      <w:r w:rsidR="004861E3">
        <w:t>) for a lighting product and a</w:t>
      </w:r>
      <w:r w:rsidR="004861E3" w:rsidRPr="0060589E">
        <w:t xml:space="preserve"> </w:t>
      </w:r>
      <w:r w:rsidR="004861E3">
        <w:t xml:space="preserve">lighting part shall be in full-load mode </w:t>
      </w:r>
      <w:r w:rsidR="004861E3">
        <w:rPr>
          <w:rFonts w:eastAsiaTheme="minorEastAsia"/>
        </w:rPr>
        <w:t>for a rated luminous flux</w:t>
      </w:r>
      <w:r w:rsidR="004861E3">
        <w:t xml:space="preserve"> and colour rendering index</w:t>
      </w:r>
      <w:r>
        <w:t>:</w:t>
      </w:r>
    </w:p>
    <w:p w:rsidR="00332B6E" w:rsidRPr="003267A3" w:rsidRDefault="00233498" w:rsidP="009736D8">
      <w:pPr>
        <w:rPr>
          <w:rFonts w:eastAsiaTheme="minorEastAsia"/>
          <w:sz w:val="22"/>
        </w:rPr>
      </w:pPr>
      <m:oMathPara>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on</m:t>
              </m:r>
            </m:sub>
          </m:sSub>
          <m:r>
            <w:rPr>
              <w:rFonts w:ascii="Cambria Math" w:hAnsi="Cambria Math"/>
              <w:sz w:val="22"/>
            </w:rPr>
            <m:t>=(2+</m:t>
          </m:r>
          <m:f>
            <m:fPr>
              <m:ctrlPr>
                <w:rPr>
                  <w:rFonts w:ascii="Cambria Math" w:hAnsi="Cambria Math"/>
                  <w:i/>
                  <w:sz w:val="22"/>
                </w:rPr>
              </m:ctrlPr>
            </m:fPr>
            <m:num>
              <m:r>
                <m:rPr>
                  <m:sty m:val="p"/>
                </m:rPr>
                <w:rPr>
                  <w:rFonts w:ascii="Cambria Math" w:hAnsi="Cambria Math"/>
                  <w:sz w:val="22"/>
                </w:rPr>
                <m:t>Φ</m:t>
              </m:r>
            </m:num>
            <m:den>
              <m:r>
                <w:rPr>
                  <w:rFonts w:ascii="Cambria Math" w:hAnsi="Cambria Math"/>
                  <w:sz w:val="22"/>
                </w:rPr>
                <m:t>80lm</m:t>
              </m:r>
            </m:den>
          </m:f>
          <m:r>
            <w:rPr>
              <w:rFonts w:ascii="Cambria Math" w:hAnsi="Cambria Math"/>
              <w:sz w:val="22"/>
            </w:rPr>
            <m:t xml:space="preserve">)* </m:t>
          </m:r>
          <m:f>
            <m:fPr>
              <m:ctrlPr>
                <w:rPr>
                  <w:rFonts w:ascii="Cambria Math" w:hAnsi="Cambria Math"/>
                  <w:i/>
                  <w:sz w:val="22"/>
                </w:rPr>
              </m:ctrlPr>
            </m:fPr>
            <m:num>
              <m:r>
                <m:rPr>
                  <m:sty m:val="p"/>
                </m:rPr>
                <w:rPr>
                  <w:rFonts w:ascii="Cambria Math" w:hAnsi="Cambria Math"/>
                  <w:sz w:val="22"/>
                </w:rPr>
                <m:t>CRI</m:t>
              </m:r>
              <m:r>
                <w:rPr>
                  <w:rFonts w:ascii="Cambria Math" w:hAnsi="Cambria Math"/>
                  <w:sz w:val="22"/>
                </w:rPr>
                <m:t>+240</m:t>
              </m:r>
            </m:num>
            <m:den>
              <m:r>
                <w:rPr>
                  <w:rFonts w:ascii="Cambria Math" w:hAnsi="Cambria Math"/>
                  <w:sz w:val="22"/>
                </w:rPr>
                <m:t>320Ra</m:t>
              </m:r>
            </m:den>
          </m:f>
          <m:r>
            <w:rPr>
              <w:rFonts w:ascii="Cambria Math" w:eastAsiaTheme="minorEastAsia" w:hAnsi="Cambria Math"/>
              <w:sz w:val="22"/>
            </w:rPr>
            <m:t>W</m:t>
          </m:r>
        </m:oMath>
      </m:oMathPara>
    </w:p>
    <w:p w:rsidR="009736D8" w:rsidRDefault="00332B6E" w:rsidP="00F17E26">
      <w:pPr>
        <w:pStyle w:val="Heading3"/>
      </w:pPr>
      <w:r>
        <w:t>Stage 3</w:t>
      </w:r>
    </w:p>
    <w:p w:rsidR="0060589E" w:rsidRDefault="0060589E" w:rsidP="004861E3">
      <w:r>
        <w:t xml:space="preserve">As from stage 3 onwards, </w:t>
      </w:r>
      <w:r w:rsidR="004861E3">
        <w:t>the maximum allowed rated power consumption (</w:t>
      </w:r>
      <w:proofErr w:type="spellStart"/>
      <w:r w:rsidR="004861E3">
        <w:t>P</w:t>
      </w:r>
      <w:r w:rsidR="004861E3">
        <w:rPr>
          <w:vertAlign w:val="subscript"/>
        </w:rPr>
        <w:t>on</w:t>
      </w:r>
      <w:proofErr w:type="spellEnd"/>
      <w:r w:rsidR="004861E3">
        <w:t>) for a lighting product and a</w:t>
      </w:r>
      <w:r w:rsidR="004861E3" w:rsidRPr="0060589E">
        <w:t xml:space="preserve"> </w:t>
      </w:r>
      <w:r w:rsidR="004861E3">
        <w:t xml:space="preserve">lighting part shall be in full-load mode </w:t>
      </w:r>
      <w:r w:rsidR="004861E3">
        <w:rPr>
          <w:rFonts w:eastAsiaTheme="minorEastAsia"/>
        </w:rPr>
        <w:t>for a rated luminous flux</w:t>
      </w:r>
      <w:r w:rsidR="004861E3">
        <w:t xml:space="preserve"> and colour rendering index</w:t>
      </w:r>
      <w:r>
        <w:t>:</w:t>
      </w:r>
    </w:p>
    <w:p w:rsidR="00332B6E" w:rsidRPr="00E24F8A" w:rsidRDefault="00233498" w:rsidP="00332B6E">
      <w:pPr>
        <w:rPr>
          <w:rFonts w:eastAsiaTheme="minorEastAsia"/>
          <w:sz w:val="22"/>
        </w:rPr>
      </w:pPr>
      <m:oMathPara>
        <m:oMathParaPr>
          <m:jc m:val="center"/>
        </m:oMathParaPr>
        <m:oMath>
          <m:sSub>
            <m:sSubPr>
              <m:ctrlPr>
                <w:rPr>
                  <w:rFonts w:ascii="Cambria Math" w:hAnsi="Cambria Math"/>
                  <w:sz w:val="22"/>
                </w:rPr>
              </m:ctrlPr>
            </m:sSubPr>
            <m:e>
              <m:r>
                <m:rPr>
                  <m:sty m:val="p"/>
                </m:rPr>
                <w:rPr>
                  <w:rFonts w:ascii="Cambria Math" w:hAnsi="Cambria Math"/>
                  <w:sz w:val="22"/>
                </w:rPr>
                <m:t>P</m:t>
              </m:r>
            </m:e>
            <m:sub>
              <m:r>
                <m:rPr>
                  <m:sty m:val="p"/>
                </m:rPr>
                <w:rPr>
                  <w:rFonts w:ascii="Cambria Math" w:hAnsi="Cambria Math"/>
                  <w:sz w:val="22"/>
                </w:rPr>
                <m:t>on</m:t>
              </m:r>
            </m:sub>
          </m:sSub>
          <m:r>
            <w:rPr>
              <w:rFonts w:ascii="Cambria Math" w:hAnsi="Cambria Math"/>
              <w:sz w:val="22"/>
            </w:rPr>
            <m:t>=(2+</m:t>
          </m:r>
          <m:f>
            <m:fPr>
              <m:ctrlPr>
                <w:rPr>
                  <w:rFonts w:ascii="Cambria Math" w:hAnsi="Cambria Math"/>
                  <w:i/>
                  <w:sz w:val="22"/>
                </w:rPr>
              </m:ctrlPr>
            </m:fPr>
            <m:num>
              <m:r>
                <m:rPr>
                  <m:sty m:val="p"/>
                </m:rPr>
                <w:rPr>
                  <w:rFonts w:ascii="Cambria Math" w:hAnsi="Cambria Math"/>
                  <w:sz w:val="22"/>
                </w:rPr>
                <m:t>Φ</m:t>
              </m:r>
            </m:num>
            <m:den>
              <m:r>
                <w:rPr>
                  <w:rFonts w:ascii="Cambria Math" w:hAnsi="Cambria Math"/>
                  <w:sz w:val="22"/>
                </w:rPr>
                <m:t>120lm</m:t>
              </m:r>
            </m:den>
          </m:f>
          <m:r>
            <w:rPr>
              <w:rFonts w:ascii="Cambria Math" w:hAnsi="Cambria Math"/>
              <w:sz w:val="22"/>
            </w:rPr>
            <m:t xml:space="preserve">)* </m:t>
          </m:r>
          <m:f>
            <m:fPr>
              <m:ctrlPr>
                <w:rPr>
                  <w:rFonts w:ascii="Cambria Math" w:hAnsi="Cambria Math"/>
                  <w:i/>
                  <w:sz w:val="22"/>
                </w:rPr>
              </m:ctrlPr>
            </m:fPr>
            <m:num>
              <m:r>
                <m:rPr>
                  <m:sty m:val="p"/>
                </m:rPr>
                <w:rPr>
                  <w:rFonts w:ascii="Cambria Math" w:hAnsi="Cambria Math"/>
                  <w:sz w:val="22"/>
                </w:rPr>
                <m:t>CRI</m:t>
              </m:r>
              <m:r>
                <w:rPr>
                  <w:rFonts w:ascii="Cambria Math" w:hAnsi="Cambria Math"/>
                  <w:sz w:val="22"/>
                </w:rPr>
                <m:t>+240</m:t>
              </m:r>
            </m:num>
            <m:den>
              <m:r>
                <w:rPr>
                  <w:rFonts w:ascii="Cambria Math" w:hAnsi="Cambria Math"/>
                  <w:sz w:val="22"/>
                </w:rPr>
                <m:t>320Ra</m:t>
              </m:r>
            </m:den>
          </m:f>
          <m:r>
            <w:rPr>
              <w:rFonts w:ascii="Cambria Math" w:eastAsiaTheme="minorEastAsia" w:hAnsi="Cambria Math"/>
              <w:sz w:val="22"/>
            </w:rPr>
            <m:t>W</m:t>
          </m:r>
        </m:oMath>
      </m:oMathPara>
    </w:p>
    <w:p w:rsidR="00F17E26" w:rsidRDefault="00F17E26" w:rsidP="00F17E26">
      <w:pPr>
        <w:pStyle w:val="Heading2"/>
      </w:pPr>
      <w:r>
        <w:t>Auxiliary parts</w:t>
      </w:r>
    </w:p>
    <w:p w:rsidR="00F17E26" w:rsidRDefault="00F17E26" w:rsidP="00F17E26">
      <w:r>
        <w:t xml:space="preserve">As from stage 1 onwards, the following energy efficiency requirements shall apply to </w:t>
      </w:r>
      <w:r w:rsidR="00DF335E">
        <w:t>auxiliary parts</w:t>
      </w:r>
      <w:r>
        <w:t>:</w:t>
      </w:r>
    </w:p>
    <w:p w:rsidR="00F17E26" w:rsidRDefault="00DF335E" w:rsidP="00F17E26">
      <w:pPr>
        <w:pStyle w:val="Point0number"/>
        <w:numPr>
          <w:ilvl w:val="0"/>
          <w:numId w:val="43"/>
        </w:numPr>
      </w:pPr>
      <w:r>
        <w:t xml:space="preserve">The allowed </w:t>
      </w:r>
      <w:r w:rsidR="00F17E26">
        <w:t xml:space="preserve">minimum </w:t>
      </w:r>
      <w:r>
        <w:t>energy efficiency in full-load mode shall be</w:t>
      </w:r>
      <w:r w:rsidR="00F17E26">
        <w:t xml:space="preserve"> 90%</w:t>
      </w:r>
      <w:r>
        <w:t>.</w:t>
      </w:r>
    </w:p>
    <w:p w:rsidR="00DF335E" w:rsidRDefault="00DF335E" w:rsidP="00DF335E">
      <w:pPr>
        <w:pStyle w:val="Point0number"/>
        <w:numPr>
          <w:ilvl w:val="0"/>
          <w:numId w:val="43"/>
        </w:numPr>
      </w:pPr>
      <w:r>
        <w:t>T</w:t>
      </w:r>
      <w:r w:rsidRPr="004D1AC7">
        <w:t xml:space="preserve">he maximum allowed rated power consumption in </w:t>
      </w:r>
      <w:r>
        <w:t>stand-by</w:t>
      </w:r>
      <w:r w:rsidRPr="004D1AC7">
        <w:t xml:space="preserve"> mode</w:t>
      </w:r>
      <w:r>
        <w:t xml:space="preserve"> (</w:t>
      </w:r>
      <w:proofErr w:type="spellStart"/>
      <w:r>
        <w:t>P</w:t>
      </w:r>
      <w:r w:rsidRPr="00DF335E">
        <w:rPr>
          <w:vertAlign w:val="subscript"/>
        </w:rPr>
        <w:t>sb</w:t>
      </w:r>
      <w:proofErr w:type="spellEnd"/>
      <w:r>
        <w:t>), if existing,</w:t>
      </w:r>
      <w:r w:rsidRPr="004D1AC7">
        <w:t xml:space="preserve"> </w:t>
      </w:r>
      <w:r>
        <w:t>shall be</w:t>
      </w:r>
      <w:r w:rsidR="00664CBE">
        <w:t xml:space="preserve"> </w:t>
      </w:r>
      <w:proofErr w:type="spellStart"/>
      <w:r w:rsidR="00664CBE">
        <w:t>P</w:t>
      </w:r>
      <w:r w:rsidR="00664CBE" w:rsidRPr="00DF335E">
        <w:rPr>
          <w:vertAlign w:val="subscript"/>
        </w:rPr>
        <w:t>sb</w:t>
      </w:r>
      <w:proofErr w:type="spellEnd"/>
      <w:r w:rsidR="00664CBE">
        <w:rPr>
          <w:vertAlign w:val="subscript"/>
        </w:rPr>
        <w:t xml:space="preserve"> </w:t>
      </w:r>
      <w:r w:rsidR="00664CBE">
        <w:t>= 0,5</w:t>
      </w:r>
      <w:r w:rsidR="00664CBE">
        <w:rPr>
          <w:i/>
        </w:rPr>
        <w:t>W</w:t>
      </w:r>
      <w:r>
        <w:t>.</w:t>
      </w:r>
    </w:p>
    <w:p w:rsidR="00DF335E" w:rsidRDefault="00DF335E" w:rsidP="00DF335E">
      <w:pPr>
        <w:pStyle w:val="Point0number"/>
        <w:numPr>
          <w:ilvl w:val="0"/>
          <w:numId w:val="43"/>
        </w:numPr>
      </w:pPr>
      <w:r>
        <w:t>T</w:t>
      </w:r>
      <w:r w:rsidRPr="004D1AC7">
        <w:t>he</w:t>
      </w:r>
      <w:r>
        <w:t>re</w:t>
      </w:r>
      <w:r w:rsidRPr="004D1AC7">
        <w:t xml:space="preserve"> </w:t>
      </w:r>
      <w:r>
        <w:t>shall be no</w:t>
      </w:r>
      <w:r w:rsidRPr="004D1AC7">
        <w:t xml:space="preserve"> allowed rated power consumption </w:t>
      </w:r>
      <w:r>
        <w:t>in off-mode.</w:t>
      </w:r>
    </w:p>
    <w:p w:rsidR="00447B15" w:rsidRDefault="00447B15" w:rsidP="00447B15">
      <w:pPr>
        <w:pStyle w:val="Heading1"/>
      </w:pPr>
      <w:r>
        <w:t>Functionality requirements</w:t>
      </w:r>
    </w:p>
    <w:p w:rsidR="00B8797E" w:rsidRPr="00B8797E" w:rsidRDefault="00B8797E" w:rsidP="00B8797E">
      <w:pPr>
        <w:pStyle w:val="Heading2"/>
      </w:pPr>
      <w:r>
        <w:t xml:space="preserve">Lighting products and </w:t>
      </w:r>
      <w:r w:rsidR="004B44C4">
        <w:t xml:space="preserve">lighting </w:t>
      </w:r>
      <w:r>
        <w:t>parts</w:t>
      </w:r>
    </w:p>
    <w:p w:rsidR="00AE67AF" w:rsidRDefault="0001293D" w:rsidP="00AE67AF">
      <w:r>
        <w:t>As f</w:t>
      </w:r>
      <w:r w:rsidRPr="004D1AC7">
        <w:t>rom stage</w:t>
      </w:r>
      <w:r>
        <w:t xml:space="preserve"> 1</w:t>
      </w:r>
      <w:r w:rsidRPr="004D1AC7">
        <w:t xml:space="preserve"> onwards</w:t>
      </w:r>
      <w:r>
        <w:t>, t</w:t>
      </w:r>
      <w:r w:rsidR="000973DE">
        <w:t>he</w:t>
      </w:r>
      <w:r w:rsidR="00AE67AF">
        <w:t xml:space="preserve"> following functionality requirements</w:t>
      </w:r>
      <w:r w:rsidR="00243CCB">
        <w:t xml:space="preserve"> specified in Table 1</w:t>
      </w:r>
      <w:r w:rsidR="00AE67AF">
        <w:t xml:space="preserve"> shall apply</w:t>
      </w:r>
      <w:r w:rsidR="00243CCB">
        <w:t xml:space="preserve"> for lighting products</w:t>
      </w:r>
      <w:r w:rsidR="0027135B">
        <w:t xml:space="preserve"> and </w:t>
      </w:r>
      <w:r w:rsidR="004861E3">
        <w:t>lighting parts: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2"/>
        <w:gridCol w:w="2322"/>
        <w:gridCol w:w="2322"/>
        <w:gridCol w:w="2323"/>
      </w:tblGrid>
      <w:tr w:rsidR="00560CAA" w:rsidTr="00417548">
        <w:tc>
          <w:tcPr>
            <w:tcW w:w="9289" w:type="dxa"/>
            <w:gridSpan w:val="4"/>
            <w:vAlign w:val="center"/>
          </w:tcPr>
          <w:p w:rsidR="00560CAA" w:rsidRDefault="00560CAA" w:rsidP="00560CAA">
            <w:pPr>
              <w:jc w:val="center"/>
              <w:rPr>
                <w:b/>
              </w:rPr>
            </w:pPr>
            <w:r>
              <w:rPr>
                <w:b/>
              </w:rPr>
              <w:t>Table 1</w:t>
            </w:r>
          </w:p>
          <w:p w:rsidR="00560CAA" w:rsidRPr="00560CAA" w:rsidRDefault="00560CAA" w:rsidP="00560CAA">
            <w:pPr>
              <w:jc w:val="center"/>
              <w:rPr>
                <w:i/>
              </w:rPr>
            </w:pPr>
            <w:r>
              <w:rPr>
                <w:i/>
              </w:rPr>
              <w:lastRenderedPageBreak/>
              <w:t>Functionality requirements for lighting products</w:t>
            </w:r>
            <w:r w:rsidR="0027135B">
              <w:rPr>
                <w:i/>
              </w:rPr>
              <w:t xml:space="preserve"> and certain lighting product components</w:t>
            </w:r>
          </w:p>
        </w:tc>
      </w:tr>
      <w:tr w:rsidR="00560CAA" w:rsidTr="00417548">
        <w:tc>
          <w:tcPr>
            <w:tcW w:w="2322" w:type="dxa"/>
            <w:vAlign w:val="center"/>
          </w:tcPr>
          <w:p w:rsidR="00560CAA" w:rsidRPr="00417548" w:rsidRDefault="00417548" w:rsidP="009C24E7">
            <w:pPr>
              <w:jc w:val="center"/>
              <w:rPr>
                <w:b/>
              </w:rPr>
            </w:pPr>
            <w:r w:rsidRPr="00417548">
              <w:rPr>
                <w:b/>
              </w:rPr>
              <w:lastRenderedPageBreak/>
              <w:t xml:space="preserve">Requirement depending on </w:t>
            </w:r>
            <w:r w:rsidRPr="0025356A">
              <w:t>Φ</w:t>
            </w:r>
          </w:p>
        </w:tc>
        <w:tc>
          <w:tcPr>
            <w:tcW w:w="2322" w:type="dxa"/>
            <w:vAlign w:val="center"/>
          </w:tcPr>
          <w:p w:rsidR="00560CAA" w:rsidRPr="00B60749" w:rsidRDefault="00B60749" w:rsidP="00417548">
            <w:pPr>
              <w:jc w:val="center"/>
              <w:rPr>
                <w:b/>
              </w:rPr>
            </w:pPr>
            <w:r w:rsidRPr="00B60749">
              <w:rPr>
                <w:b/>
              </w:rPr>
              <w:t>Φ ≤ 500</w:t>
            </w:r>
            <w:r w:rsidRPr="00B60749">
              <w:rPr>
                <w:b/>
                <w:i/>
              </w:rPr>
              <w:t>lm</w:t>
            </w:r>
          </w:p>
        </w:tc>
        <w:tc>
          <w:tcPr>
            <w:tcW w:w="2322" w:type="dxa"/>
            <w:vAlign w:val="center"/>
          </w:tcPr>
          <w:p w:rsidR="00560CAA" w:rsidRPr="00B60749" w:rsidRDefault="00B60749" w:rsidP="00B60749">
            <w:pPr>
              <w:jc w:val="center"/>
              <w:rPr>
                <w:b/>
                <w:sz w:val="22"/>
              </w:rPr>
            </w:pPr>
            <w:r w:rsidRPr="00B60749">
              <w:rPr>
                <w:b/>
              </w:rPr>
              <w:t>500</w:t>
            </w:r>
            <w:r w:rsidRPr="00B60749">
              <w:rPr>
                <w:b/>
                <w:i/>
              </w:rPr>
              <w:t>lm</w:t>
            </w:r>
            <w:r w:rsidRPr="00B60749">
              <w:rPr>
                <w:b/>
              </w:rPr>
              <w:t xml:space="preserve"> ≤ Φ ≤ </w:t>
            </w:r>
            <w:r>
              <w:rPr>
                <w:b/>
              </w:rPr>
              <w:t>10</w:t>
            </w:r>
            <w:r w:rsidRPr="00B60749">
              <w:rPr>
                <w:b/>
                <w:i/>
              </w:rPr>
              <w:t>klm</w:t>
            </w:r>
          </w:p>
        </w:tc>
        <w:tc>
          <w:tcPr>
            <w:tcW w:w="2323" w:type="dxa"/>
            <w:vAlign w:val="center"/>
          </w:tcPr>
          <w:p w:rsidR="00560CAA" w:rsidRPr="00B60749" w:rsidRDefault="00B60749" w:rsidP="00B60749">
            <w:pPr>
              <w:jc w:val="center"/>
              <w:rPr>
                <w:b/>
                <w:sz w:val="22"/>
              </w:rPr>
            </w:pPr>
            <w:r w:rsidRPr="00B60749">
              <w:rPr>
                <w:b/>
              </w:rPr>
              <w:t xml:space="preserve">Φ &gt; </w:t>
            </w:r>
            <w:r>
              <w:rPr>
                <w:b/>
              </w:rPr>
              <w:t>10</w:t>
            </w:r>
            <w:r w:rsidRPr="00B60749">
              <w:rPr>
                <w:b/>
                <w:i/>
              </w:rPr>
              <w:t>klm</w:t>
            </w:r>
          </w:p>
        </w:tc>
      </w:tr>
      <w:tr w:rsidR="00560CAA" w:rsidTr="009C24E7">
        <w:tc>
          <w:tcPr>
            <w:tcW w:w="2322" w:type="dxa"/>
            <w:vAlign w:val="center"/>
          </w:tcPr>
          <w:p w:rsidR="00560CAA" w:rsidRDefault="000973DE" w:rsidP="00BD6396">
            <w:pPr>
              <w:jc w:val="center"/>
            </w:pPr>
            <w:r>
              <w:t>W</w:t>
            </w:r>
            <w:r w:rsidR="009C24E7">
              <w:t>arm-up time</w:t>
            </w:r>
          </w:p>
        </w:tc>
        <w:tc>
          <w:tcPr>
            <w:tcW w:w="2322" w:type="dxa"/>
            <w:vAlign w:val="center"/>
          </w:tcPr>
          <w:p w:rsidR="00560CAA" w:rsidRPr="009C24E7" w:rsidRDefault="00B60749" w:rsidP="009C24E7">
            <w:pPr>
              <w:jc w:val="center"/>
              <w:rPr>
                <w:i/>
              </w:rPr>
            </w:pPr>
            <w:proofErr w:type="spellStart"/>
            <w:r>
              <w:t>t</w:t>
            </w:r>
            <w:r>
              <w:rPr>
                <w:vertAlign w:val="subscript"/>
              </w:rPr>
              <w:t>wu</w:t>
            </w:r>
            <w:proofErr w:type="spellEnd"/>
            <w:r>
              <w:t xml:space="preserve"> </w:t>
            </w:r>
            <w:r w:rsidR="009C24E7">
              <w:t>&lt; 1,5</w:t>
            </w:r>
            <w:r w:rsidR="009C24E7">
              <w:rPr>
                <w:i/>
              </w:rPr>
              <w:t>s</w:t>
            </w:r>
          </w:p>
        </w:tc>
        <w:tc>
          <w:tcPr>
            <w:tcW w:w="2322" w:type="dxa"/>
            <w:vAlign w:val="center"/>
          </w:tcPr>
          <w:p w:rsidR="00560CAA" w:rsidRDefault="00B60749" w:rsidP="009C24E7">
            <w:pPr>
              <w:jc w:val="center"/>
            </w:pPr>
            <w:proofErr w:type="spellStart"/>
            <w:r>
              <w:t>t</w:t>
            </w:r>
            <w:r>
              <w:rPr>
                <w:vertAlign w:val="subscript"/>
              </w:rPr>
              <w:t>wu</w:t>
            </w:r>
            <w:proofErr w:type="spellEnd"/>
            <w:r>
              <w:t xml:space="preserve"> </w:t>
            </w:r>
            <w:r w:rsidR="009C24E7">
              <w:t>&lt; 40</w:t>
            </w:r>
            <w:r w:rsidR="009C24E7">
              <w:rPr>
                <w:i/>
              </w:rPr>
              <w:t>s</w:t>
            </w:r>
          </w:p>
          <w:p w:rsidR="009C24E7" w:rsidRDefault="009C24E7" w:rsidP="009C24E7">
            <w:pPr>
              <w:jc w:val="center"/>
            </w:pPr>
            <w:r>
              <w:t>or</w:t>
            </w:r>
          </w:p>
          <w:p w:rsidR="009C24E7" w:rsidRPr="009C24E7" w:rsidRDefault="00B60749" w:rsidP="0027135B">
            <w:pPr>
              <w:jc w:val="center"/>
            </w:pPr>
            <w:proofErr w:type="spellStart"/>
            <w:r>
              <w:t>t</w:t>
            </w:r>
            <w:r>
              <w:rPr>
                <w:vertAlign w:val="subscript"/>
              </w:rPr>
              <w:t>wu</w:t>
            </w:r>
            <w:proofErr w:type="spellEnd"/>
            <w:r>
              <w:t xml:space="preserve"> </w:t>
            </w:r>
            <w:r w:rsidR="009C24E7">
              <w:t>&lt; 100</w:t>
            </w:r>
            <w:r w:rsidR="009C24E7">
              <w:rPr>
                <w:i/>
              </w:rPr>
              <w:t>s</w:t>
            </w:r>
            <w:r w:rsidR="009C24E7">
              <w:t xml:space="preserve"> </w:t>
            </w:r>
            <w:r w:rsidR="000973DE">
              <w:t xml:space="preserve">if </w:t>
            </w:r>
            <w:r w:rsidR="0027135B">
              <w:t>it</w:t>
            </w:r>
            <w:r w:rsidR="000973DE">
              <w:t xml:space="preserve"> contains</w:t>
            </w:r>
            <w:r w:rsidR="009C24E7">
              <w:t xml:space="preserve"> mercury in amalgam form</w:t>
            </w:r>
          </w:p>
        </w:tc>
        <w:tc>
          <w:tcPr>
            <w:tcW w:w="2323" w:type="dxa"/>
            <w:vAlign w:val="center"/>
          </w:tcPr>
          <w:p w:rsidR="00560CAA" w:rsidRPr="009C24E7" w:rsidRDefault="00B60749" w:rsidP="009C24E7">
            <w:pPr>
              <w:jc w:val="center"/>
              <w:rPr>
                <w:i/>
              </w:rPr>
            </w:pPr>
            <w:proofErr w:type="spellStart"/>
            <w:r>
              <w:t>t</w:t>
            </w:r>
            <w:r>
              <w:rPr>
                <w:vertAlign w:val="subscript"/>
              </w:rPr>
              <w:t>wu</w:t>
            </w:r>
            <w:proofErr w:type="spellEnd"/>
            <w:r>
              <w:t xml:space="preserve"> </w:t>
            </w:r>
            <w:r w:rsidR="009C24E7">
              <w:t>&lt; 0,5</w:t>
            </w:r>
            <w:r w:rsidR="009C24E7">
              <w:rPr>
                <w:i/>
              </w:rPr>
              <w:t>h</w:t>
            </w:r>
          </w:p>
        </w:tc>
      </w:tr>
      <w:tr w:rsidR="00560CAA" w:rsidTr="009C24E7">
        <w:tc>
          <w:tcPr>
            <w:tcW w:w="2322" w:type="dxa"/>
            <w:vAlign w:val="center"/>
          </w:tcPr>
          <w:p w:rsidR="00560CAA" w:rsidRDefault="00B60749" w:rsidP="009C24E7">
            <w:pPr>
              <w:jc w:val="center"/>
            </w:pPr>
            <w:r>
              <w:t>Colour rendering</w:t>
            </w:r>
          </w:p>
        </w:tc>
        <w:tc>
          <w:tcPr>
            <w:tcW w:w="2322" w:type="dxa"/>
            <w:vAlign w:val="center"/>
          </w:tcPr>
          <w:p w:rsidR="00560CAA" w:rsidRPr="00B60749" w:rsidRDefault="00B60749" w:rsidP="00B60749">
            <w:pPr>
              <w:jc w:val="center"/>
              <w:rPr>
                <w:i/>
              </w:rPr>
            </w:pPr>
            <w:r>
              <w:t>CRI ≥ 80</w:t>
            </w:r>
            <w:r>
              <w:rPr>
                <w:i/>
              </w:rPr>
              <w:t>Ra</w:t>
            </w:r>
          </w:p>
        </w:tc>
        <w:tc>
          <w:tcPr>
            <w:tcW w:w="2322" w:type="dxa"/>
            <w:vAlign w:val="center"/>
          </w:tcPr>
          <w:p w:rsidR="00560CAA" w:rsidRPr="00656494" w:rsidRDefault="000973DE" w:rsidP="009C24E7">
            <w:pPr>
              <w:jc w:val="center"/>
            </w:pPr>
            <w:r>
              <w:t>CRI ≥ 0</w:t>
            </w:r>
            <w:r>
              <w:rPr>
                <w:i/>
              </w:rPr>
              <w:t>Ra</w:t>
            </w:r>
            <w:r w:rsidR="00656494">
              <w:t xml:space="preserve"> </w:t>
            </w:r>
            <w:r w:rsidR="00656494" w:rsidRPr="00656494">
              <w:t>if it is intended for outdoor or industrial applications</w:t>
            </w:r>
          </w:p>
          <w:p w:rsidR="000973DE" w:rsidRDefault="000973DE" w:rsidP="009C24E7">
            <w:pPr>
              <w:jc w:val="center"/>
            </w:pPr>
            <w:r>
              <w:t>or</w:t>
            </w:r>
          </w:p>
          <w:p w:rsidR="000973DE" w:rsidRPr="00656494" w:rsidRDefault="000973DE" w:rsidP="00656494">
            <w:pPr>
              <w:jc w:val="center"/>
            </w:pPr>
            <w:r>
              <w:t>CRI ≥ 80</w:t>
            </w:r>
            <w:r>
              <w:rPr>
                <w:i/>
              </w:rPr>
              <w:t>Ra</w:t>
            </w:r>
            <w:r w:rsidR="00656494">
              <w:rPr>
                <w:i/>
              </w:rPr>
              <w:t xml:space="preserve"> </w:t>
            </w:r>
            <w:r w:rsidR="00656494">
              <w:t>otherwise</w:t>
            </w:r>
          </w:p>
        </w:tc>
        <w:tc>
          <w:tcPr>
            <w:tcW w:w="2323" w:type="dxa"/>
            <w:vAlign w:val="center"/>
          </w:tcPr>
          <w:p w:rsidR="00560CAA" w:rsidRDefault="000973DE" w:rsidP="009C24E7">
            <w:pPr>
              <w:jc w:val="center"/>
            </w:pPr>
            <w:r>
              <w:t>CRI ≥ 0</w:t>
            </w:r>
            <w:r>
              <w:rPr>
                <w:i/>
              </w:rPr>
              <w:t>Ra</w:t>
            </w:r>
          </w:p>
        </w:tc>
      </w:tr>
      <w:tr w:rsidR="00560CAA" w:rsidTr="009C24E7">
        <w:tc>
          <w:tcPr>
            <w:tcW w:w="2322" w:type="dxa"/>
            <w:vAlign w:val="center"/>
          </w:tcPr>
          <w:p w:rsidR="00560CAA" w:rsidRDefault="000973DE" w:rsidP="000973DE">
            <w:pPr>
              <w:jc w:val="center"/>
            </w:pPr>
            <w:r>
              <w:t>Power factor</w:t>
            </w:r>
          </w:p>
        </w:tc>
        <w:tc>
          <w:tcPr>
            <w:tcW w:w="2322" w:type="dxa"/>
            <w:vAlign w:val="center"/>
          </w:tcPr>
          <w:p w:rsidR="00560CAA" w:rsidRDefault="000973DE" w:rsidP="009C24E7">
            <w:pPr>
              <w:jc w:val="center"/>
            </w:pPr>
            <w:r>
              <w:t>PF ≥ 0,5</w:t>
            </w:r>
            <w:r w:rsidR="0001293D">
              <w:t>5</w:t>
            </w:r>
          </w:p>
        </w:tc>
        <w:tc>
          <w:tcPr>
            <w:tcW w:w="2322" w:type="dxa"/>
            <w:vAlign w:val="center"/>
          </w:tcPr>
          <w:p w:rsidR="00560CAA" w:rsidRDefault="000973DE" w:rsidP="009C24E7">
            <w:pPr>
              <w:jc w:val="center"/>
            </w:pPr>
            <w:r>
              <w:t>PF ≥ 0,9</w:t>
            </w:r>
          </w:p>
        </w:tc>
        <w:tc>
          <w:tcPr>
            <w:tcW w:w="2323" w:type="dxa"/>
            <w:vAlign w:val="center"/>
          </w:tcPr>
          <w:p w:rsidR="00560CAA" w:rsidRDefault="000973DE" w:rsidP="009C24E7">
            <w:pPr>
              <w:jc w:val="center"/>
            </w:pPr>
            <w:r>
              <w:t>no requirement</w:t>
            </w:r>
          </w:p>
        </w:tc>
      </w:tr>
      <w:tr w:rsidR="0001293D" w:rsidTr="00313F52">
        <w:tc>
          <w:tcPr>
            <w:tcW w:w="2322" w:type="dxa"/>
            <w:vAlign w:val="center"/>
          </w:tcPr>
          <w:p w:rsidR="0001293D" w:rsidRDefault="0001293D" w:rsidP="009C24E7">
            <w:pPr>
              <w:jc w:val="center"/>
            </w:pPr>
            <w:r>
              <w:t>Colour consistency</w:t>
            </w:r>
          </w:p>
        </w:tc>
        <w:tc>
          <w:tcPr>
            <w:tcW w:w="6967" w:type="dxa"/>
            <w:gridSpan w:val="3"/>
            <w:vAlign w:val="center"/>
          </w:tcPr>
          <w:p w:rsidR="0001293D" w:rsidRDefault="0001293D" w:rsidP="009C24E7">
            <w:pPr>
              <w:jc w:val="center"/>
            </w:pPr>
            <w:r w:rsidRPr="0001293D">
              <w:t xml:space="preserve">Variation of chromaticity coordinates within a six-step </w:t>
            </w:r>
            <w:proofErr w:type="spellStart"/>
            <w:r w:rsidRPr="0001293D">
              <w:t>MacAdam</w:t>
            </w:r>
            <w:proofErr w:type="spellEnd"/>
            <w:r w:rsidRPr="0001293D">
              <w:t xml:space="preserve"> ellipse or less.</w:t>
            </w:r>
          </w:p>
        </w:tc>
      </w:tr>
      <w:tr w:rsidR="00581775" w:rsidTr="0001293D">
        <w:tc>
          <w:tcPr>
            <w:tcW w:w="2322" w:type="dxa"/>
            <w:vAlign w:val="center"/>
          </w:tcPr>
          <w:p w:rsidR="00581775" w:rsidRDefault="00581775" w:rsidP="009C24E7">
            <w:pPr>
              <w:jc w:val="center"/>
            </w:pPr>
            <w:r>
              <w:t>Lumen deterioration</w:t>
            </w:r>
          </w:p>
        </w:tc>
        <w:tc>
          <w:tcPr>
            <w:tcW w:w="6967" w:type="dxa"/>
            <w:gridSpan w:val="3"/>
            <w:vAlign w:val="center"/>
          </w:tcPr>
          <w:p w:rsidR="00581775" w:rsidRDefault="00581775" w:rsidP="0013333B">
            <w:pPr>
              <w:jc w:val="center"/>
            </w:pPr>
            <w:proofErr w:type="spellStart"/>
            <w:r w:rsidRPr="0025356A">
              <w:t>Φ</w:t>
            </w:r>
            <w:r>
              <w:rPr>
                <w:vertAlign w:val="subscript"/>
              </w:rPr>
              <w:t>det</w:t>
            </w:r>
            <w:proofErr w:type="spellEnd"/>
            <w:r w:rsidRPr="001B5B89">
              <w:t xml:space="preserve"> ≤</w:t>
            </w:r>
            <w:r>
              <w:t xml:space="preserve"> 1% after </w:t>
            </w:r>
            <w:r w:rsidR="005466A4">
              <w:t>accelerated endurance testing</w:t>
            </w:r>
          </w:p>
        </w:tc>
      </w:tr>
      <w:tr w:rsidR="00581775" w:rsidTr="007F7045">
        <w:tc>
          <w:tcPr>
            <w:tcW w:w="2322" w:type="dxa"/>
            <w:vAlign w:val="center"/>
          </w:tcPr>
          <w:p w:rsidR="00581775" w:rsidRPr="001B5B89" w:rsidRDefault="00581775" w:rsidP="006806B6">
            <w:pPr>
              <w:jc w:val="center"/>
            </w:pPr>
            <w:r>
              <w:t>Failure rate</w:t>
            </w:r>
          </w:p>
        </w:tc>
        <w:tc>
          <w:tcPr>
            <w:tcW w:w="6967" w:type="dxa"/>
            <w:gridSpan w:val="3"/>
            <w:vAlign w:val="center"/>
          </w:tcPr>
          <w:p w:rsidR="00581775" w:rsidRPr="0001293D" w:rsidRDefault="00581775" w:rsidP="005466A4">
            <w:pPr>
              <w:jc w:val="center"/>
              <w:rPr>
                <w:highlight w:val="yellow"/>
              </w:rPr>
            </w:pPr>
            <w:r>
              <w:t>F</w:t>
            </w:r>
            <w:r>
              <w:rPr>
                <w:vertAlign w:val="subscript"/>
              </w:rPr>
              <w:t>r</w:t>
            </w:r>
            <w:r w:rsidRPr="001B5B89">
              <w:t xml:space="preserve"> ≤</w:t>
            </w:r>
            <w:r>
              <w:t xml:space="preserve"> 10% after </w:t>
            </w:r>
            <w:r w:rsidR="005466A4" w:rsidRPr="005466A4">
              <w:t>accelerated endurance testing</w:t>
            </w:r>
          </w:p>
        </w:tc>
      </w:tr>
      <w:tr w:rsidR="00581775" w:rsidTr="00753FF0">
        <w:tc>
          <w:tcPr>
            <w:tcW w:w="2322" w:type="dxa"/>
            <w:vAlign w:val="center"/>
          </w:tcPr>
          <w:p w:rsidR="00581775" w:rsidRPr="001B5B89" w:rsidRDefault="00581775" w:rsidP="00BD6396">
            <w:pPr>
              <w:jc w:val="center"/>
            </w:pPr>
            <w:r>
              <w:t>Flicker</w:t>
            </w:r>
          </w:p>
        </w:tc>
        <w:tc>
          <w:tcPr>
            <w:tcW w:w="6967" w:type="dxa"/>
            <w:gridSpan w:val="3"/>
            <w:vAlign w:val="center"/>
          </w:tcPr>
          <w:p w:rsidR="00581775" w:rsidRPr="0001293D" w:rsidRDefault="002D3724" w:rsidP="00E07D11">
            <w:pPr>
              <w:jc w:val="center"/>
              <w:rPr>
                <w:highlight w:val="yellow"/>
              </w:rPr>
            </w:pPr>
            <w:r>
              <w:t>I</w:t>
            </w:r>
            <w:r>
              <w:rPr>
                <w:vertAlign w:val="subscript"/>
              </w:rPr>
              <w:t xml:space="preserve">F  </w:t>
            </w:r>
            <w:r w:rsidRPr="001B5B89">
              <w:t>≤</w:t>
            </w:r>
            <w:r>
              <w:t xml:space="preserve"> </w:t>
            </w:r>
            <w:r w:rsidR="00E07D11">
              <w:t>1</w:t>
            </w:r>
            <w:r>
              <w:t xml:space="preserve">% after </w:t>
            </w:r>
            <w:r w:rsidRPr="005466A4">
              <w:t>accelerated endurance testing</w:t>
            </w:r>
          </w:p>
        </w:tc>
      </w:tr>
      <w:tr w:rsidR="00581775" w:rsidTr="00753FF0">
        <w:tc>
          <w:tcPr>
            <w:tcW w:w="2322" w:type="dxa"/>
            <w:vAlign w:val="center"/>
          </w:tcPr>
          <w:p w:rsidR="00581775" w:rsidRDefault="00581775" w:rsidP="008B3B0A">
            <w:pPr>
              <w:jc w:val="center"/>
            </w:pPr>
          </w:p>
        </w:tc>
        <w:tc>
          <w:tcPr>
            <w:tcW w:w="6967" w:type="dxa"/>
            <w:gridSpan w:val="3"/>
            <w:vAlign w:val="center"/>
          </w:tcPr>
          <w:p w:rsidR="00581775" w:rsidRDefault="00581775" w:rsidP="0001293D">
            <w:pPr>
              <w:jc w:val="center"/>
            </w:pPr>
          </w:p>
        </w:tc>
      </w:tr>
    </w:tbl>
    <w:p w:rsidR="00B8797E" w:rsidRDefault="00B8797E" w:rsidP="00B8797E">
      <w:pPr>
        <w:pStyle w:val="Heading2"/>
      </w:pPr>
      <w:r>
        <w:t>Auxiliary parts</w:t>
      </w:r>
    </w:p>
    <w:p w:rsidR="00B8797E" w:rsidRDefault="00B8797E" w:rsidP="00B8797E">
      <w:r>
        <w:t>As f</w:t>
      </w:r>
      <w:r w:rsidRPr="004D1AC7">
        <w:t>rom stage</w:t>
      </w:r>
      <w:r>
        <w:t xml:space="preserve"> 1</w:t>
      </w:r>
      <w:r w:rsidRPr="004D1AC7">
        <w:t xml:space="preserve"> onwards</w:t>
      </w:r>
      <w:r>
        <w:t>, the following functionality requirements specified in Table 2 shall apply for auxiliary parts: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22"/>
        <w:gridCol w:w="6967"/>
      </w:tblGrid>
      <w:tr w:rsidR="00F17E26" w:rsidTr="008C7317">
        <w:tc>
          <w:tcPr>
            <w:tcW w:w="9289" w:type="dxa"/>
            <w:gridSpan w:val="2"/>
            <w:vAlign w:val="center"/>
          </w:tcPr>
          <w:p w:rsidR="00F17E26" w:rsidRDefault="00F17E26" w:rsidP="008C7317">
            <w:pPr>
              <w:jc w:val="center"/>
              <w:rPr>
                <w:b/>
              </w:rPr>
            </w:pPr>
            <w:r>
              <w:rPr>
                <w:b/>
              </w:rPr>
              <w:t>Table 2</w:t>
            </w:r>
          </w:p>
          <w:p w:rsidR="00F17E26" w:rsidRPr="00560CAA" w:rsidRDefault="00F17E26" w:rsidP="00F17E26">
            <w:pPr>
              <w:jc w:val="center"/>
              <w:rPr>
                <w:i/>
              </w:rPr>
            </w:pPr>
            <w:r>
              <w:rPr>
                <w:i/>
              </w:rPr>
              <w:t>Functionality requirements for auxiliary parts</w:t>
            </w:r>
          </w:p>
        </w:tc>
      </w:tr>
      <w:tr w:rsidR="00F17E26" w:rsidTr="00F73854">
        <w:tc>
          <w:tcPr>
            <w:tcW w:w="9289" w:type="dxa"/>
            <w:gridSpan w:val="2"/>
            <w:vAlign w:val="center"/>
          </w:tcPr>
          <w:p w:rsidR="00F17E26" w:rsidRPr="00B60749" w:rsidRDefault="00F17E26" w:rsidP="008C7317">
            <w:pPr>
              <w:jc w:val="center"/>
              <w:rPr>
                <w:b/>
                <w:sz w:val="22"/>
              </w:rPr>
            </w:pPr>
            <w:r w:rsidRPr="00417548">
              <w:rPr>
                <w:b/>
              </w:rPr>
              <w:t xml:space="preserve">Requirement </w:t>
            </w:r>
          </w:p>
        </w:tc>
      </w:tr>
      <w:tr w:rsidR="00F17E26" w:rsidTr="00F47A77">
        <w:tc>
          <w:tcPr>
            <w:tcW w:w="2322" w:type="dxa"/>
            <w:vAlign w:val="center"/>
          </w:tcPr>
          <w:p w:rsidR="00F17E26" w:rsidRDefault="00F17E26" w:rsidP="008C7317">
            <w:pPr>
              <w:jc w:val="center"/>
            </w:pPr>
            <w:r>
              <w:t>Power factor</w:t>
            </w:r>
          </w:p>
        </w:tc>
        <w:tc>
          <w:tcPr>
            <w:tcW w:w="6967" w:type="dxa"/>
            <w:vAlign w:val="center"/>
          </w:tcPr>
          <w:p w:rsidR="00F17E26" w:rsidRDefault="00F17E26" w:rsidP="00F17E26">
            <w:pPr>
              <w:jc w:val="center"/>
            </w:pPr>
            <w:r>
              <w:t>PF ≥ 0,9</w:t>
            </w:r>
          </w:p>
        </w:tc>
      </w:tr>
      <w:tr w:rsidR="00F17E26" w:rsidTr="008C7317">
        <w:tc>
          <w:tcPr>
            <w:tcW w:w="2322" w:type="dxa"/>
            <w:vAlign w:val="center"/>
          </w:tcPr>
          <w:p w:rsidR="00F17E26" w:rsidRPr="001B5B89" w:rsidRDefault="00F17E26" w:rsidP="008C7317">
            <w:pPr>
              <w:jc w:val="center"/>
            </w:pPr>
            <w:r>
              <w:t>Failure rate</w:t>
            </w:r>
          </w:p>
        </w:tc>
        <w:tc>
          <w:tcPr>
            <w:tcW w:w="6967" w:type="dxa"/>
            <w:vAlign w:val="center"/>
          </w:tcPr>
          <w:p w:rsidR="00F17E26" w:rsidRPr="0001293D" w:rsidRDefault="00F17E26" w:rsidP="00DA4610">
            <w:pPr>
              <w:jc w:val="center"/>
              <w:rPr>
                <w:highlight w:val="yellow"/>
              </w:rPr>
            </w:pPr>
            <w:r>
              <w:t>F</w:t>
            </w:r>
            <w:r>
              <w:rPr>
                <w:vertAlign w:val="subscript"/>
              </w:rPr>
              <w:t>r</w:t>
            </w:r>
            <w:r w:rsidRPr="001B5B89">
              <w:t xml:space="preserve"> ≤</w:t>
            </w:r>
            <w:r>
              <w:t xml:space="preserve"> 10% a</w:t>
            </w:r>
            <w:r w:rsidR="00DA4610">
              <w:t xml:space="preserve">fter </w:t>
            </w:r>
            <w:r w:rsidR="00C84F4D" w:rsidRPr="005466A4">
              <w:t>accelerated</w:t>
            </w:r>
            <w:r w:rsidR="00C84F4D">
              <w:t xml:space="preserve"> </w:t>
            </w:r>
            <w:r w:rsidR="00DA4610">
              <w:t>endurance testing</w:t>
            </w:r>
          </w:p>
        </w:tc>
      </w:tr>
    </w:tbl>
    <w:p w:rsidR="00B8797E" w:rsidRPr="00B8797E" w:rsidRDefault="00B8797E" w:rsidP="00B8797E"/>
    <w:p w:rsidR="004703D6" w:rsidRDefault="004703D6" w:rsidP="006941FA">
      <w:pPr>
        <w:pStyle w:val="Heading1"/>
      </w:pPr>
      <w:proofErr w:type="gramStart"/>
      <w:r>
        <w:lastRenderedPageBreak/>
        <w:t>Information  requirements</w:t>
      </w:r>
      <w:proofErr w:type="gramEnd"/>
    </w:p>
    <w:p w:rsidR="004B44C4" w:rsidRDefault="00CE5C52" w:rsidP="004B44C4">
      <w:r>
        <w:t>As f</w:t>
      </w:r>
      <w:r w:rsidRPr="004D1AC7">
        <w:t>rom stage</w:t>
      </w:r>
      <w:r>
        <w:t xml:space="preserve"> 1</w:t>
      </w:r>
      <w:r w:rsidRPr="004D1AC7">
        <w:t xml:space="preserve"> onwards</w:t>
      </w:r>
      <w:r>
        <w:t xml:space="preserve">, </w:t>
      </w:r>
      <w:r w:rsidR="00DF335E">
        <w:t xml:space="preserve">the following </w:t>
      </w:r>
      <w:r>
        <w:t>infor</w:t>
      </w:r>
      <w:r w:rsidR="004B44C4">
        <w:t>mation requirements shall apply to lighting products and lighting product components, except if:</w:t>
      </w:r>
    </w:p>
    <w:p w:rsidR="004B44C4" w:rsidRDefault="004B44C4" w:rsidP="00774084">
      <w:pPr>
        <w:pStyle w:val="Tiret0"/>
      </w:pPr>
      <w:r>
        <w:t>these are</w:t>
      </w:r>
      <w:r w:rsidR="00774084">
        <w:t xml:space="preserve"> </w:t>
      </w:r>
      <w:r w:rsidR="00774084" w:rsidRPr="00774084">
        <w:t xml:space="preserve">integrated into </w:t>
      </w:r>
      <w:r w:rsidR="00774084">
        <w:t xml:space="preserve">another product, which </w:t>
      </w:r>
      <w:r w:rsidR="00774084" w:rsidRPr="00774084">
        <w:t>dependent</w:t>
      </w:r>
      <w:r w:rsidR="00774084">
        <w:t>s</w:t>
      </w:r>
      <w:r w:rsidR="00774084" w:rsidRPr="00774084">
        <w:t xml:space="preserve"> on energy input in fulfilling its primary purpose during use</w:t>
      </w:r>
      <w:r w:rsidR="00774084">
        <w:t xml:space="preserve"> but its</w:t>
      </w:r>
      <w:r w:rsidR="00774084" w:rsidRPr="00774084">
        <w:t xml:space="preserve"> primary purpose</w:t>
      </w:r>
      <w:r w:rsidR="00774084">
        <w:t xml:space="preserve"> is not lighting </w:t>
      </w:r>
      <w:r w:rsidR="00774084" w:rsidRPr="00774084">
        <w:t>(such as</w:t>
      </w:r>
      <w:r w:rsidR="00774084">
        <w:t>, but not limited to,</w:t>
      </w:r>
      <w:r w:rsidR="00774084" w:rsidRPr="00774084">
        <w:t xml:space="preserve"> refrigerators, sewing machines, en</w:t>
      </w:r>
      <w:r w:rsidR="00774084">
        <w:t>doscopes, and</w:t>
      </w:r>
      <w:r w:rsidR="00774084" w:rsidRPr="00774084">
        <w:t xml:space="preserve"> blood analysers)</w:t>
      </w:r>
      <w:r w:rsidR="00774084">
        <w:t>; and</w:t>
      </w:r>
    </w:p>
    <w:p w:rsidR="00774084" w:rsidRDefault="00774084" w:rsidP="00774084">
      <w:pPr>
        <w:pStyle w:val="Tiret0"/>
      </w:pPr>
      <w:proofErr w:type="gramStart"/>
      <w:r>
        <w:t>these</w:t>
      </w:r>
      <w:proofErr w:type="gramEnd"/>
      <w:r>
        <w:t xml:space="preserve"> are not intended to be removed or replaced by the final owner.</w:t>
      </w:r>
    </w:p>
    <w:p w:rsidR="00FA5A71" w:rsidRDefault="00FA5A71" w:rsidP="00FA5A71">
      <w:pPr>
        <w:pStyle w:val="Heading2"/>
      </w:pPr>
      <w:r>
        <w:t xml:space="preserve">Information to be displayed on </w:t>
      </w:r>
      <w:r w:rsidR="004B44C4">
        <w:t xml:space="preserve">lighting </w:t>
      </w:r>
      <w:r w:rsidR="002527DD">
        <w:t xml:space="preserve">product or </w:t>
      </w:r>
      <w:r w:rsidR="004B44C4">
        <w:t xml:space="preserve">lighting product </w:t>
      </w:r>
      <w:r w:rsidR="002527DD">
        <w:t>component</w:t>
      </w:r>
    </w:p>
    <w:p w:rsidR="002527DD" w:rsidRPr="002527DD" w:rsidRDefault="002527DD" w:rsidP="002527DD">
      <w:pPr>
        <w:pStyle w:val="Heading3"/>
      </w:pPr>
      <w:r>
        <w:t>Lighting products and lighting parts</w:t>
      </w:r>
    </w:p>
    <w:p w:rsidR="004861E3" w:rsidRDefault="004861E3" w:rsidP="008B3B0A">
      <w:r>
        <w:t xml:space="preserve">For all lighting products and </w:t>
      </w:r>
      <w:r w:rsidR="00FA5A71">
        <w:t>lighting parts</w:t>
      </w:r>
      <w:r>
        <w:t xml:space="preserve">, the value and </w:t>
      </w:r>
      <w:r w:rsidR="00FA5A71">
        <w:t xml:space="preserve">physical </w:t>
      </w:r>
      <w:r>
        <w:t xml:space="preserve">unit of the nominal useful luminous flux, of the colour temperature and of the nominal beam angle shall be displayed in a legible font on the surface if, after the inclusion of safety-related information, there is sufficient space available for it without unduly obstructing the light </w:t>
      </w:r>
      <w:r w:rsidR="00FA5A71">
        <w:t>emission</w:t>
      </w:r>
      <w:r>
        <w:t>.</w:t>
      </w:r>
    </w:p>
    <w:p w:rsidR="004861E3" w:rsidRDefault="004861E3" w:rsidP="008B3B0A">
      <w:r>
        <w:t>If there is room for only one of the three values, the nominal useful luminous flux shall be provided. If there is room for two values, the nominal useful luminous flux and the colour temperature shall be provided.</w:t>
      </w:r>
    </w:p>
    <w:p w:rsidR="002527DD" w:rsidRPr="002527DD" w:rsidRDefault="002527DD" w:rsidP="002527DD">
      <w:pPr>
        <w:pStyle w:val="Heading3"/>
      </w:pPr>
      <w:r>
        <w:t>Auxiliary parts</w:t>
      </w:r>
    </w:p>
    <w:p w:rsidR="002527DD" w:rsidRDefault="002527DD" w:rsidP="004861E3">
      <w:r>
        <w:t xml:space="preserve">For all auxiliary parts, the efficiency </w:t>
      </w:r>
      <w:r w:rsidR="00D34CCD">
        <w:t>in full-load mode, expressed in percentage, and the power consumption in stand-by mode</w:t>
      </w:r>
      <w:r w:rsidR="00337FE2">
        <w:t xml:space="preserve"> if applicable</w:t>
      </w:r>
      <w:r w:rsidR="00D34CCD">
        <w:t xml:space="preserve">, expressed in </w:t>
      </w:r>
      <w:proofErr w:type="spellStart"/>
      <w:r w:rsidR="00D34CCD" w:rsidRPr="00D34CCD">
        <w:rPr>
          <w:i/>
        </w:rPr>
        <w:t>mW</w:t>
      </w:r>
      <w:proofErr w:type="spellEnd"/>
      <w:r w:rsidR="00D34CCD">
        <w:rPr>
          <w:i/>
        </w:rPr>
        <w:t xml:space="preserve"> </w:t>
      </w:r>
      <w:r w:rsidR="00D34CCD">
        <w:t>and rounded to the nearest integer, shall be displayed in a legible font</w:t>
      </w:r>
      <w:r w:rsidR="00D34CCD" w:rsidRPr="00D34CCD">
        <w:t xml:space="preserve"> </w:t>
      </w:r>
      <w:r w:rsidR="00D34CCD">
        <w:t>on the surface.</w:t>
      </w:r>
    </w:p>
    <w:p w:rsidR="004861E3" w:rsidRDefault="004861E3" w:rsidP="00FA5A71">
      <w:pPr>
        <w:pStyle w:val="Heading2"/>
      </w:pPr>
      <w:r>
        <w:t xml:space="preserve">Information to be visibly displayed </w:t>
      </w:r>
      <w:r w:rsidR="00E37A54">
        <w:t>on the packaging</w:t>
      </w:r>
    </w:p>
    <w:p w:rsidR="00D34CCD" w:rsidRPr="00D34CCD" w:rsidRDefault="00D34CCD" w:rsidP="00D34CCD">
      <w:pPr>
        <w:pStyle w:val="Heading3"/>
      </w:pPr>
      <w:r>
        <w:t>Lighting products and lighting parts</w:t>
      </w:r>
    </w:p>
    <w:p w:rsidR="00E37A54" w:rsidRDefault="00E37A54" w:rsidP="008B3B0A">
      <w:r w:rsidRPr="00CE535E">
        <w:t xml:space="preserve">If </w:t>
      </w:r>
      <w:r>
        <w:t>a</w:t>
      </w:r>
      <w:r w:rsidRPr="00CE535E">
        <w:t xml:space="preserve"> lighting product or lighting part is placed on the market in a packaging containing information to be visibly displayed, prior to their purchase, the </w:t>
      </w:r>
      <w:r>
        <w:t xml:space="preserve">following </w:t>
      </w:r>
      <w:r w:rsidRPr="00CE535E">
        <w:t>information</w:t>
      </w:r>
      <w:r>
        <w:t xml:space="preserve"> </w:t>
      </w:r>
      <w:r w:rsidRPr="00CE535E">
        <w:t xml:space="preserve">shall also be clearly and prominently </w:t>
      </w:r>
      <w:r w:rsidR="00CE5C52">
        <w:t>displayed</w:t>
      </w:r>
      <w:r w:rsidRPr="00CE535E">
        <w:t xml:space="preserve"> on the packaging in </w:t>
      </w:r>
      <w:r>
        <w:t>the direction meant to face prospective buyers:</w:t>
      </w:r>
    </w:p>
    <w:p w:rsidR="004861E3" w:rsidRDefault="00CE5C52" w:rsidP="00721658">
      <w:pPr>
        <w:pStyle w:val="Point1letter"/>
      </w:pPr>
      <w:r>
        <w:t>the nominal useful luminous flux</w:t>
      </w:r>
      <w:r w:rsidR="004861E3">
        <w:t xml:space="preserve"> in a font at least twice as large as any display of the nominal power;</w:t>
      </w:r>
    </w:p>
    <w:p w:rsidR="004861E3" w:rsidRDefault="00CE5C52" w:rsidP="00721658">
      <w:pPr>
        <w:pStyle w:val="Point1letter"/>
      </w:pPr>
      <w:r>
        <w:t>the n</w:t>
      </w:r>
      <w:r w:rsidR="00DA7BB1">
        <w:t xml:space="preserve">ominal life time </w:t>
      </w:r>
      <w:r w:rsidR="004861E3">
        <w:t xml:space="preserve">in </w:t>
      </w:r>
      <w:r w:rsidR="00DA7BB1">
        <w:t xml:space="preserve">operating </w:t>
      </w:r>
      <w:r w:rsidR="00DD049D">
        <w:t>hours (no</w:t>
      </w:r>
      <w:r w:rsidR="004861E3">
        <w:t xml:space="preserve"> longer than the rated life time);</w:t>
      </w:r>
    </w:p>
    <w:p w:rsidR="004861E3" w:rsidRDefault="00CE5C52" w:rsidP="00721658">
      <w:pPr>
        <w:pStyle w:val="Point1letter"/>
      </w:pPr>
      <w:r>
        <w:t>the c</w:t>
      </w:r>
      <w:r w:rsidR="004861E3">
        <w:t>olour te</w:t>
      </w:r>
      <w:r w:rsidR="008B3B0A">
        <w:t xml:space="preserve">mperature in </w:t>
      </w:r>
      <w:r w:rsidR="008B3B0A">
        <w:rPr>
          <w:i/>
        </w:rPr>
        <w:t>K</w:t>
      </w:r>
      <w:r w:rsidR="004861E3">
        <w:t xml:space="preserve"> and also expressed graphically or in words;</w:t>
      </w:r>
    </w:p>
    <w:p w:rsidR="004861E3" w:rsidRDefault="00CE5C52" w:rsidP="00721658">
      <w:pPr>
        <w:pStyle w:val="Point1letter"/>
      </w:pPr>
      <w:r>
        <w:t>the n</w:t>
      </w:r>
      <w:r w:rsidR="004861E3">
        <w:t>umber of switching cycles before failure;</w:t>
      </w:r>
    </w:p>
    <w:p w:rsidR="00F700E4" w:rsidRDefault="00F700E4" w:rsidP="00721658">
      <w:pPr>
        <w:pStyle w:val="Point1letter"/>
      </w:pPr>
      <w:r>
        <w:t xml:space="preserve">the </w:t>
      </w:r>
      <w:r w:rsidR="00EF6803">
        <w:t>CRI</w:t>
      </w:r>
      <w:r>
        <w:t>;</w:t>
      </w:r>
    </w:p>
    <w:p w:rsidR="004861E3" w:rsidRDefault="00CE5C52" w:rsidP="00721658">
      <w:pPr>
        <w:pStyle w:val="Point1letter"/>
      </w:pPr>
      <w:r>
        <w:t xml:space="preserve">the </w:t>
      </w:r>
      <w:r w:rsidR="00F051F3">
        <w:t>w</w:t>
      </w:r>
      <w:r w:rsidR="002527DD">
        <w:t>arm-up time</w:t>
      </w:r>
      <w:r w:rsidR="004861E3">
        <w:t xml:space="preserve"> (may be indicated as ‘instant full light’ if less than 1</w:t>
      </w:r>
      <w:r w:rsidR="002527DD">
        <w:rPr>
          <w:i/>
        </w:rPr>
        <w:t>s</w:t>
      </w:r>
      <w:r w:rsidR="004861E3">
        <w:t>);</w:t>
      </w:r>
    </w:p>
    <w:p w:rsidR="004861E3" w:rsidRDefault="00F051F3" w:rsidP="00721658">
      <w:pPr>
        <w:pStyle w:val="Point1letter"/>
      </w:pPr>
      <w:r>
        <w:t>a</w:t>
      </w:r>
      <w:r w:rsidR="004861E3">
        <w:t xml:space="preserve"> warning if the </w:t>
      </w:r>
      <w:r w:rsidR="00DA7BB1">
        <w:t>product or part</w:t>
      </w:r>
      <w:r w:rsidR="004861E3">
        <w:t xml:space="preserve"> cannot be dimmed or can be d</w:t>
      </w:r>
      <w:r w:rsidR="001A5AF2">
        <w:t>immed only on specific dimmers</w:t>
      </w:r>
      <w:r w:rsidR="00B8797E">
        <w:t>;</w:t>
      </w:r>
    </w:p>
    <w:p w:rsidR="00CE535E" w:rsidRPr="00CE535E" w:rsidRDefault="00F051F3" w:rsidP="00721658">
      <w:pPr>
        <w:pStyle w:val="Point1letter"/>
      </w:pPr>
      <w:proofErr w:type="gramStart"/>
      <w:r>
        <w:t>i</w:t>
      </w:r>
      <w:r w:rsidRPr="00CE535E">
        <w:t>f</w:t>
      </w:r>
      <w:proofErr w:type="gramEnd"/>
      <w:r w:rsidRPr="00CE535E">
        <w:t xml:space="preserve"> </w:t>
      </w:r>
      <w:r>
        <w:t xml:space="preserve">it </w:t>
      </w:r>
      <w:r w:rsidRPr="00CE535E">
        <w:t>contains mercury</w:t>
      </w:r>
      <w:r>
        <w:t>, the m</w:t>
      </w:r>
      <w:r w:rsidR="00A04CC5">
        <w:t>ercury content in</w:t>
      </w:r>
      <w:r w:rsidR="00CE535E">
        <w:t xml:space="preserve"> </w:t>
      </w:r>
      <w:r w:rsidR="00CE535E">
        <w:rPr>
          <w:i/>
        </w:rPr>
        <w:t>mg</w:t>
      </w:r>
      <w:r w:rsidR="00A04CC5">
        <w:rPr>
          <w:i/>
        </w:rPr>
        <w:t xml:space="preserve"> </w:t>
      </w:r>
      <w:r w:rsidR="00A04CC5">
        <w:t>rounded to the first decimal place</w:t>
      </w:r>
      <w:r w:rsidR="001A5AF2">
        <w:t>.</w:t>
      </w:r>
    </w:p>
    <w:p w:rsidR="008A7684" w:rsidRDefault="00CE535E" w:rsidP="008B3B0A">
      <w:r>
        <w:t>The information does not need to use the exact wording on the list above. It may be displayed in the form of graphs, drawings or symbols rather than text.</w:t>
      </w:r>
    </w:p>
    <w:p w:rsidR="00CE535E" w:rsidRPr="00D34CCD" w:rsidRDefault="00CE535E" w:rsidP="00CE535E">
      <w:pPr>
        <w:pStyle w:val="Heading3"/>
      </w:pPr>
      <w:r>
        <w:lastRenderedPageBreak/>
        <w:t>Auxiliary parts</w:t>
      </w:r>
    </w:p>
    <w:p w:rsidR="00DA7BB1" w:rsidRDefault="001A5AF2" w:rsidP="00DA7BB1">
      <w:r w:rsidRPr="00CE535E">
        <w:t xml:space="preserve">If </w:t>
      </w:r>
      <w:r>
        <w:t>a</w:t>
      </w:r>
      <w:r w:rsidR="005F1C02">
        <w:t>n</w:t>
      </w:r>
      <w:r w:rsidRPr="00CE535E">
        <w:t xml:space="preserve"> </w:t>
      </w:r>
      <w:r>
        <w:t>auxiliary</w:t>
      </w:r>
      <w:r w:rsidRPr="00CE535E">
        <w:t xml:space="preserve"> part is placed on the market in a packaging containing information to be visibly displayed, prior to their purchase, the </w:t>
      </w:r>
      <w:r>
        <w:t xml:space="preserve">following </w:t>
      </w:r>
      <w:r w:rsidRPr="00CE535E">
        <w:t>information</w:t>
      </w:r>
      <w:r>
        <w:t xml:space="preserve"> </w:t>
      </w:r>
      <w:r w:rsidRPr="00CE535E">
        <w:t xml:space="preserve">shall also be clearly and prominently indicated on the packaging in </w:t>
      </w:r>
      <w:r>
        <w:t>the direction meant to face prospective buyers</w:t>
      </w:r>
      <w:r w:rsidR="00DA7BB1">
        <w:t>:</w:t>
      </w:r>
    </w:p>
    <w:p w:rsidR="00DA7BB1" w:rsidRDefault="00F051F3" w:rsidP="0013333B">
      <w:pPr>
        <w:pStyle w:val="Point1letter"/>
        <w:numPr>
          <w:ilvl w:val="3"/>
          <w:numId w:val="38"/>
        </w:numPr>
      </w:pPr>
      <w:r>
        <w:t>the n</w:t>
      </w:r>
      <w:r w:rsidR="00DA7BB1">
        <w:t>ominal l</w:t>
      </w:r>
      <w:r w:rsidR="0011527A">
        <w:t>ife time in operating hours (no</w:t>
      </w:r>
      <w:r w:rsidR="00DA7BB1">
        <w:t xml:space="preserve"> longer than the rated life time);</w:t>
      </w:r>
    </w:p>
    <w:p w:rsidR="00337FE2" w:rsidRDefault="00337FE2" w:rsidP="0013333B">
      <w:pPr>
        <w:pStyle w:val="Point1letter"/>
        <w:numPr>
          <w:ilvl w:val="3"/>
          <w:numId w:val="38"/>
        </w:numPr>
      </w:pPr>
      <w:r>
        <w:t xml:space="preserve">the efficiency in full-load mode, expressed in percentage, and the power consumption in stand-by mode if applicable, expressed in </w:t>
      </w:r>
      <w:proofErr w:type="spellStart"/>
      <w:r w:rsidRPr="00D34CCD">
        <w:rPr>
          <w:i/>
        </w:rPr>
        <w:t>mW</w:t>
      </w:r>
      <w:proofErr w:type="spellEnd"/>
      <w:r>
        <w:rPr>
          <w:i/>
        </w:rPr>
        <w:t xml:space="preserve"> </w:t>
      </w:r>
      <w:r>
        <w:t>and rounded to the nearest integer;</w:t>
      </w:r>
    </w:p>
    <w:p w:rsidR="00DA7BB1" w:rsidRDefault="00F051F3" w:rsidP="0013333B">
      <w:pPr>
        <w:pStyle w:val="Point1letter"/>
        <w:numPr>
          <w:ilvl w:val="3"/>
          <w:numId w:val="38"/>
        </w:numPr>
      </w:pPr>
      <w:r>
        <w:t>the n</w:t>
      </w:r>
      <w:r w:rsidR="00DA7BB1">
        <w:t>umber of switching cycles before failure;</w:t>
      </w:r>
    </w:p>
    <w:p w:rsidR="00DA7BB1" w:rsidRDefault="00F051F3" w:rsidP="0013333B">
      <w:pPr>
        <w:pStyle w:val="Point1letter"/>
        <w:numPr>
          <w:ilvl w:val="3"/>
          <w:numId w:val="38"/>
        </w:numPr>
      </w:pPr>
      <w:proofErr w:type="gramStart"/>
      <w:r>
        <w:t>a</w:t>
      </w:r>
      <w:proofErr w:type="gramEnd"/>
      <w:r w:rsidR="00DA7BB1">
        <w:t xml:space="preserve"> warning if the auxiliary part can be not be used with dimmable lighting products or lighting parts, or can be used only with specific dimmable lighting products or lighting parts</w:t>
      </w:r>
      <w:r w:rsidR="001A5AF2">
        <w:t>.</w:t>
      </w:r>
    </w:p>
    <w:p w:rsidR="001A5AF2" w:rsidRDefault="001A5AF2" w:rsidP="001A5AF2">
      <w:r>
        <w:t>The information does not need to use the exact wording on the list above. It may be displayed in the form of graphs, drawings or symbols rather than text.</w:t>
      </w:r>
    </w:p>
    <w:p w:rsidR="005F1C02" w:rsidRDefault="00E37A54" w:rsidP="005F1C02">
      <w:pPr>
        <w:pStyle w:val="Heading2"/>
      </w:pPr>
      <w:r>
        <w:t>Information to be visibly displayed on free-access websites</w:t>
      </w:r>
    </w:p>
    <w:p w:rsidR="005F1C02" w:rsidRPr="005F1C02" w:rsidRDefault="005F1C02" w:rsidP="005F1C02">
      <w:r w:rsidRPr="00CE535E">
        <w:t xml:space="preserve">If </w:t>
      </w:r>
      <w:r>
        <w:t>a</w:t>
      </w:r>
      <w:r w:rsidRPr="00CE535E">
        <w:t xml:space="preserve"> lighting product or</w:t>
      </w:r>
      <w:r>
        <w:t xml:space="preserve"> lighting product component is placed on the market, </w:t>
      </w:r>
      <w:r w:rsidRPr="00CE535E">
        <w:t xml:space="preserve">the </w:t>
      </w:r>
      <w:r>
        <w:t xml:space="preserve">following </w:t>
      </w:r>
      <w:r w:rsidRPr="00CE535E">
        <w:t>information</w:t>
      </w:r>
      <w:r>
        <w:t xml:space="preserve"> </w:t>
      </w:r>
      <w:r w:rsidRPr="00CE535E">
        <w:t xml:space="preserve">shall be </w:t>
      </w:r>
      <w:r>
        <w:t>d</w:t>
      </w:r>
      <w:r w:rsidR="00834C0C">
        <w:t xml:space="preserve">isplayed on </w:t>
      </w:r>
      <w:r>
        <w:t>free access website</w:t>
      </w:r>
      <w:r w:rsidR="00834C0C">
        <w:t xml:space="preserve">s with at least one website optimised for mobile devices and operated for at least ten years after the </w:t>
      </w:r>
      <w:r w:rsidR="00834C0C" w:rsidRPr="00CE535E">
        <w:t>lighting product or</w:t>
      </w:r>
      <w:r w:rsidR="00834C0C">
        <w:t xml:space="preserve"> lighting product component has been placed on the market.</w:t>
      </w:r>
    </w:p>
    <w:p w:rsidR="001A5AF2" w:rsidRDefault="00E37A54" w:rsidP="001A5AF2">
      <w:pPr>
        <w:pStyle w:val="Heading3"/>
      </w:pPr>
      <w:r>
        <w:t>Lighting products and lighting parts</w:t>
      </w:r>
    </w:p>
    <w:p w:rsidR="001A5AF2" w:rsidRDefault="001A5AF2" w:rsidP="001A5AF2">
      <w:r w:rsidRPr="00CE535E">
        <w:t xml:space="preserve">If </w:t>
      </w:r>
      <w:r>
        <w:t>a</w:t>
      </w:r>
      <w:r w:rsidRPr="00CE535E">
        <w:t xml:space="preserve"> lighting product or</w:t>
      </w:r>
      <w:r w:rsidR="005F1C02">
        <w:t xml:space="preserve"> lighting part is placed on the market, </w:t>
      </w:r>
      <w:r w:rsidRPr="00CE535E">
        <w:t xml:space="preserve">the </w:t>
      </w:r>
      <w:r>
        <w:t xml:space="preserve">following </w:t>
      </w:r>
      <w:r w:rsidRPr="00CE535E">
        <w:t>information</w:t>
      </w:r>
      <w:r>
        <w:t xml:space="preserve"> </w:t>
      </w:r>
      <w:r w:rsidRPr="00CE535E">
        <w:t xml:space="preserve">shall be </w:t>
      </w:r>
      <w:r w:rsidR="005F1C02">
        <w:t>d</w:t>
      </w:r>
      <w:r w:rsidR="00834C0C">
        <w:t>isplayed:</w:t>
      </w:r>
    </w:p>
    <w:p w:rsidR="001A5AF2" w:rsidRDefault="00834C0C" w:rsidP="0013333B">
      <w:pPr>
        <w:pStyle w:val="Point1letter"/>
        <w:numPr>
          <w:ilvl w:val="3"/>
          <w:numId w:val="39"/>
        </w:numPr>
      </w:pPr>
      <w:r>
        <w:t>the information specified in point 3.2.1;</w:t>
      </w:r>
    </w:p>
    <w:p w:rsidR="001A5AF2" w:rsidRDefault="00834C0C" w:rsidP="0013333B">
      <w:pPr>
        <w:pStyle w:val="Point1letter"/>
      </w:pPr>
      <w:r>
        <w:t>the o</w:t>
      </w:r>
      <w:r w:rsidR="001A5AF2">
        <w:t xml:space="preserve">uter dimensions in </w:t>
      </w:r>
      <w:r w:rsidR="008B3B0A">
        <w:rPr>
          <w:i/>
        </w:rPr>
        <w:t>mm</w:t>
      </w:r>
      <w:r w:rsidR="008B3B0A">
        <w:t xml:space="preserve"> </w:t>
      </w:r>
      <w:r w:rsidR="001A5AF2">
        <w:t>(length and largest diameter)</w:t>
      </w:r>
      <w:r>
        <w:t>;</w:t>
      </w:r>
    </w:p>
    <w:p w:rsidR="008B3B0A" w:rsidRDefault="008B3B0A" w:rsidP="0013333B">
      <w:pPr>
        <w:pStyle w:val="Point1letter"/>
      </w:pPr>
      <w:r>
        <w:t>the spectral power distribution in the range 180</w:t>
      </w:r>
      <w:r>
        <w:rPr>
          <w:i/>
        </w:rPr>
        <w:t>nm</w:t>
      </w:r>
      <w:r>
        <w:t xml:space="preserve"> to 800</w:t>
      </w:r>
      <w:r>
        <w:rPr>
          <w:i/>
        </w:rPr>
        <w:t>nm</w:t>
      </w:r>
      <w:r>
        <w:t>;</w:t>
      </w:r>
    </w:p>
    <w:p w:rsidR="008B3B0A" w:rsidRDefault="008B3B0A" w:rsidP="0013333B">
      <w:pPr>
        <w:pStyle w:val="Point1letter"/>
      </w:pPr>
      <w:r>
        <w:t>a specific warning</w:t>
      </w:r>
      <w:r w:rsidR="0013333B">
        <w:t xml:space="preserve"> for UV radiation</w:t>
      </w:r>
      <w:r>
        <w:t xml:space="preserve"> if the</w:t>
      </w:r>
      <w:r w:rsidR="0013333B">
        <w:t xml:space="preserve"> </w:t>
      </w:r>
      <w:r w:rsidR="0013333B" w:rsidRPr="00CE535E">
        <w:t>lighting product or</w:t>
      </w:r>
      <w:r w:rsidR="0013333B">
        <w:t xml:space="preserve"> lighting part emits more than 0.1% of its total electromagnetic radiation in the range of 180</w:t>
      </w:r>
      <w:r w:rsidR="0013333B">
        <w:rPr>
          <w:i/>
        </w:rPr>
        <w:t>nm</w:t>
      </w:r>
      <w:r w:rsidR="0013333B">
        <w:t xml:space="preserve"> to 380</w:t>
      </w:r>
      <w:r w:rsidR="0013333B">
        <w:rPr>
          <w:i/>
        </w:rPr>
        <w:t>nm</w:t>
      </w:r>
      <w:r w:rsidR="0013333B">
        <w:t>;</w:t>
      </w:r>
    </w:p>
    <w:p w:rsidR="0013333B" w:rsidRDefault="00F700E4" w:rsidP="0013333B">
      <w:pPr>
        <w:pStyle w:val="Point1letter"/>
      </w:pPr>
      <w:r>
        <w:t>the flicker index</w:t>
      </w:r>
      <w:r w:rsidR="00337FE2">
        <w:t xml:space="preserve"> with a warning that a high flicker index might be associated with negative health effect such as migraine</w:t>
      </w:r>
      <w:r>
        <w:t>;</w:t>
      </w:r>
    </w:p>
    <w:p w:rsidR="00F700E4" w:rsidRDefault="00F700E4" w:rsidP="0013333B">
      <w:pPr>
        <w:pStyle w:val="Point1letter"/>
      </w:pPr>
      <w:r>
        <w:t>the</w:t>
      </w:r>
      <w:r w:rsidR="00EF6803">
        <w:t xml:space="preserve"> power factor;</w:t>
      </w:r>
    </w:p>
    <w:p w:rsidR="00EF6803" w:rsidRDefault="00EF6803" w:rsidP="0013333B">
      <w:pPr>
        <w:pStyle w:val="Point1letter"/>
      </w:pPr>
      <w:r>
        <w:t>the lumen deterioration;</w:t>
      </w:r>
    </w:p>
    <w:p w:rsidR="00EF6803" w:rsidRDefault="00EF6803" w:rsidP="0013333B">
      <w:pPr>
        <w:pStyle w:val="Point1letter"/>
      </w:pPr>
      <w:r>
        <w:t>the failure rate;</w:t>
      </w:r>
    </w:p>
    <w:p w:rsidR="00337FE2" w:rsidRDefault="00337FE2" w:rsidP="0013333B">
      <w:pPr>
        <w:pStyle w:val="Point1letter"/>
      </w:pPr>
      <w:r>
        <w:t>if it is dimmable, a list of dimmers it is compatible with;</w:t>
      </w:r>
    </w:p>
    <w:p w:rsidR="00F700E4" w:rsidRDefault="00F700E4" w:rsidP="00F700E4">
      <w:pPr>
        <w:pStyle w:val="Point1letter"/>
      </w:pPr>
      <w:r>
        <w:t>i</w:t>
      </w:r>
      <w:r w:rsidRPr="00CE535E">
        <w:t xml:space="preserve">f </w:t>
      </w:r>
      <w:r>
        <w:t xml:space="preserve">it </w:t>
      </w:r>
      <w:r w:rsidRPr="00CE535E">
        <w:t>contains mercury</w:t>
      </w:r>
      <w:r>
        <w:t>, i</w:t>
      </w:r>
      <w:r w:rsidRPr="00F700E4">
        <w:t>nstructions on how to clean up the lamp debris in case of accidental breakage</w:t>
      </w:r>
      <w:r>
        <w:t>;</w:t>
      </w:r>
    </w:p>
    <w:p w:rsidR="00B8797E" w:rsidRDefault="008B3B0A" w:rsidP="00F700E4">
      <w:pPr>
        <w:pStyle w:val="Point1letter"/>
      </w:pPr>
      <w:r>
        <w:t xml:space="preserve">if it is a lighting part, instruction for the assembly and </w:t>
      </w:r>
      <w:r w:rsidR="00B8797E">
        <w:t>disassembly;</w:t>
      </w:r>
    </w:p>
    <w:p w:rsidR="00F700E4" w:rsidRDefault="00F700E4" w:rsidP="00F700E4">
      <w:pPr>
        <w:pStyle w:val="Point1letter"/>
      </w:pPr>
      <w:proofErr w:type="gramStart"/>
      <w:r>
        <w:t>r</w:t>
      </w:r>
      <w:r w:rsidRPr="00F700E4">
        <w:t>ecommend</w:t>
      </w:r>
      <w:r w:rsidR="00337FE2">
        <w:t>ations</w:t>
      </w:r>
      <w:proofErr w:type="gramEnd"/>
      <w:r w:rsidR="00337FE2">
        <w:t xml:space="preserve"> on how to dispose of it </w:t>
      </w:r>
      <w:r w:rsidRPr="00F700E4">
        <w:t>at the end of its life for recycling in line with Directive 2012/19/EU</w:t>
      </w:r>
      <w:r>
        <w:t xml:space="preserve"> (</w:t>
      </w:r>
      <w:r>
        <w:rPr>
          <w:rStyle w:val="FootnoteReference"/>
        </w:rPr>
        <w:footnoteReference w:id="7"/>
      </w:r>
      <w:r>
        <w:t>).</w:t>
      </w:r>
    </w:p>
    <w:p w:rsidR="001A5AF2" w:rsidRPr="001A5AF2" w:rsidRDefault="001A5AF2" w:rsidP="008B3B0A">
      <w:r>
        <w:lastRenderedPageBreak/>
        <w:t>The information does not need to use the exact wording on the list above. It may be displayed in the form of graphs, drawings or symbols rather than text.</w:t>
      </w:r>
    </w:p>
    <w:p w:rsidR="00E37A54" w:rsidRPr="00D34CCD" w:rsidRDefault="00E37A54" w:rsidP="00E37A54">
      <w:pPr>
        <w:pStyle w:val="Heading3"/>
      </w:pPr>
      <w:r>
        <w:t>Auxiliary parts</w:t>
      </w:r>
    </w:p>
    <w:p w:rsidR="00337FE2" w:rsidRDefault="00337FE2" w:rsidP="00337FE2">
      <w:r w:rsidRPr="00CE535E">
        <w:t xml:space="preserve">If </w:t>
      </w:r>
      <w:r>
        <w:t>an</w:t>
      </w:r>
      <w:r w:rsidRPr="00CE535E">
        <w:t xml:space="preserve"> </w:t>
      </w:r>
      <w:r>
        <w:t xml:space="preserve">auxiliary part is placed on the market, </w:t>
      </w:r>
      <w:r w:rsidRPr="00CE535E">
        <w:t xml:space="preserve">the </w:t>
      </w:r>
      <w:r>
        <w:t xml:space="preserve">following </w:t>
      </w:r>
      <w:r w:rsidRPr="00CE535E">
        <w:t>information</w:t>
      </w:r>
      <w:r>
        <w:t xml:space="preserve"> </w:t>
      </w:r>
      <w:r w:rsidRPr="00CE535E">
        <w:t xml:space="preserve">shall be </w:t>
      </w:r>
      <w:r>
        <w:t>displayed:</w:t>
      </w:r>
    </w:p>
    <w:p w:rsidR="00337FE2" w:rsidRDefault="00337FE2" w:rsidP="00337FE2">
      <w:pPr>
        <w:pStyle w:val="Point1letter"/>
        <w:numPr>
          <w:ilvl w:val="3"/>
          <w:numId w:val="39"/>
        </w:numPr>
      </w:pPr>
      <w:r>
        <w:t>the information specified in point 3.2.2;</w:t>
      </w:r>
    </w:p>
    <w:p w:rsidR="00337FE2" w:rsidRDefault="00337FE2" w:rsidP="00337FE2">
      <w:pPr>
        <w:pStyle w:val="Point1letter"/>
      </w:pPr>
      <w:r>
        <w:t xml:space="preserve">the outer dimensions in </w:t>
      </w:r>
      <w:r>
        <w:rPr>
          <w:i/>
        </w:rPr>
        <w:t>mm</w:t>
      </w:r>
      <w:r>
        <w:t xml:space="preserve"> (length and largest diameter);</w:t>
      </w:r>
    </w:p>
    <w:p w:rsidR="00337FE2" w:rsidRDefault="00337FE2" w:rsidP="00337FE2">
      <w:pPr>
        <w:pStyle w:val="Point1letter"/>
      </w:pPr>
      <w:r>
        <w:t>the power factor;</w:t>
      </w:r>
    </w:p>
    <w:p w:rsidR="00337FE2" w:rsidRDefault="00337FE2" w:rsidP="00337FE2">
      <w:pPr>
        <w:pStyle w:val="Point1letter"/>
      </w:pPr>
      <w:r>
        <w:t>if it can be used with dimmable lighting products or lighting parts, a list of compatible dimmable lightin</w:t>
      </w:r>
      <w:r w:rsidR="00B8797E">
        <w:t>g products or lighting parts;</w:t>
      </w:r>
    </w:p>
    <w:p w:rsidR="00337FE2" w:rsidRDefault="00337FE2" w:rsidP="00337FE2">
      <w:pPr>
        <w:pStyle w:val="Point1letter"/>
      </w:pPr>
      <w:proofErr w:type="gramStart"/>
      <w:r>
        <w:t>r</w:t>
      </w:r>
      <w:r w:rsidRPr="00F700E4">
        <w:t>ecommendations</w:t>
      </w:r>
      <w:proofErr w:type="gramEnd"/>
      <w:r w:rsidRPr="00F700E4">
        <w:t xml:space="preserve"> on how to dispose of </w:t>
      </w:r>
      <w:r>
        <w:t>it</w:t>
      </w:r>
      <w:r w:rsidRPr="00F700E4">
        <w:t xml:space="preserve"> at the end of its life for recycling in line with Directive 2012/19/EU</w:t>
      </w:r>
      <w:r w:rsidR="0011527A">
        <w:t>.</w:t>
      </w:r>
    </w:p>
    <w:p w:rsidR="00337FE2" w:rsidRPr="001A5AF2" w:rsidRDefault="00337FE2" w:rsidP="00337FE2">
      <w:r>
        <w:t>The information does not need to use the exact wording on the list above. It may be displayed in the form of graphs, drawings or symbols rather than text.</w:t>
      </w:r>
    </w:p>
    <w:p w:rsidR="00E82277" w:rsidRDefault="00E82277" w:rsidP="00E82277">
      <w:pPr>
        <w:pStyle w:val="Annexetitre"/>
        <w:rPr>
          <w:b w:val="0"/>
          <w:i/>
          <w:u w:val="none"/>
        </w:rPr>
        <w:sectPr w:rsidR="00E82277" w:rsidSect="00491C76">
          <w:pgSz w:w="11907" w:h="16839"/>
          <w:pgMar w:top="1134" w:right="1417" w:bottom="1134" w:left="1417" w:header="709" w:footer="709" w:gutter="0"/>
          <w:cols w:space="720"/>
          <w:docGrid w:linePitch="360"/>
        </w:sectPr>
      </w:pPr>
    </w:p>
    <w:p w:rsidR="00E82277" w:rsidRPr="003F5A03" w:rsidRDefault="00E82277" w:rsidP="00E82277">
      <w:pPr>
        <w:pStyle w:val="Annexetitre"/>
        <w:rPr>
          <w:u w:val="none"/>
        </w:rPr>
      </w:pPr>
      <w:r w:rsidRPr="003F5A03">
        <w:rPr>
          <w:b w:val="0"/>
          <w:i/>
          <w:u w:val="none"/>
        </w:rPr>
        <w:lastRenderedPageBreak/>
        <w:t>ANNEX I</w:t>
      </w:r>
      <w:r>
        <w:rPr>
          <w:b w:val="0"/>
          <w:i/>
          <w:u w:val="none"/>
        </w:rPr>
        <w:t>II</w:t>
      </w:r>
      <w:r w:rsidRPr="003F5A03">
        <w:rPr>
          <w:u w:val="none"/>
        </w:rPr>
        <w:br/>
      </w:r>
      <w:r>
        <w:rPr>
          <w:u w:val="none"/>
        </w:rPr>
        <w:t>Verification procedure</w:t>
      </w:r>
    </w:p>
    <w:p w:rsidR="00EA55AB" w:rsidRDefault="00EA55AB" w:rsidP="00EA55AB">
      <w:r w:rsidRPr="00EA55AB">
        <w:t>In the context of verifying compliance of a product model with the requirements laid down in this Regulation referred to in Article 3(2) of Directive 2009/125/EC, the authorities of the Member States shall apply the following procedure for the purposes of the requirements referred to in this Annex:</w:t>
      </w:r>
    </w:p>
    <w:p w:rsidR="00EA55AB" w:rsidRDefault="00EA55AB" w:rsidP="00EA55AB">
      <w:pPr>
        <w:pStyle w:val="Point0number"/>
        <w:numPr>
          <w:ilvl w:val="0"/>
          <w:numId w:val="47"/>
        </w:numPr>
      </w:pPr>
      <w:r>
        <w:t xml:space="preserve">The Member State authorities shall verify </w:t>
      </w:r>
      <w:r w:rsidR="00DD1811">
        <w:t>a sample batch of a minimum of 1</w:t>
      </w:r>
      <w:r>
        <w:t xml:space="preserve">0 lighting products or </w:t>
      </w:r>
      <w:r w:rsidR="00DD1811">
        <w:t xml:space="preserve">lighting product </w:t>
      </w:r>
      <w:r>
        <w:t>components of the same model from the same supplier, where possible obtained in equal proportion from four randomly selected sources.</w:t>
      </w:r>
    </w:p>
    <w:p w:rsidR="00EA55AB" w:rsidRDefault="00EA55AB" w:rsidP="00EA55AB">
      <w:pPr>
        <w:pStyle w:val="Point0number"/>
      </w:pPr>
      <w:r>
        <w:t>The model shall be considered to comply with the applicable requirements:</w:t>
      </w:r>
    </w:p>
    <w:p w:rsidR="00EA55AB" w:rsidRDefault="00EA55AB" w:rsidP="00EA55AB">
      <w:pPr>
        <w:pStyle w:val="Point1letter"/>
      </w:pPr>
      <w:r>
        <w:t>if the values in the technical documentation according to Annex IV point 2 of Directive 2009/125/EC, and where appropriate the values used to establish those values that are calculated, are not more favourable for the manufacturer or importer than the respective results of the measurements according to paragraph (g) thereof; and</w:t>
      </w:r>
    </w:p>
    <w:p w:rsidR="00EA55AB" w:rsidRDefault="00EA55AB" w:rsidP="00EA55AB">
      <w:pPr>
        <w:pStyle w:val="Point1letter"/>
      </w:pPr>
      <w:r w:rsidRPr="00CE4333">
        <w:t xml:space="preserve">if the values used to determine the compliance of the model </w:t>
      </w:r>
      <w:r w:rsidRPr="002F5C36">
        <w:t>and those provided in the product information as required by this Regulation</w:t>
      </w:r>
      <w:r w:rsidRPr="00CE4333">
        <w:t xml:space="preserve">, </w:t>
      </w:r>
      <w:r>
        <w:t>and where appropriate the values used to establish those values that are calculated are not more favourable for the manufacturer or importer than the values in the technical documentation file, including in the test reports; and</w:t>
      </w:r>
    </w:p>
    <w:p w:rsidR="00EA55AB" w:rsidRDefault="00EA55AB" w:rsidP="00EA55AB">
      <w:pPr>
        <w:pStyle w:val="Point1letter"/>
      </w:pPr>
      <w:r>
        <w:t xml:space="preserve">if, when Member State authorities test the sample batch of the model, the arithmetical mean of the measured values of the relevant parameters and the values calculated from these measurement(s) are within the respective tolerance of </w:t>
      </w:r>
      <w:r w:rsidR="00DD1811">
        <w:t>10</w:t>
      </w:r>
      <w:r>
        <w:t>%</w:t>
      </w:r>
      <w:r w:rsidR="00DD1811">
        <w:t xml:space="preserve"> for lighting products and lighting parts, and 2.5% for auxiliary parts</w:t>
      </w:r>
      <w:r>
        <w:t xml:space="preserve">. </w:t>
      </w:r>
    </w:p>
    <w:p w:rsidR="00EA55AB" w:rsidRDefault="00EA55AB" w:rsidP="005466A4">
      <w:pPr>
        <w:pStyle w:val="Point0number"/>
      </w:pPr>
      <w:r>
        <w:t xml:space="preserve">If the results referred to in the </w:t>
      </w:r>
      <w:r w:rsidR="00AF3903">
        <w:t xml:space="preserve">points 2(a)-(c) </w:t>
      </w:r>
      <w:r>
        <w:t xml:space="preserve">are not achieved, the model and all models which have been listed as equivalent product in the manufacturer's or </w:t>
      </w:r>
      <w:proofErr w:type="gramStart"/>
      <w:r>
        <w:t>supplier's</w:t>
      </w:r>
      <w:proofErr w:type="gramEnd"/>
      <w:r>
        <w:t xml:space="preserve"> technical documentation shall be considered not to comply with this Regulation.</w:t>
      </w:r>
    </w:p>
    <w:p w:rsidR="005466A4" w:rsidRDefault="005466A4" w:rsidP="00AF3903">
      <w:pPr>
        <w:pStyle w:val="Point0number"/>
      </w:pPr>
      <w:r>
        <w:t>If Member State authorities find evidence that a model is designed in a way</w:t>
      </w:r>
      <w:r w:rsidRPr="005466A4">
        <w:t xml:space="preserve"> so that </w:t>
      </w:r>
      <w:r>
        <w:t>its</w:t>
      </w:r>
      <w:r w:rsidRPr="005466A4">
        <w:t xml:space="preserve"> performance is altered during a verification process with the objective to improve </w:t>
      </w:r>
      <w:r>
        <w:t>its</w:t>
      </w:r>
      <w:r w:rsidRPr="005466A4">
        <w:t xml:space="preserve"> energy efficiency or functionality</w:t>
      </w:r>
      <w:r>
        <w:t xml:space="preserve">, this model </w:t>
      </w:r>
      <w:r w:rsidR="00300C0D">
        <w:t xml:space="preserve">and all models which have been listed as equivalent product in the manufacturer's or supplier's technical documentation </w:t>
      </w:r>
      <w:r>
        <w:t>shall be considered not to comply with this Regulation regardless of the results referred to in the points 2(a)-(c).</w:t>
      </w:r>
    </w:p>
    <w:p w:rsidR="005466A4" w:rsidRDefault="00AF3903" w:rsidP="005466A4">
      <w:pPr>
        <w:pStyle w:val="Point0number"/>
      </w:pPr>
      <w:r>
        <w:t>Member State authorities shall use the measurement methods set out in Annex IV and only apply the verification tolerance as specified in point 2(c). No other tolerances, such as those set out in harmonised standards or in any other measurement method, shall be applied.</w:t>
      </w:r>
    </w:p>
    <w:p w:rsidR="007A2FA2" w:rsidRDefault="005466A4" w:rsidP="005466A4">
      <w:pPr>
        <w:pStyle w:val="Point0number"/>
      </w:pPr>
      <w:r>
        <w:t>The Member State authorities shall provide all relevant information to the authorities of the other Member States and to the Commission within one month of the decision being taken on either the compliance or the non-compliance of the model.</w:t>
      </w:r>
    </w:p>
    <w:p w:rsidR="005466A4" w:rsidRDefault="005466A4" w:rsidP="005466A4">
      <w:pPr>
        <w:sectPr w:rsidR="005466A4" w:rsidSect="00491C76">
          <w:pgSz w:w="11907" w:h="16839"/>
          <w:pgMar w:top="1134" w:right="1417" w:bottom="1134" w:left="1417" w:header="709" w:footer="709" w:gutter="0"/>
          <w:cols w:space="720"/>
          <w:docGrid w:linePitch="360"/>
        </w:sectPr>
      </w:pPr>
    </w:p>
    <w:p w:rsidR="00E82277" w:rsidRPr="003F5A03" w:rsidRDefault="00E82277" w:rsidP="00E82277">
      <w:pPr>
        <w:pStyle w:val="Annexetitre"/>
        <w:rPr>
          <w:u w:val="none"/>
        </w:rPr>
      </w:pPr>
      <w:r w:rsidRPr="003F5A03">
        <w:rPr>
          <w:b w:val="0"/>
          <w:i/>
          <w:u w:val="none"/>
        </w:rPr>
        <w:lastRenderedPageBreak/>
        <w:t>ANNEX I</w:t>
      </w:r>
      <w:r>
        <w:rPr>
          <w:b w:val="0"/>
          <w:i/>
          <w:u w:val="none"/>
        </w:rPr>
        <w:t>V</w:t>
      </w:r>
      <w:r w:rsidRPr="003F5A03">
        <w:rPr>
          <w:u w:val="none"/>
        </w:rPr>
        <w:br/>
      </w:r>
      <w:r>
        <w:rPr>
          <w:u w:val="none"/>
        </w:rPr>
        <w:t>Measurement methods</w:t>
      </w:r>
    </w:p>
    <w:p w:rsidR="00E82277" w:rsidRDefault="005466A4" w:rsidP="004861E3">
      <w:r w:rsidRPr="005466A4">
        <w:t xml:space="preserve">Member State authorities shall use reliable, accurate and reproducible measurement procedures, which take into account the generally recognised state-of-the-art measurement methods, including methods set out in documents whose reference numbers have been published for that purpose in the </w:t>
      </w:r>
      <w:r w:rsidRPr="005466A4">
        <w:rPr>
          <w:i/>
        </w:rPr>
        <w:t>Official Journal of the European Union</w:t>
      </w:r>
      <w:r w:rsidRPr="005466A4">
        <w:t>.</w:t>
      </w:r>
    </w:p>
    <w:p w:rsidR="005466A4" w:rsidRDefault="00D36392" w:rsidP="005466A4">
      <w:r>
        <w:t>Models from l</w:t>
      </w:r>
      <w:r w:rsidR="00C5315F">
        <w:t xml:space="preserve">ighting products and lighting product components shall undergo an </w:t>
      </w:r>
      <w:r w:rsidR="00C5315F" w:rsidRPr="00C5315F">
        <w:t>accelerated</w:t>
      </w:r>
      <w:r w:rsidR="00C5315F">
        <w:t xml:space="preserve"> </w:t>
      </w:r>
      <w:r w:rsidR="00C5315F" w:rsidRPr="00C5315F">
        <w:t>endurance testing</w:t>
      </w:r>
      <w:r w:rsidR="00C5315F">
        <w:t xml:space="preserve"> to verify the specified functional parameters</w:t>
      </w:r>
      <w:r>
        <w:t xml:space="preserve"> according to Annex II</w:t>
      </w:r>
      <w:r w:rsidR="00C5315F">
        <w:t xml:space="preserve">. This </w:t>
      </w:r>
      <w:r w:rsidR="00C5315F" w:rsidRPr="00C5315F">
        <w:t>accelerated</w:t>
      </w:r>
      <w:r w:rsidR="00C5315F">
        <w:t xml:space="preserve"> </w:t>
      </w:r>
      <w:r w:rsidR="00C5315F" w:rsidRPr="00C5315F">
        <w:t>endurance testing</w:t>
      </w:r>
      <w:r w:rsidR="00C5315F">
        <w:t xml:space="preserve"> shall consist of</w:t>
      </w:r>
      <w:r w:rsidR="00C21E8B">
        <w:t xml:space="preserve"> three single tests</w:t>
      </w:r>
      <w:r w:rsidR="00C5315F">
        <w:t>:</w:t>
      </w:r>
    </w:p>
    <w:p w:rsidR="005466A4" w:rsidRDefault="00C5315F" w:rsidP="00D00E94">
      <w:pPr>
        <w:pStyle w:val="Point0number"/>
        <w:numPr>
          <w:ilvl w:val="0"/>
          <w:numId w:val="49"/>
        </w:numPr>
      </w:pPr>
      <w:r>
        <w:t>A t</w:t>
      </w:r>
      <w:r w:rsidR="005466A4">
        <w:t xml:space="preserve">emperature cycling </w:t>
      </w:r>
      <w:r>
        <w:t>test: the duration of this test is half the model's rated life-time with a maximum of</w:t>
      </w:r>
      <w:r w:rsidR="00D36392">
        <w:t xml:space="preserve"> 1000</w:t>
      </w:r>
      <w:r w:rsidR="00D36392" w:rsidRPr="00D00E94">
        <w:rPr>
          <w:i/>
        </w:rPr>
        <w:t>h</w:t>
      </w:r>
      <w:r>
        <w:t>. The temperature is varied from -10</w:t>
      </w:r>
      <w:r w:rsidR="005466A4" w:rsidRPr="00D00E94">
        <w:rPr>
          <w:i/>
        </w:rPr>
        <w:t>°C</w:t>
      </w:r>
      <w:r>
        <w:t xml:space="preserve"> to +40</w:t>
      </w:r>
      <w:r w:rsidR="005466A4" w:rsidRPr="00D00E94">
        <w:rPr>
          <w:i/>
        </w:rPr>
        <w:t>°</w:t>
      </w:r>
      <w:proofErr w:type="spellStart"/>
      <w:r w:rsidR="005466A4" w:rsidRPr="00D00E94">
        <w:rPr>
          <w:i/>
        </w:rPr>
        <w:t>C</w:t>
      </w:r>
      <w:r>
        <w:t xml:space="preserve"> over</w:t>
      </w:r>
      <w:proofErr w:type="spellEnd"/>
      <w:r>
        <w:t xml:space="preserve"> 4</w:t>
      </w:r>
      <w:r w:rsidR="005466A4" w:rsidRPr="00D00E94">
        <w:rPr>
          <w:i/>
        </w:rPr>
        <w:t>h</w:t>
      </w:r>
      <w:r>
        <w:t xml:space="preserve"> periods. A 4</w:t>
      </w:r>
      <w:r w:rsidR="005466A4" w:rsidRPr="00D00E94">
        <w:rPr>
          <w:i/>
        </w:rPr>
        <w:t>h</w:t>
      </w:r>
      <w:r>
        <w:t xml:space="preserve"> period consists of 1</w:t>
      </w:r>
      <w:r w:rsidR="005466A4" w:rsidRPr="00D00E94">
        <w:rPr>
          <w:i/>
        </w:rPr>
        <w:t>h</w:t>
      </w:r>
      <w:r w:rsidR="005466A4">
        <w:t xml:space="preserve"> holding</w:t>
      </w:r>
      <w:r>
        <w:t xml:space="preserve"> time</w:t>
      </w:r>
      <w:r w:rsidR="005466A4">
        <w:t xml:space="preserve"> at each </w:t>
      </w:r>
      <w:r>
        <w:t>end temperature and 1</w:t>
      </w:r>
      <w:r w:rsidR="005466A4" w:rsidRPr="00D00E94">
        <w:rPr>
          <w:i/>
        </w:rPr>
        <w:t>h</w:t>
      </w:r>
      <w:r w:rsidR="005466A4">
        <w:t xml:space="preserve"> transfer </w:t>
      </w:r>
      <w:r w:rsidR="00D36392">
        <w:t xml:space="preserve">time with a </w:t>
      </w:r>
      <w:r>
        <w:t>rate of temperature change</w:t>
      </w:r>
      <w:r w:rsidR="00D36392">
        <w:t xml:space="preserve"> of</w:t>
      </w:r>
      <w:r>
        <w:t xml:space="preserve"> 1</w:t>
      </w:r>
      <w:r w:rsidRPr="00D00E94">
        <w:rPr>
          <w:i/>
        </w:rPr>
        <w:t>°C/min</w:t>
      </w:r>
      <w:r>
        <w:t xml:space="preserve"> until</w:t>
      </w:r>
      <w:r w:rsidR="00D36392">
        <w:t xml:space="preserve"> the</w:t>
      </w:r>
      <w:r>
        <w:t xml:space="preserve"> end temperature is reached</w:t>
      </w:r>
      <w:r w:rsidR="00D36392">
        <w:t>.</w:t>
      </w:r>
      <w:r w:rsidR="005466A4">
        <w:t xml:space="preserve"> </w:t>
      </w:r>
      <w:r w:rsidR="00D36392">
        <w:t>During the test the</w:t>
      </w:r>
      <w:r w:rsidR="005466A4">
        <w:t xml:space="preserve"> </w:t>
      </w:r>
      <w:r w:rsidR="00D36392">
        <w:t>model</w:t>
      </w:r>
      <w:r w:rsidR="005466A4">
        <w:t xml:space="preserve"> is switched on </w:t>
      </w:r>
      <w:r w:rsidR="00D36392">
        <w:t>for 34</w:t>
      </w:r>
      <w:r w:rsidR="005466A4" w:rsidRPr="00D00E94">
        <w:rPr>
          <w:i/>
        </w:rPr>
        <w:t>min</w:t>
      </w:r>
      <w:r w:rsidR="00D36392">
        <w:t xml:space="preserve"> and off for 34</w:t>
      </w:r>
      <w:r w:rsidR="005466A4" w:rsidRPr="00D00E94">
        <w:rPr>
          <w:i/>
        </w:rPr>
        <w:t>min</w:t>
      </w:r>
      <w:r w:rsidR="00D36392">
        <w:t>.</w:t>
      </w:r>
    </w:p>
    <w:p w:rsidR="00D36392" w:rsidRDefault="00D36392" w:rsidP="00D00E94">
      <w:pPr>
        <w:pStyle w:val="Point0number"/>
        <w:numPr>
          <w:ilvl w:val="0"/>
          <w:numId w:val="49"/>
        </w:numPr>
      </w:pPr>
      <w:r>
        <w:t>A high temperature test: the duration of this test is half the model's rated life-time with a maximum of 1000</w:t>
      </w:r>
      <w:r w:rsidRPr="00D00E94">
        <w:rPr>
          <w:i/>
        </w:rPr>
        <w:t>h</w:t>
      </w:r>
      <w:r>
        <w:t xml:space="preserve">. The model </w:t>
      </w:r>
      <w:r w:rsidRPr="00D36392">
        <w:t>shall be operated continuously without switching at a temperature corresponding to 10</w:t>
      </w:r>
      <w:r w:rsidRPr="00D00E94">
        <w:rPr>
          <w:i/>
        </w:rPr>
        <w:t>°C</w:t>
      </w:r>
      <w:r w:rsidRPr="00D36392">
        <w:t xml:space="preserve"> above the maximum </w:t>
      </w:r>
      <w:r>
        <w:t>specified operating temperature</w:t>
      </w:r>
      <w:r w:rsidRPr="00D36392">
        <w:t xml:space="preserve"> i</w:t>
      </w:r>
      <w:r>
        <w:t xml:space="preserve">f declared by the manufacturer. </w:t>
      </w:r>
      <w:r w:rsidRPr="00D36392">
        <w:t>If there is no declared value</w:t>
      </w:r>
      <w:r>
        <w:t xml:space="preserve"> or the value is below 4</w:t>
      </w:r>
      <w:r w:rsidRPr="00D36392">
        <w:t>0</w:t>
      </w:r>
      <w:r w:rsidRPr="00D00E94">
        <w:rPr>
          <w:i/>
        </w:rPr>
        <w:t>°C</w:t>
      </w:r>
      <w:r>
        <w:t>,</w:t>
      </w:r>
      <w:r w:rsidRPr="00D36392">
        <w:t xml:space="preserve"> then the test shall be performed</w:t>
      </w:r>
      <w:r>
        <w:t xml:space="preserve"> at 50</w:t>
      </w:r>
      <w:r w:rsidRPr="00D00E94">
        <w:rPr>
          <w:i/>
        </w:rPr>
        <w:t>°C</w:t>
      </w:r>
      <w:r w:rsidRPr="00D36392">
        <w:t xml:space="preserve">. Any thermal protecting devices that would switch off the </w:t>
      </w:r>
      <w:r>
        <w:t>model</w:t>
      </w:r>
      <w:r w:rsidRPr="00D36392">
        <w:t xml:space="preserve"> or reduce </w:t>
      </w:r>
      <w:r>
        <w:t>its performance shall be bypassed.</w:t>
      </w:r>
    </w:p>
    <w:p w:rsidR="00D36392" w:rsidRDefault="00D36392" w:rsidP="00D00E94">
      <w:pPr>
        <w:pStyle w:val="Point0number"/>
        <w:numPr>
          <w:ilvl w:val="0"/>
          <w:numId w:val="49"/>
        </w:numPr>
      </w:pPr>
      <w:r>
        <w:t>A switching test: the duration shall be 168</w:t>
      </w:r>
      <w:r w:rsidRPr="00D00E94">
        <w:rPr>
          <w:i/>
        </w:rPr>
        <w:t>h</w:t>
      </w:r>
      <w:r>
        <w:t>. T</w:t>
      </w:r>
      <w:r w:rsidR="005466A4">
        <w:t xml:space="preserve">he </w:t>
      </w:r>
      <w:r>
        <w:t>model</w:t>
      </w:r>
      <w:r w:rsidR="005466A4">
        <w:t xml:space="preserve"> shal</w:t>
      </w:r>
      <w:r>
        <w:t xml:space="preserve">l be switched on and off for </w:t>
      </w:r>
      <w:r w:rsidR="00D00E94">
        <w:t>10</w:t>
      </w:r>
      <w:r w:rsidR="005466A4" w:rsidRPr="00D00E94">
        <w:rPr>
          <w:i/>
        </w:rPr>
        <w:t>s</w:t>
      </w:r>
      <w:r>
        <w:t xml:space="preserve"> each.</w:t>
      </w:r>
    </w:p>
    <w:p w:rsidR="00D36392" w:rsidRDefault="00D36392" w:rsidP="005466A4">
      <w:r>
        <w:t xml:space="preserve">At the end of </w:t>
      </w:r>
      <w:r w:rsidR="00C21E8B">
        <w:t xml:space="preserve">the </w:t>
      </w:r>
      <w:r w:rsidR="00D00E94" w:rsidRPr="00D00E94">
        <w:t>accelerated endurance test</w:t>
      </w:r>
      <w:r w:rsidR="00C21E8B">
        <w:t>s</w:t>
      </w:r>
      <w:r w:rsidR="00D00E94">
        <w:t xml:space="preserve"> described in (1)-(3),</w:t>
      </w:r>
      <w:r>
        <w:t xml:space="preserve"> all the </w:t>
      </w:r>
      <w:r w:rsidR="00D00E94">
        <w:t xml:space="preserve">models shall be operated </w:t>
      </w:r>
      <w:r>
        <w:t xml:space="preserve">for a period of </w:t>
      </w:r>
      <w:r w:rsidR="00D00E94">
        <w:t>15</w:t>
      </w:r>
      <w:r w:rsidRPr="00D00E94">
        <w:rPr>
          <w:i/>
        </w:rPr>
        <w:t>min</w:t>
      </w:r>
      <w:r w:rsidR="00D00E94">
        <w:t>. If they continue to operate within the require lumen deterioration and</w:t>
      </w:r>
      <w:r>
        <w:t xml:space="preserve"> show no physical effects such as crac</w:t>
      </w:r>
      <w:r w:rsidR="00D00E94">
        <w:t>ks or delaminating of the label, they shall consider to have passed. All other cases shall count as failure.</w:t>
      </w:r>
    </w:p>
    <w:p w:rsidR="005466A4" w:rsidRDefault="005466A4" w:rsidP="004861E3">
      <w:pPr>
        <w:sectPr w:rsidR="005466A4" w:rsidSect="00491C76">
          <w:pgSz w:w="11907" w:h="16839"/>
          <w:pgMar w:top="1134" w:right="1417" w:bottom="1134" w:left="1417" w:header="709" w:footer="709" w:gutter="0"/>
          <w:cols w:space="720"/>
          <w:docGrid w:linePitch="360"/>
        </w:sectPr>
      </w:pPr>
    </w:p>
    <w:p w:rsidR="00E82277" w:rsidRPr="003F5A03" w:rsidRDefault="00E82277" w:rsidP="00E82277">
      <w:pPr>
        <w:pStyle w:val="Annexetitre"/>
        <w:rPr>
          <w:u w:val="none"/>
        </w:rPr>
      </w:pPr>
      <w:r>
        <w:rPr>
          <w:b w:val="0"/>
          <w:i/>
          <w:u w:val="none"/>
        </w:rPr>
        <w:lastRenderedPageBreak/>
        <w:t>ANNEX V</w:t>
      </w:r>
      <w:r w:rsidRPr="003F5A03">
        <w:rPr>
          <w:u w:val="none"/>
        </w:rPr>
        <w:br/>
      </w:r>
      <w:r>
        <w:rPr>
          <w:u w:val="none"/>
        </w:rPr>
        <w:t>Benchmarks</w:t>
      </w:r>
    </w:p>
    <w:p w:rsidR="00320946" w:rsidRDefault="00320946" w:rsidP="00320946">
      <w:r>
        <w:t>The best available technology on the market, at the time of entry into force of this Regulation, for the environmental aspects that were considered significant and are quantifiable is indicated below.</w:t>
      </w:r>
    </w:p>
    <w:p w:rsidR="00320946" w:rsidRDefault="00320946" w:rsidP="00320946">
      <w:r>
        <w:t>Features required in certain applications, e.g. a high colour rendering, might prevent products offering those features from achieving these benchmarks.</w:t>
      </w:r>
    </w:p>
    <w:p w:rsidR="00320946" w:rsidRDefault="00320946" w:rsidP="00320946">
      <w:pPr>
        <w:pStyle w:val="Heading1"/>
        <w:numPr>
          <w:ilvl w:val="0"/>
          <w:numId w:val="42"/>
        </w:numPr>
      </w:pPr>
      <w:r>
        <w:t>Energy efficiency</w:t>
      </w:r>
    </w:p>
    <w:p w:rsidR="00320946" w:rsidRDefault="00320946" w:rsidP="00320946">
      <w:r>
        <w:t xml:space="preserve">The most efficient lighting products and lighting parts have an </w:t>
      </w:r>
      <w:r w:rsidR="00C4303A">
        <w:t>energy efficiency</w:t>
      </w:r>
      <w:r>
        <w:t xml:space="preserve"> of 200</w:t>
      </w:r>
      <w:r w:rsidRPr="00320946">
        <w:rPr>
          <w:i/>
        </w:rPr>
        <w:t>lm/W</w:t>
      </w:r>
      <w:r>
        <w:t>.</w:t>
      </w:r>
    </w:p>
    <w:p w:rsidR="00320946" w:rsidRDefault="00320946" w:rsidP="00320946">
      <w:r>
        <w:t xml:space="preserve">The most efficient auxiliary parts have an </w:t>
      </w:r>
      <w:r w:rsidR="00C4303A">
        <w:t>energy efficiency</w:t>
      </w:r>
      <w:r>
        <w:t xml:space="preserve"> of 95%.</w:t>
      </w:r>
    </w:p>
    <w:p w:rsidR="00320946" w:rsidRDefault="00320946" w:rsidP="00320946">
      <w:pPr>
        <w:pStyle w:val="Heading1"/>
        <w:numPr>
          <w:ilvl w:val="0"/>
          <w:numId w:val="42"/>
        </w:numPr>
      </w:pPr>
      <w:r>
        <w:t>Mercury content</w:t>
      </w:r>
    </w:p>
    <w:p w:rsidR="004861E3" w:rsidRPr="00AE67AF" w:rsidRDefault="00320946" w:rsidP="00320946">
      <w:r>
        <w:t>The most efficient lighting products and lighting product components do not have any mercury content.</w:t>
      </w:r>
    </w:p>
    <w:sectPr w:rsidR="004861E3" w:rsidRPr="00AE67AF" w:rsidSect="00491C7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F2" w:rsidRDefault="002122F2" w:rsidP="002122F2">
      <w:pPr>
        <w:spacing w:before="0" w:after="0"/>
      </w:pPr>
      <w:r>
        <w:separator/>
      </w:r>
    </w:p>
  </w:endnote>
  <w:endnote w:type="continuationSeparator" w:id="0">
    <w:p w:rsidR="002122F2" w:rsidRDefault="002122F2" w:rsidP="00212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42" w:rsidRPr="00491C76" w:rsidRDefault="00491C76" w:rsidP="00491C76">
    <w:pPr>
      <w:pStyle w:val="Footer"/>
      <w:rPr>
        <w:rFonts w:ascii="Arial" w:hAnsi="Arial" w:cs="Arial"/>
        <w:b/>
        <w:sz w:val="48"/>
      </w:rPr>
    </w:pPr>
    <w:r w:rsidRPr="00491C76">
      <w:rPr>
        <w:rFonts w:ascii="Arial" w:hAnsi="Arial" w:cs="Arial"/>
        <w:b/>
        <w:sz w:val="48"/>
      </w:rPr>
      <w:t>EN</w:t>
    </w:r>
    <w:r w:rsidRPr="00491C76">
      <w:rPr>
        <w:rFonts w:ascii="Arial" w:hAnsi="Arial" w:cs="Arial"/>
        <w:b/>
        <w:sz w:val="48"/>
      </w:rPr>
      <w:tab/>
    </w:r>
    <w:r w:rsidRPr="00491C76">
      <w:rPr>
        <w:rFonts w:ascii="Arial" w:hAnsi="Arial" w:cs="Arial"/>
        <w:b/>
        <w:sz w:val="48"/>
      </w:rPr>
      <w:tab/>
    </w:r>
    <w:fldSimple w:instr=" DOCVARIABLE &quot;LW_Confidence&quot; \* MERGEFORMAT ">
      <w:r>
        <w:t xml:space="preserve"> </w:t>
      </w:r>
    </w:fldSimple>
    <w:r w:rsidRPr="00491C76">
      <w:tab/>
    </w:r>
    <w:proofErr w:type="spellStart"/>
    <w:r w:rsidRPr="00491C76">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76" w:rsidRPr="00491C76" w:rsidRDefault="00491C76" w:rsidP="00491C76">
    <w:pPr>
      <w:pStyle w:val="Footer"/>
      <w:rPr>
        <w:rFonts w:ascii="Arial" w:hAnsi="Arial" w:cs="Arial"/>
        <w:b/>
        <w:sz w:val="48"/>
      </w:rPr>
    </w:pPr>
    <w:r w:rsidRPr="00491C76">
      <w:rPr>
        <w:rFonts w:ascii="Arial" w:hAnsi="Arial" w:cs="Arial"/>
        <w:b/>
        <w:sz w:val="48"/>
      </w:rPr>
      <w:t>EN</w:t>
    </w:r>
    <w:r w:rsidRPr="00491C76">
      <w:rPr>
        <w:rFonts w:ascii="Arial" w:hAnsi="Arial" w:cs="Arial"/>
        <w:b/>
        <w:sz w:val="48"/>
      </w:rPr>
      <w:tab/>
    </w:r>
    <w:r>
      <w:fldChar w:fldCharType="begin"/>
    </w:r>
    <w:r>
      <w:instrText xml:space="preserve"> PAGE  \* MERGEFORMAT </w:instrText>
    </w:r>
    <w:r>
      <w:fldChar w:fldCharType="separate"/>
    </w:r>
    <w:r w:rsidR="00233498">
      <w:rPr>
        <w:noProof/>
      </w:rPr>
      <w:t>16</w:t>
    </w:r>
    <w:r>
      <w:fldChar w:fldCharType="end"/>
    </w:r>
    <w:r>
      <w:tab/>
    </w:r>
    <w:fldSimple w:instr=" DOCVARIABLE &quot;LW_Confidence&quot; \* MERGEFORMAT ">
      <w:r>
        <w:t xml:space="preserve"> </w:t>
      </w:r>
    </w:fldSimple>
    <w:r w:rsidRPr="00491C76">
      <w:tab/>
    </w:r>
    <w:r w:rsidRPr="00491C76">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76" w:rsidRPr="00491C76" w:rsidRDefault="00491C76" w:rsidP="00491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F2" w:rsidRDefault="002122F2" w:rsidP="002122F2">
      <w:pPr>
        <w:spacing w:before="0" w:after="0"/>
      </w:pPr>
      <w:r>
        <w:separator/>
      </w:r>
    </w:p>
  </w:footnote>
  <w:footnote w:type="continuationSeparator" w:id="0">
    <w:p w:rsidR="002122F2" w:rsidRDefault="002122F2" w:rsidP="002122F2">
      <w:pPr>
        <w:spacing w:before="0" w:after="0"/>
      </w:pPr>
      <w:r>
        <w:continuationSeparator/>
      </w:r>
    </w:p>
  </w:footnote>
  <w:footnote w:id="1">
    <w:p w:rsidR="002122F2" w:rsidRPr="007222DB" w:rsidRDefault="002122F2" w:rsidP="00494D5E">
      <w:pPr>
        <w:pStyle w:val="FootnoteText"/>
        <w:rPr>
          <w:iCs/>
          <w:lang w:val="pl-PL"/>
        </w:rPr>
      </w:pPr>
      <w:r w:rsidRPr="007524F4">
        <w:rPr>
          <w:rStyle w:val="FootnoteReference"/>
        </w:rPr>
        <w:footnoteRef/>
      </w:r>
      <w:r w:rsidRPr="007222DB">
        <w:rPr>
          <w:lang w:val="pl-PL"/>
        </w:rPr>
        <w:tab/>
      </w:r>
      <w:r w:rsidR="00F700E4">
        <w:rPr>
          <w:iCs/>
          <w:lang w:val="pl-PL"/>
        </w:rPr>
        <w:t xml:space="preserve">OJ L 285, 31.10.2009, </w:t>
      </w:r>
      <w:proofErr w:type="gramStart"/>
      <w:r w:rsidR="00F700E4">
        <w:rPr>
          <w:iCs/>
          <w:lang w:val="pl-PL"/>
        </w:rPr>
        <w:t>p</w:t>
      </w:r>
      <w:proofErr w:type="gramEnd"/>
      <w:r w:rsidR="00F700E4">
        <w:rPr>
          <w:iCs/>
          <w:lang w:val="pl-PL"/>
        </w:rPr>
        <w:t>. 10.</w:t>
      </w:r>
    </w:p>
  </w:footnote>
  <w:footnote w:id="2">
    <w:p w:rsidR="008C4A03" w:rsidRPr="007222DB" w:rsidRDefault="008C4A03" w:rsidP="008C4A03">
      <w:pPr>
        <w:pStyle w:val="FootnoteText"/>
        <w:rPr>
          <w:iCs/>
          <w:lang w:val="pl-PL"/>
        </w:rPr>
      </w:pPr>
      <w:r w:rsidRPr="007524F4">
        <w:rPr>
          <w:rStyle w:val="FootnoteReference"/>
        </w:rPr>
        <w:footnoteRef/>
      </w:r>
      <w:r w:rsidRPr="007222DB">
        <w:rPr>
          <w:lang w:val="pl-PL"/>
        </w:rPr>
        <w:tab/>
      </w:r>
      <w:r>
        <w:rPr>
          <w:iCs/>
          <w:lang w:val="pl-PL"/>
        </w:rPr>
        <w:t xml:space="preserve">OJ L 76, 24.3.2009, </w:t>
      </w:r>
      <w:proofErr w:type="gramStart"/>
      <w:r>
        <w:rPr>
          <w:iCs/>
          <w:lang w:val="pl-PL"/>
        </w:rPr>
        <w:t>p</w:t>
      </w:r>
      <w:proofErr w:type="gramEnd"/>
      <w:r>
        <w:rPr>
          <w:iCs/>
          <w:lang w:val="pl-PL"/>
        </w:rPr>
        <w:t>. 3.</w:t>
      </w:r>
    </w:p>
  </w:footnote>
  <w:footnote w:id="3">
    <w:p w:rsidR="008C4A03" w:rsidRPr="007222DB" w:rsidRDefault="008C4A03" w:rsidP="008C4A03">
      <w:pPr>
        <w:pStyle w:val="FootnoteText"/>
        <w:rPr>
          <w:iCs/>
          <w:lang w:val="pl-PL"/>
        </w:rPr>
      </w:pPr>
      <w:r w:rsidRPr="007524F4">
        <w:rPr>
          <w:rStyle w:val="FootnoteReference"/>
        </w:rPr>
        <w:footnoteRef/>
      </w:r>
      <w:r w:rsidRPr="007222DB">
        <w:rPr>
          <w:lang w:val="pl-PL"/>
        </w:rPr>
        <w:tab/>
      </w:r>
      <w:r>
        <w:rPr>
          <w:iCs/>
          <w:lang w:val="pl-PL"/>
        </w:rPr>
        <w:t xml:space="preserve">OJ L 76, 24.3.2009, </w:t>
      </w:r>
      <w:proofErr w:type="gramStart"/>
      <w:r>
        <w:rPr>
          <w:iCs/>
          <w:lang w:val="pl-PL"/>
        </w:rPr>
        <w:t>p</w:t>
      </w:r>
      <w:proofErr w:type="gramEnd"/>
      <w:r>
        <w:rPr>
          <w:iCs/>
          <w:lang w:val="pl-PL"/>
        </w:rPr>
        <w:t>. 17.</w:t>
      </w:r>
    </w:p>
  </w:footnote>
  <w:footnote w:id="4">
    <w:p w:rsidR="008C4A03" w:rsidRPr="007222DB" w:rsidRDefault="008C4A03" w:rsidP="008C4A03">
      <w:pPr>
        <w:pStyle w:val="FootnoteText"/>
        <w:rPr>
          <w:iCs/>
          <w:lang w:val="pl-PL"/>
        </w:rPr>
      </w:pPr>
      <w:r w:rsidRPr="007524F4">
        <w:rPr>
          <w:rStyle w:val="FootnoteReference"/>
        </w:rPr>
        <w:footnoteRef/>
      </w:r>
      <w:r w:rsidRPr="007222DB">
        <w:rPr>
          <w:lang w:val="pl-PL"/>
        </w:rPr>
        <w:tab/>
      </w:r>
      <w:r>
        <w:rPr>
          <w:iCs/>
          <w:lang w:val="pl-PL"/>
        </w:rPr>
        <w:t xml:space="preserve">OJ L 342, 14.12.2012, </w:t>
      </w:r>
      <w:proofErr w:type="gramStart"/>
      <w:r>
        <w:rPr>
          <w:iCs/>
          <w:lang w:val="pl-PL"/>
        </w:rPr>
        <w:t>p</w:t>
      </w:r>
      <w:proofErr w:type="gramEnd"/>
      <w:r>
        <w:rPr>
          <w:iCs/>
          <w:lang w:val="pl-PL"/>
        </w:rPr>
        <w:t>. 1.</w:t>
      </w:r>
    </w:p>
  </w:footnote>
  <w:footnote w:id="5">
    <w:p w:rsidR="002622B4" w:rsidRPr="002622B4" w:rsidRDefault="002622B4" w:rsidP="002622B4">
      <w:pPr>
        <w:pStyle w:val="FootnoteText"/>
        <w:ind w:left="0" w:firstLine="0"/>
        <w:rPr>
          <w:lang w:val="pl-PL"/>
        </w:rPr>
      </w:pPr>
      <w:r w:rsidRPr="007524F4">
        <w:rPr>
          <w:rStyle w:val="FootnoteReference"/>
        </w:rPr>
        <w:footnoteRef/>
      </w:r>
      <w:r w:rsidRPr="007222DB">
        <w:rPr>
          <w:lang w:val="pl-PL"/>
        </w:rPr>
        <w:tab/>
      </w:r>
      <w:r>
        <w:rPr>
          <w:iCs/>
          <w:lang w:val="pl-PL"/>
        </w:rPr>
        <w:t xml:space="preserve">OJ L 204, 27.7.1998, </w:t>
      </w:r>
      <w:proofErr w:type="gramStart"/>
      <w:r>
        <w:rPr>
          <w:iCs/>
          <w:lang w:val="pl-PL"/>
        </w:rPr>
        <w:t>p</w:t>
      </w:r>
      <w:proofErr w:type="gramEnd"/>
      <w:r>
        <w:rPr>
          <w:iCs/>
          <w:lang w:val="pl-PL"/>
        </w:rPr>
        <w:t>. 37.</w:t>
      </w:r>
    </w:p>
  </w:footnote>
  <w:footnote w:id="6">
    <w:p w:rsidR="007222DB" w:rsidRPr="007222DB" w:rsidRDefault="007222DB" w:rsidP="007222DB">
      <w:pPr>
        <w:pStyle w:val="FootnoteText"/>
        <w:rPr>
          <w:lang w:val="pl-PL"/>
        </w:rPr>
      </w:pPr>
      <w:r>
        <w:rPr>
          <w:rStyle w:val="FootnoteReference"/>
        </w:rPr>
        <w:footnoteRef/>
      </w:r>
      <w:r w:rsidRPr="007222DB">
        <w:rPr>
          <w:lang w:val="pl-PL"/>
        </w:rPr>
        <w:t xml:space="preserve"> </w:t>
      </w:r>
      <w:r w:rsidRPr="007222DB">
        <w:rPr>
          <w:lang w:val="pl-PL"/>
        </w:rPr>
        <w:tab/>
        <w:t xml:space="preserve">OJ L 96, 29.3.2014, </w:t>
      </w:r>
      <w:proofErr w:type="gramStart"/>
      <w:r w:rsidRPr="007222DB">
        <w:rPr>
          <w:lang w:val="pl-PL"/>
        </w:rPr>
        <w:t>p</w:t>
      </w:r>
      <w:proofErr w:type="gramEnd"/>
      <w:r w:rsidRPr="007222DB">
        <w:rPr>
          <w:lang w:val="pl-PL"/>
        </w:rPr>
        <w:t>. 309–356</w:t>
      </w:r>
      <w:r w:rsidR="00F700E4">
        <w:rPr>
          <w:lang w:val="pl-PL"/>
        </w:rPr>
        <w:t>.</w:t>
      </w:r>
    </w:p>
  </w:footnote>
  <w:footnote w:id="7">
    <w:p w:rsidR="00F700E4" w:rsidRPr="00306823" w:rsidRDefault="00F700E4">
      <w:pPr>
        <w:pStyle w:val="FootnoteText"/>
        <w:rPr>
          <w:lang w:val="pl-PL"/>
        </w:rPr>
      </w:pPr>
      <w:r>
        <w:rPr>
          <w:rStyle w:val="FootnoteReference"/>
        </w:rPr>
        <w:footnoteRef/>
      </w:r>
      <w:r w:rsidRPr="00306823">
        <w:rPr>
          <w:lang w:val="pl-PL"/>
        </w:rPr>
        <w:t xml:space="preserve"> </w:t>
      </w:r>
      <w:r w:rsidRPr="00306823">
        <w:rPr>
          <w:lang w:val="pl-PL"/>
        </w:rPr>
        <w:tab/>
        <w:t xml:space="preserve">OJ L 197, 24.7.2012, </w:t>
      </w:r>
      <w:proofErr w:type="gramStart"/>
      <w:r w:rsidRPr="00306823">
        <w:rPr>
          <w:lang w:val="pl-PL"/>
        </w:rPr>
        <w:t>p</w:t>
      </w:r>
      <w:proofErr w:type="gramEnd"/>
      <w:r w:rsidRPr="00306823">
        <w:rPr>
          <w:lang w:val="pl-PL"/>
        </w:rPr>
        <w:t>. 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6834A"/>
    <w:lvl w:ilvl="0">
      <w:start w:val="1"/>
      <w:numFmt w:val="decimal"/>
      <w:lvlText w:val="%1."/>
      <w:lvlJc w:val="left"/>
      <w:pPr>
        <w:tabs>
          <w:tab w:val="num" w:pos="1492"/>
        </w:tabs>
        <w:ind w:left="1492" w:hanging="360"/>
      </w:pPr>
    </w:lvl>
  </w:abstractNum>
  <w:abstractNum w:abstractNumId="1">
    <w:nsid w:val="FFFFFF7D"/>
    <w:multiLevelType w:val="singleLevel"/>
    <w:tmpl w:val="94CE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F47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CE7E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1A96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6ED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56E1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3309D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9AD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D5A69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3C78B8"/>
    <w:multiLevelType w:val="multilevel"/>
    <w:tmpl w:val="8DB24FD8"/>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21C11B5B"/>
    <w:multiLevelType w:val="multilevel"/>
    <w:tmpl w:val="C152D722"/>
    <w:name w:val="0.8928601"/>
    <w:lvl w:ilvl="0">
      <w:start w:val="1"/>
      <w:numFmt w:val="decimal"/>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E44180"/>
    <w:multiLevelType w:val="multilevel"/>
    <w:tmpl w:val="84983676"/>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1"/>
  </w:num>
  <w:num w:numId="13">
    <w:abstractNumId w:val="15"/>
  </w:num>
  <w:num w:numId="14">
    <w:abstractNumId w:val="23"/>
  </w:num>
  <w:num w:numId="15">
    <w:abstractNumId w:val="14"/>
  </w:num>
  <w:num w:numId="16">
    <w:abstractNumId w:val="16"/>
  </w:num>
  <w:num w:numId="17">
    <w:abstractNumId w:val="12"/>
  </w:num>
  <w:num w:numId="18">
    <w:abstractNumId w:val="22"/>
  </w:num>
  <w:num w:numId="19">
    <w:abstractNumId w:val="17"/>
  </w:num>
  <w:num w:numId="20">
    <w:abstractNumId w:val="19"/>
  </w:num>
  <w:num w:numId="21">
    <w:abstractNumId w:val="20"/>
  </w:num>
  <w:num w:numId="22">
    <w:abstractNumId w:val="13"/>
  </w:num>
  <w:num w:numId="23">
    <w:abstractNumId w:val="18"/>
  </w:num>
  <w:num w:numId="24">
    <w:abstractNumId w:val="2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03 14:43:52"/>
    <w:docVar w:name="DQCHighlighting" w:val="100"/>
    <w:docVar w:name="DQCResult_Distribution" w:val="0;1"/>
    <w:docVar w:name="DQCResult_DocumentContent" w:val="1;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2;0"/>
    <w:docVar w:name="DQCResult_ModifiedNumbering" w:val="0;0"/>
    <w:docVar w:name="DQCResult_Objects" w:val="2;0"/>
    <w:docVar w:name="DQCResult_Sections" w:val="0;0"/>
    <w:docVar w:name="DQCResult_StructureCheck" w:val="2;0"/>
    <w:docVar w:name="DQCResult_SuperfluousWhitespace" w:val="0;3"/>
    <w:docVar w:name="DQCResult_UnknownFonts" w:val="1;0"/>
    <w:docVar w:name="DQCResult_UnknownStyles" w:val="0;0"/>
    <w:docVar w:name="DQCStatus" w:val="Red"/>
    <w:docVar w:name="DQCVersion" w:val="3"/>
    <w:docVar w:name="DQCWithWarnings" w:val="0"/>
    <w:docVar w:name="LW_CONFIDENCE" w:val=" "/>
    <w:docVar w:name="LW_CONST_RESTREINT_UE" w:val="RESTREINT UE/EU RESTRICTED"/>
    <w:docVar w:name="LW_COVERPAGE_GUID" w:val="583AC3EEE3404878BA1428B448096180"/>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MARKING" w:val="PRELIMINARY DRAF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XXX"/>
    <w:docVar w:name="LW_SOUS.TITRE.OBJ.CP" w:val="&lt;UNUSED&gt;"/>
    <w:docVar w:name="LW_SUPERTITRE" w:val="&lt;UNUSED&gt;"/>
    <w:docVar w:name="LW_TITRE.OBJ.CP" w:val="implementing Directive 2009/125/EC of the European Parliament and of the Council with regard to ecodesign requirements for lighting products"/>
    <w:docVar w:name="LW_TYPE.DOC.CP" w:val="COMMISSION REGULATION (EU) \u8230?/\u8230?"/>
  </w:docVars>
  <w:rsids>
    <w:rsidRoot w:val="002122F2"/>
    <w:rsid w:val="0001293D"/>
    <w:rsid w:val="000215F6"/>
    <w:rsid w:val="000253E6"/>
    <w:rsid w:val="00037DB1"/>
    <w:rsid w:val="0006301D"/>
    <w:rsid w:val="000637EB"/>
    <w:rsid w:val="00085AB3"/>
    <w:rsid w:val="000973DE"/>
    <w:rsid w:val="000B21A0"/>
    <w:rsid w:val="000D3B73"/>
    <w:rsid w:val="000E0247"/>
    <w:rsid w:val="00103151"/>
    <w:rsid w:val="0011527A"/>
    <w:rsid w:val="00127382"/>
    <w:rsid w:val="0013333B"/>
    <w:rsid w:val="00143DE2"/>
    <w:rsid w:val="00171635"/>
    <w:rsid w:val="001832C8"/>
    <w:rsid w:val="001A539D"/>
    <w:rsid w:val="001A5AF2"/>
    <w:rsid w:val="001B564D"/>
    <w:rsid w:val="001B5B89"/>
    <w:rsid w:val="001F29D3"/>
    <w:rsid w:val="002122F2"/>
    <w:rsid w:val="002249C5"/>
    <w:rsid w:val="00233498"/>
    <w:rsid w:val="00243CCB"/>
    <w:rsid w:val="002527DD"/>
    <w:rsid w:val="0025356A"/>
    <w:rsid w:val="002622B4"/>
    <w:rsid w:val="0027135B"/>
    <w:rsid w:val="00275078"/>
    <w:rsid w:val="00286E0F"/>
    <w:rsid w:val="002A46CD"/>
    <w:rsid w:val="002B4073"/>
    <w:rsid w:val="002B6331"/>
    <w:rsid w:val="002D05F0"/>
    <w:rsid w:val="002D1F4B"/>
    <w:rsid w:val="002D3724"/>
    <w:rsid w:val="002D6665"/>
    <w:rsid w:val="002E1F59"/>
    <w:rsid w:val="00300C0D"/>
    <w:rsid w:val="00306823"/>
    <w:rsid w:val="00310C91"/>
    <w:rsid w:val="00320946"/>
    <w:rsid w:val="003267A3"/>
    <w:rsid w:val="00332B6E"/>
    <w:rsid w:val="00337FE2"/>
    <w:rsid w:val="00344116"/>
    <w:rsid w:val="0034445E"/>
    <w:rsid w:val="003521CA"/>
    <w:rsid w:val="003570DF"/>
    <w:rsid w:val="00376EEA"/>
    <w:rsid w:val="003A066C"/>
    <w:rsid w:val="003C33DE"/>
    <w:rsid w:val="003D71F6"/>
    <w:rsid w:val="003E4421"/>
    <w:rsid w:val="003F5A03"/>
    <w:rsid w:val="00416D8B"/>
    <w:rsid w:val="00417548"/>
    <w:rsid w:val="00431D54"/>
    <w:rsid w:val="00432425"/>
    <w:rsid w:val="00447B15"/>
    <w:rsid w:val="004703D6"/>
    <w:rsid w:val="00473DDA"/>
    <w:rsid w:val="004830FB"/>
    <w:rsid w:val="004861E3"/>
    <w:rsid w:val="00491C76"/>
    <w:rsid w:val="00494D5E"/>
    <w:rsid w:val="004B10A1"/>
    <w:rsid w:val="004B44C4"/>
    <w:rsid w:val="004D1AC7"/>
    <w:rsid w:val="004F6711"/>
    <w:rsid w:val="00500C0C"/>
    <w:rsid w:val="005023A3"/>
    <w:rsid w:val="00502B7F"/>
    <w:rsid w:val="00522973"/>
    <w:rsid w:val="0053268B"/>
    <w:rsid w:val="00543400"/>
    <w:rsid w:val="005466A4"/>
    <w:rsid w:val="00547CF9"/>
    <w:rsid w:val="00552297"/>
    <w:rsid w:val="00560CAA"/>
    <w:rsid w:val="005758D0"/>
    <w:rsid w:val="00581775"/>
    <w:rsid w:val="005869E9"/>
    <w:rsid w:val="00594F14"/>
    <w:rsid w:val="005A4609"/>
    <w:rsid w:val="005B1BEB"/>
    <w:rsid w:val="005C6DB6"/>
    <w:rsid w:val="005E0832"/>
    <w:rsid w:val="005E5A72"/>
    <w:rsid w:val="005E7D05"/>
    <w:rsid w:val="005F1C02"/>
    <w:rsid w:val="005F5536"/>
    <w:rsid w:val="0060589E"/>
    <w:rsid w:val="00612919"/>
    <w:rsid w:val="0061468C"/>
    <w:rsid w:val="00621A20"/>
    <w:rsid w:val="006225C2"/>
    <w:rsid w:val="00656494"/>
    <w:rsid w:val="00661C50"/>
    <w:rsid w:val="00664CBE"/>
    <w:rsid w:val="00673264"/>
    <w:rsid w:val="00674F56"/>
    <w:rsid w:val="006806B6"/>
    <w:rsid w:val="006941FA"/>
    <w:rsid w:val="006A05B8"/>
    <w:rsid w:val="006A4D97"/>
    <w:rsid w:val="006C76B0"/>
    <w:rsid w:val="00710439"/>
    <w:rsid w:val="00713746"/>
    <w:rsid w:val="00715D61"/>
    <w:rsid w:val="00721658"/>
    <w:rsid w:val="007222DB"/>
    <w:rsid w:val="00734C6C"/>
    <w:rsid w:val="00761A95"/>
    <w:rsid w:val="00774084"/>
    <w:rsid w:val="007A2FA2"/>
    <w:rsid w:val="007C662C"/>
    <w:rsid w:val="007D53B6"/>
    <w:rsid w:val="00800217"/>
    <w:rsid w:val="0081158C"/>
    <w:rsid w:val="00834C0C"/>
    <w:rsid w:val="00842C19"/>
    <w:rsid w:val="0085142A"/>
    <w:rsid w:val="008568B4"/>
    <w:rsid w:val="00870611"/>
    <w:rsid w:val="008A16AA"/>
    <w:rsid w:val="008A7684"/>
    <w:rsid w:val="008B0572"/>
    <w:rsid w:val="008B3B0A"/>
    <w:rsid w:val="008B5996"/>
    <w:rsid w:val="008C3CE8"/>
    <w:rsid w:val="008C4A03"/>
    <w:rsid w:val="0095484C"/>
    <w:rsid w:val="009736D8"/>
    <w:rsid w:val="0099786F"/>
    <w:rsid w:val="009B53DC"/>
    <w:rsid w:val="009C21E1"/>
    <w:rsid w:val="009C24E7"/>
    <w:rsid w:val="009E0003"/>
    <w:rsid w:val="009E1669"/>
    <w:rsid w:val="00A04CC5"/>
    <w:rsid w:val="00A06464"/>
    <w:rsid w:val="00A16360"/>
    <w:rsid w:val="00A402F3"/>
    <w:rsid w:val="00A53B14"/>
    <w:rsid w:val="00A53B36"/>
    <w:rsid w:val="00A76B3B"/>
    <w:rsid w:val="00AA5715"/>
    <w:rsid w:val="00AE67AF"/>
    <w:rsid w:val="00AF3903"/>
    <w:rsid w:val="00B00A73"/>
    <w:rsid w:val="00B04DCA"/>
    <w:rsid w:val="00B44CFD"/>
    <w:rsid w:val="00B60749"/>
    <w:rsid w:val="00B60B33"/>
    <w:rsid w:val="00B66626"/>
    <w:rsid w:val="00B6746C"/>
    <w:rsid w:val="00B8797E"/>
    <w:rsid w:val="00BA5C14"/>
    <w:rsid w:val="00BC1E7C"/>
    <w:rsid w:val="00BD6396"/>
    <w:rsid w:val="00BE6AC5"/>
    <w:rsid w:val="00C120E1"/>
    <w:rsid w:val="00C21E8B"/>
    <w:rsid w:val="00C24AC1"/>
    <w:rsid w:val="00C4303A"/>
    <w:rsid w:val="00C51CB8"/>
    <w:rsid w:val="00C5315F"/>
    <w:rsid w:val="00C54292"/>
    <w:rsid w:val="00C67642"/>
    <w:rsid w:val="00C7015B"/>
    <w:rsid w:val="00C84F4D"/>
    <w:rsid w:val="00CB3A16"/>
    <w:rsid w:val="00CC21D9"/>
    <w:rsid w:val="00CD3F39"/>
    <w:rsid w:val="00CE2524"/>
    <w:rsid w:val="00CE535E"/>
    <w:rsid w:val="00CE5C52"/>
    <w:rsid w:val="00D00E94"/>
    <w:rsid w:val="00D2558A"/>
    <w:rsid w:val="00D34CCD"/>
    <w:rsid w:val="00D36392"/>
    <w:rsid w:val="00D427A6"/>
    <w:rsid w:val="00D74F99"/>
    <w:rsid w:val="00D80D3A"/>
    <w:rsid w:val="00D851FD"/>
    <w:rsid w:val="00DA4610"/>
    <w:rsid w:val="00DA7BB1"/>
    <w:rsid w:val="00DC0E0E"/>
    <w:rsid w:val="00DC6CD1"/>
    <w:rsid w:val="00DD049D"/>
    <w:rsid w:val="00DD1811"/>
    <w:rsid w:val="00DF2337"/>
    <w:rsid w:val="00DF335E"/>
    <w:rsid w:val="00DF3BB9"/>
    <w:rsid w:val="00E07D11"/>
    <w:rsid w:val="00E20347"/>
    <w:rsid w:val="00E24F8A"/>
    <w:rsid w:val="00E3663A"/>
    <w:rsid w:val="00E37A54"/>
    <w:rsid w:val="00E70C3F"/>
    <w:rsid w:val="00E72A29"/>
    <w:rsid w:val="00E82277"/>
    <w:rsid w:val="00EA55AB"/>
    <w:rsid w:val="00EA5F57"/>
    <w:rsid w:val="00EC5AE8"/>
    <w:rsid w:val="00EF4A1C"/>
    <w:rsid w:val="00EF6803"/>
    <w:rsid w:val="00F024DC"/>
    <w:rsid w:val="00F051F3"/>
    <w:rsid w:val="00F11823"/>
    <w:rsid w:val="00F17E26"/>
    <w:rsid w:val="00F42DDF"/>
    <w:rsid w:val="00F6491A"/>
    <w:rsid w:val="00F700E4"/>
    <w:rsid w:val="00F87147"/>
    <w:rsid w:val="00F87183"/>
    <w:rsid w:val="00F9258B"/>
    <w:rsid w:val="00FA5A71"/>
    <w:rsid w:val="00FA5D31"/>
    <w:rsid w:val="00FB3B8F"/>
    <w:rsid w:val="00FB6E38"/>
    <w:rsid w:val="00FE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2122F2"/>
    <w:pPr>
      <w:numPr>
        <w:numId w:val="1"/>
      </w:numPr>
      <w:contextualSpacing/>
    </w:pPr>
  </w:style>
  <w:style w:type="paragraph" w:styleId="ListBullet2">
    <w:name w:val="List Bullet 2"/>
    <w:basedOn w:val="Normal"/>
    <w:uiPriority w:val="99"/>
    <w:semiHidden/>
    <w:unhideWhenUsed/>
    <w:rsid w:val="002122F2"/>
    <w:pPr>
      <w:numPr>
        <w:numId w:val="2"/>
      </w:numPr>
      <w:contextualSpacing/>
    </w:pPr>
  </w:style>
  <w:style w:type="paragraph" w:styleId="ListBullet3">
    <w:name w:val="List Bullet 3"/>
    <w:basedOn w:val="Normal"/>
    <w:uiPriority w:val="99"/>
    <w:semiHidden/>
    <w:unhideWhenUsed/>
    <w:rsid w:val="002122F2"/>
    <w:pPr>
      <w:numPr>
        <w:numId w:val="3"/>
      </w:numPr>
      <w:contextualSpacing/>
    </w:pPr>
  </w:style>
  <w:style w:type="paragraph" w:styleId="ListBullet4">
    <w:name w:val="List Bullet 4"/>
    <w:basedOn w:val="Normal"/>
    <w:uiPriority w:val="99"/>
    <w:semiHidden/>
    <w:unhideWhenUsed/>
    <w:rsid w:val="002122F2"/>
    <w:pPr>
      <w:numPr>
        <w:numId w:val="4"/>
      </w:numPr>
      <w:contextualSpacing/>
    </w:pPr>
  </w:style>
  <w:style w:type="paragraph" w:customStyle="1" w:styleId="ListNumberLevel2">
    <w:name w:val="List Number (Level 2)"/>
    <w:basedOn w:val="Normal"/>
    <w:uiPriority w:val="99"/>
    <w:rsid w:val="008A16AA"/>
    <w:pPr>
      <w:numPr>
        <w:ilvl w:val="1"/>
        <w:numId w:val="9"/>
      </w:numPr>
    </w:pPr>
    <w:rPr>
      <w:rFonts w:eastAsia="Times New Roman"/>
      <w:szCs w:val="24"/>
      <w:lang w:eastAsia="de-DE"/>
    </w:rPr>
  </w:style>
  <w:style w:type="paragraph" w:customStyle="1" w:styleId="ListNumberLevel3">
    <w:name w:val="List Number (Level 3)"/>
    <w:basedOn w:val="Normal"/>
    <w:uiPriority w:val="99"/>
    <w:rsid w:val="008A16AA"/>
    <w:pPr>
      <w:numPr>
        <w:ilvl w:val="2"/>
        <w:numId w:val="9"/>
      </w:numPr>
    </w:pPr>
    <w:rPr>
      <w:rFonts w:eastAsia="Times New Roman"/>
      <w:szCs w:val="24"/>
      <w:lang w:eastAsia="de-DE"/>
    </w:rPr>
  </w:style>
  <w:style w:type="paragraph" w:customStyle="1" w:styleId="ListNumberLevel4">
    <w:name w:val="List Number (Level 4)"/>
    <w:basedOn w:val="Normal"/>
    <w:uiPriority w:val="99"/>
    <w:rsid w:val="008A16AA"/>
    <w:pPr>
      <w:numPr>
        <w:ilvl w:val="3"/>
        <w:numId w:val="9"/>
      </w:numPr>
    </w:pPr>
    <w:rPr>
      <w:rFonts w:eastAsia="Times New Roman"/>
      <w:szCs w:val="24"/>
      <w:lang w:eastAsia="de-DE"/>
    </w:rPr>
  </w:style>
  <w:style w:type="paragraph" w:styleId="ListParagraph">
    <w:name w:val="List Paragraph"/>
    <w:basedOn w:val="Normal"/>
    <w:uiPriority w:val="34"/>
    <w:qFormat/>
    <w:rsid w:val="00CD3F39"/>
    <w:pPr>
      <w:spacing w:before="0" w:after="200" w:line="276" w:lineRule="auto"/>
      <w:ind w:left="720"/>
      <w:contextualSpacing/>
      <w:jc w:val="left"/>
    </w:pPr>
    <w:rPr>
      <w:rFonts w:asciiTheme="minorHAnsi" w:hAnsiTheme="minorHAnsi" w:cstheme="minorBidi"/>
      <w:sz w:val="22"/>
    </w:rPr>
  </w:style>
  <w:style w:type="paragraph" w:customStyle="1" w:styleId="Nromal">
    <w:name w:val="Nromalö"/>
    <w:basedOn w:val="Titrearticle"/>
    <w:rsid w:val="00547CF9"/>
  </w:style>
  <w:style w:type="paragraph" w:customStyle="1" w:styleId="Nromal0">
    <w:name w:val="Nromal"/>
    <w:basedOn w:val="Nromal"/>
    <w:rsid w:val="00547CF9"/>
  </w:style>
  <w:style w:type="table" w:styleId="TableGrid">
    <w:name w:val="Table Grid"/>
    <w:basedOn w:val="TableNormal"/>
    <w:uiPriority w:val="59"/>
    <w:rsid w:val="00A4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42A"/>
    <w:rPr>
      <w:color w:val="808080"/>
    </w:rPr>
  </w:style>
  <w:style w:type="paragraph" w:styleId="BalloonText">
    <w:name w:val="Balloon Text"/>
    <w:basedOn w:val="Normal"/>
    <w:link w:val="BalloonTextChar"/>
    <w:uiPriority w:val="99"/>
    <w:semiHidden/>
    <w:unhideWhenUsed/>
    <w:rsid w:val="00F925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8B"/>
    <w:rPr>
      <w:rFonts w:ascii="Tahoma" w:hAnsi="Tahoma" w:cs="Tahoma"/>
      <w:sz w:val="16"/>
      <w:szCs w:val="16"/>
      <w:lang w:val="en-GB"/>
    </w:rPr>
  </w:style>
  <w:style w:type="paragraph" w:styleId="Caption">
    <w:name w:val="caption"/>
    <w:basedOn w:val="Normal"/>
    <w:next w:val="Normal"/>
    <w:uiPriority w:val="35"/>
    <w:semiHidden/>
    <w:unhideWhenUsed/>
    <w:qFormat/>
    <w:rsid w:val="0095484C"/>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95484C"/>
    <w:pPr>
      <w:spacing w:after="0"/>
    </w:pPr>
  </w:style>
  <w:style w:type="paragraph" w:styleId="ListNumber">
    <w:name w:val="List Number"/>
    <w:basedOn w:val="Normal"/>
    <w:uiPriority w:val="99"/>
    <w:semiHidden/>
    <w:unhideWhenUsed/>
    <w:rsid w:val="0095484C"/>
    <w:pPr>
      <w:numPr>
        <w:numId w:val="5"/>
      </w:numPr>
      <w:contextualSpacing/>
    </w:pPr>
  </w:style>
  <w:style w:type="paragraph" w:styleId="ListNumber2">
    <w:name w:val="List Number 2"/>
    <w:basedOn w:val="Normal"/>
    <w:uiPriority w:val="99"/>
    <w:semiHidden/>
    <w:unhideWhenUsed/>
    <w:rsid w:val="0095484C"/>
    <w:pPr>
      <w:numPr>
        <w:numId w:val="6"/>
      </w:numPr>
      <w:contextualSpacing/>
    </w:pPr>
  </w:style>
  <w:style w:type="paragraph" w:styleId="ListNumber3">
    <w:name w:val="List Number 3"/>
    <w:basedOn w:val="Normal"/>
    <w:uiPriority w:val="99"/>
    <w:semiHidden/>
    <w:unhideWhenUsed/>
    <w:rsid w:val="0095484C"/>
    <w:pPr>
      <w:numPr>
        <w:numId w:val="7"/>
      </w:numPr>
      <w:contextualSpacing/>
    </w:pPr>
  </w:style>
  <w:style w:type="paragraph" w:styleId="ListNumber4">
    <w:name w:val="List Number 4"/>
    <w:basedOn w:val="Normal"/>
    <w:uiPriority w:val="99"/>
    <w:semiHidden/>
    <w:unhideWhenUsed/>
    <w:rsid w:val="0095484C"/>
    <w:pPr>
      <w:numPr>
        <w:numId w:val="8"/>
      </w:numPr>
      <w:contextualSpacing/>
    </w:pPr>
  </w:style>
  <w:style w:type="character" w:styleId="CommentReference">
    <w:name w:val="annotation reference"/>
    <w:basedOn w:val="DefaultParagraphFont"/>
    <w:uiPriority w:val="99"/>
    <w:semiHidden/>
    <w:unhideWhenUsed/>
    <w:rsid w:val="00DC6CD1"/>
    <w:rPr>
      <w:sz w:val="16"/>
      <w:szCs w:val="16"/>
    </w:rPr>
  </w:style>
  <w:style w:type="paragraph" w:styleId="CommentText">
    <w:name w:val="annotation text"/>
    <w:basedOn w:val="Normal"/>
    <w:link w:val="CommentTextChar"/>
    <w:uiPriority w:val="99"/>
    <w:semiHidden/>
    <w:unhideWhenUsed/>
    <w:rsid w:val="00DC6CD1"/>
    <w:rPr>
      <w:sz w:val="20"/>
      <w:szCs w:val="20"/>
    </w:rPr>
  </w:style>
  <w:style w:type="character" w:customStyle="1" w:styleId="CommentTextChar">
    <w:name w:val="Comment Text Char"/>
    <w:basedOn w:val="DefaultParagraphFont"/>
    <w:link w:val="CommentText"/>
    <w:uiPriority w:val="99"/>
    <w:semiHidden/>
    <w:rsid w:val="00DC6CD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6CD1"/>
    <w:rPr>
      <w:b/>
      <w:bCs/>
    </w:rPr>
  </w:style>
  <w:style w:type="character" w:customStyle="1" w:styleId="CommentSubjectChar">
    <w:name w:val="Comment Subject Char"/>
    <w:basedOn w:val="CommentTextChar"/>
    <w:link w:val="CommentSubject"/>
    <w:uiPriority w:val="99"/>
    <w:semiHidden/>
    <w:rsid w:val="00DC6CD1"/>
    <w:rPr>
      <w:rFonts w:ascii="Times New Roman" w:hAnsi="Times New Roman" w:cs="Times New Roman"/>
      <w:b/>
      <w:bCs/>
      <w:sz w:val="20"/>
      <w:szCs w:val="20"/>
      <w:lang w:val="en-GB"/>
    </w:rPr>
  </w:style>
  <w:style w:type="character" w:styleId="Hyperlink">
    <w:name w:val="Hyperlink"/>
    <w:basedOn w:val="DefaultParagraphFont"/>
    <w:uiPriority w:val="99"/>
    <w:unhideWhenUsed/>
    <w:rsid w:val="00DC6CD1"/>
    <w:rPr>
      <w:color w:val="0000FF" w:themeColor="hyperlink"/>
      <w:u w:val="single"/>
    </w:rPr>
  </w:style>
  <w:style w:type="paragraph" w:styleId="Header">
    <w:name w:val="header"/>
    <w:basedOn w:val="Normal"/>
    <w:link w:val="HeaderChar"/>
    <w:uiPriority w:val="99"/>
    <w:unhideWhenUsed/>
    <w:rsid w:val="00491C76"/>
    <w:pPr>
      <w:tabs>
        <w:tab w:val="center" w:pos="4535"/>
        <w:tab w:val="right" w:pos="9071"/>
      </w:tabs>
      <w:spacing w:before="0"/>
    </w:pPr>
  </w:style>
  <w:style w:type="character" w:customStyle="1" w:styleId="HeaderChar">
    <w:name w:val="Header Char"/>
    <w:basedOn w:val="DefaultParagraphFont"/>
    <w:link w:val="Header"/>
    <w:uiPriority w:val="99"/>
    <w:rsid w:val="00491C76"/>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91C7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2"/>
      </w:numPr>
    </w:pPr>
  </w:style>
  <w:style w:type="paragraph" w:customStyle="1" w:styleId="Tiret1">
    <w:name w:val="Tiret 1"/>
    <w:basedOn w:val="Point1"/>
    <w:rsid w:val="007D53B6"/>
    <w:pPr>
      <w:numPr>
        <w:numId w:val="13"/>
      </w:numPr>
    </w:pPr>
  </w:style>
  <w:style w:type="paragraph" w:customStyle="1" w:styleId="Tiret2">
    <w:name w:val="Tiret 2"/>
    <w:basedOn w:val="Point2"/>
    <w:rsid w:val="007D53B6"/>
    <w:pPr>
      <w:numPr>
        <w:numId w:val="14"/>
      </w:numPr>
    </w:pPr>
  </w:style>
  <w:style w:type="paragraph" w:customStyle="1" w:styleId="Tiret3">
    <w:name w:val="Tiret 3"/>
    <w:basedOn w:val="Point3"/>
    <w:rsid w:val="007D53B6"/>
    <w:pPr>
      <w:numPr>
        <w:numId w:val="15"/>
      </w:numPr>
    </w:pPr>
  </w:style>
  <w:style w:type="paragraph" w:customStyle="1" w:styleId="Tiret4">
    <w:name w:val="Tiret 4"/>
    <w:basedOn w:val="Point4"/>
    <w:rsid w:val="007D53B6"/>
    <w:pPr>
      <w:numPr>
        <w:numId w:val="1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6"/>
      </w:numPr>
    </w:pPr>
  </w:style>
  <w:style w:type="paragraph" w:customStyle="1" w:styleId="NumPar2">
    <w:name w:val="NumPar 2"/>
    <w:basedOn w:val="Normal"/>
    <w:next w:val="Text1"/>
    <w:rsid w:val="007D53B6"/>
    <w:pPr>
      <w:numPr>
        <w:ilvl w:val="1"/>
        <w:numId w:val="26"/>
      </w:numPr>
    </w:pPr>
  </w:style>
  <w:style w:type="paragraph" w:customStyle="1" w:styleId="NumPar3">
    <w:name w:val="NumPar 3"/>
    <w:basedOn w:val="Normal"/>
    <w:next w:val="Text1"/>
    <w:rsid w:val="007D53B6"/>
    <w:pPr>
      <w:numPr>
        <w:ilvl w:val="2"/>
        <w:numId w:val="26"/>
      </w:numPr>
    </w:pPr>
  </w:style>
  <w:style w:type="paragraph" w:customStyle="1" w:styleId="NumPar4">
    <w:name w:val="NumPar 4"/>
    <w:basedOn w:val="Normal"/>
    <w:next w:val="Text1"/>
    <w:rsid w:val="007D53B6"/>
    <w:pPr>
      <w:numPr>
        <w:ilvl w:val="3"/>
        <w:numId w:val="2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7"/>
      </w:numPr>
    </w:pPr>
  </w:style>
  <w:style w:type="paragraph" w:customStyle="1" w:styleId="Point1number">
    <w:name w:val="Point 1 (number)"/>
    <w:basedOn w:val="Normal"/>
    <w:rsid w:val="007D53B6"/>
    <w:pPr>
      <w:numPr>
        <w:ilvl w:val="2"/>
        <w:numId w:val="27"/>
      </w:numPr>
    </w:pPr>
  </w:style>
  <w:style w:type="paragraph" w:customStyle="1" w:styleId="Point2number">
    <w:name w:val="Point 2 (number)"/>
    <w:basedOn w:val="Normal"/>
    <w:rsid w:val="007D53B6"/>
    <w:pPr>
      <w:numPr>
        <w:ilvl w:val="4"/>
        <w:numId w:val="27"/>
      </w:numPr>
    </w:pPr>
  </w:style>
  <w:style w:type="paragraph" w:customStyle="1" w:styleId="Point3number">
    <w:name w:val="Point 3 (number)"/>
    <w:basedOn w:val="Normal"/>
    <w:rsid w:val="007D53B6"/>
    <w:pPr>
      <w:numPr>
        <w:ilvl w:val="6"/>
        <w:numId w:val="27"/>
      </w:numPr>
    </w:pPr>
  </w:style>
  <w:style w:type="paragraph" w:customStyle="1" w:styleId="Point0letter">
    <w:name w:val="Point 0 (letter)"/>
    <w:basedOn w:val="Normal"/>
    <w:rsid w:val="007D53B6"/>
    <w:pPr>
      <w:numPr>
        <w:ilvl w:val="1"/>
        <w:numId w:val="27"/>
      </w:numPr>
    </w:pPr>
  </w:style>
  <w:style w:type="paragraph" w:customStyle="1" w:styleId="Point1letter">
    <w:name w:val="Point 1 (letter)"/>
    <w:basedOn w:val="Normal"/>
    <w:rsid w:val="007D53B6"/>
    <w:pPr>
      <w:numPr>
        <w:ilvl w:val="3"/>
        <w:numId w:val="27"/>
      </w:numPr>
    </w:pPr>
  </w:style>
  <w:style w:type="paragraph" w:customStyle="1" w:styleId="Point2letter">
    <w:name w:val="Point 2 (letter)"/>
    <w:basedOn w:val="Normal"/>
    <w:rsid w:val="007D53B6"/>
    <w:pPr>
      <w:numPr>
        <w:ilvl w:val="5"/>
        <w:numId w:val="27"/>
      </w:numPr>
    </w:pPr>
  </w:style>
  <w:style w:type="paragraph" w:customStyle="1" w:styleId="Point3letter">
    <w:name w:val="Point 3 (letter)"/>
    <w:basedOn w:val="Normal"/>
    <w:rsid w:val="007D53B6"/>
    <w:pPr>
      <w:numPr>
        <w:ilvl w:val="7"/>
        <w:numId w:val="27"/>
      </w:numPr>
    </w:pPr>
  </w:style>
  <w:style w:type="paragraph" w:customStyle="1" w:styleId="Point4letter">
    <w:name w:val="Point 4 (letter)"/>
    <w:basedOn w:val="Normal"/>
    <w:rsid w:val="007D53B6"/>
    <w:pPr>
      <w:numPr>
        <w:ilvl w:val="8"/>
        <w:numId w:val="27"/>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customStyle="1" w:styleId="Heradin">
    <w:name w:val="Heradin"/>
    <w:basedOn w:val="Normal"/>
    <w:rsid w:val="00CB3A16"/>
  </w:style>
  <w:style w:type="paragraph" w:customStyle="1" w:styleId="NumPar0">
    <w:name w:val="NumPar 0"/>
    <w:basedOn w:val="NumPar1"/>
    <w:rsid w:val="00FA5A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D53B6"/>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unhideWhenUsed/>
    <w:qFormat/>
    <w:rsid w:val="007D53B6"/>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2122F2"/>
    <w:pPr>
      <w:numPr>
        <w:numId w:val="1"/>
      </w:numPr>
      <w:contextualSpacing/>
    </w:pPr>
  </w:style>
  <w:style w:type="paragraph" w:styleId="ListBullet2">
    <w:name w:val="List Bullet 2"/>
    <w:basedOn w:val="Normal"/>
    <w:uiPriority w:val="99"/>
    <w:semiHidden/>
    <w:unhideWhenUsed/>
    <w:rsid w:val="002122F2"/>
    <w:pPr>
      <w:numPr>
        <w:numId w:val="2"/>
      </w:numPr>
      <w:contextualSpacing/>
    </w:pPr>
  </w:style>
  <w:style w:type="paragraph" w:styleId="ListBullet3">
    <w:name w:val="List Bullet 3"/>
    <w:basedOn w:val="Normal"/>
    <w:uiPriority w:val="99"/>
    <w:semiHidden/>
    <w:unhideWhenUsed/>
    <w:rsid w:val="002122F2"/>
    <w:pPr>
      <w:numPr>
        <w:numId w:val="3"/>
      </w:numPr>
      <w:contextualSpacing/>
    </w:pPr>
  </w:style>
  <w:style w:type="paragraph" w:styleId="ListBullet4">
    <w:name w:val="List Bullet 4"/>
    <w:basedOn w:val="Normal"/>
    <w:uiPriority w:val="99"/>
    <w:semiHidden/>
    <w:unhideWhenUsed/>
    <w:rsid w:val="002122F2"/>
    <w:pPr>
      <w:numPr>
        <w:numId w:val="4"/>
      </w:numPr>
      <w:contextualSpacing/>
    </w:pPr>
  </w:style>
  <w:style w:type="paragraph" w:customStyle="1" w:styleId="ListNumberLevel2">
    <w:name w:val="List Number (Level 2)"/>
    <w:basedOn w:val="Normal"/>
    <w:uiPriority w:val="99"/>
    <w:rsid w:val="008A16AA"/>
    <w:pPr>
      <w:numPr>
        <w:ilvl w:val="1"/>
        <w:numId w:val="9"/>
      </w:numPr>
    </w:pPr>
    <w:rPr>
      <w:rFonts w:eastAsia="Times New Roman"/>
      <w:szCs w:val="24"/>
      <w:lang w:eastAsia="de-DE"/>
    </w:rPr>
  </w:style>
  <w:style w:type="paragraph" w:customStyle="1" w:styleId="ListNumberLevel3">
    <w:name w:val="List Number (Level 3)"/>
    <w:basedOn w:val="Normal"/>
    <w:uiPriority w:val="99"/>
    <w:rsid w:val="008A16AA"/>
    <w:pPr>
      <w:numPr>
        <w:ilvl w:val="2"/>
        <w:numId w:val="9"/>
      </w:numPr>
    </w:pPr>
    <w:rPr>
      <w:rFonts w:eastAsia="Times New Roman"/>
      <w:szCs w:val="24"/>
      <w:lang w:eastAsia="de-DE"/>
    </w:rPr>
  </w:style>
  <w:style w:type="paragraph" w:customStyle="1" w:styleId="ListNumberLevel4">
    <w:name w:val="List Number (Level 4)"/>
    <w:basedOn w:val="Normal"/>
    <w:uiPriority w:val="99"/>
    <w:rsid w:val="008A16AA"/>
    <w:pPr>
      <w:numPr>
        <w:ilvl w:val="3"/>
        <w:numId w:val="9"/>
      </w:numPr>
    </w:pPr>
    <w:rPr>
      <w:rFonts w:eastAsia="Times New Roman"/>
      <w:szCs w:val="24"/>
      <w:lang w:eastAsia="de-DE"/>
    </w:rPr>
  </w:style>
  <w:style w:type="paragraph" w:styleId="ListParagraph">
    <w:name w:val="List Paragraph"/>
    <w:basedOn w:val="Normal"/>
    <w:uiPriority w:val="34"/>
    <w:qFormat/>
    <w:rsid w:val="00CD3F39"/>
    <w:pPr>
      <w:spacing w:before="0" w:after="200" w:line="276" w:lineRule="auto"/>
      <w:ind w:left="720"/>
      <w:contextualSpacing/>
      <w:jc w:val="left"/>
    </w:pPr>
    <w:rPr>
      <w:rFonts w:asciiTheme="minorHAnsi" w:hAnsiTheme="minorHAnsi" w:cstheme="minorBidi"/>
      <w:sz w:val="22"/>
    </w:rPr>
  </w:style>
  <w:style w:type="paragraph" w:customStyle="1" w:styleId="Nromal">
    <w:name w:val="Nromalö"/>
    <w:basedOn w:val="Titrearticle"/>
    <w:rsid w:val="00547CF9"/>
  </w:style>
  <w:style w:type="paragraph" w:customStyle="1" w:styleId="Nromal0">
    <w:name w:val="Nromal"/>
    <w:basedOn w:val="Nromal"/>
    <w:rsid w:val="00547CF9"/>
  </w:style>
  <w:style w:type="table" w:styleId="TableGrid">
    <w:name w:val="Table Grid"/>
    <w:basedOn w:val="TableNormal"/>
    <w:uiPriority w:val="59"/>
    <w:rsid w:val="00A4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142A"/>
    <w:rPr>
      <w:color w:val="808080"/>
    </w:rPr>
  </w:style>
  <w:style w:type="paragraph" w:styleId="BalloonText">
    <w:name w:val="Balloon Text"/>
    <w:basedOn w:val="Normal"/>
    <w:link w:val="BalloonTextChar"/>
    <w:uiPriority w:val="99"/>
    <w:semiHidden/>
    <w:unhideWhenUsed/>
    <w:rsid w:val="00F925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8B"/>
    <w:rPr>
      <w:rFonts w:ascii="Tahoma" w:hAnsi="Tahoma" w:cs="Tahoma"/>
      <w:sz w:val="16"/>
      <w:szCs w:val="16"/>
      <w:lang w:val="en-GB"/>
    </w:rPr>
  </w:style>
  <w:style w:type="paragraph" w:styleId="Caption">
    <w:name w:val="caption"/>
    <w:basedOn w:val="Normal"/>
    <w:next w:val="Normal"/>
    <w:uiPriority w:val="35"/>
    <w:semiHidden/>
    <w:unhideWhenUsed/>
    <w:qFormat/>
    <w:rsid w:val="0095484C"/>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95484C"/>
    <w:pPr>
      <w:spacing w:after="0"/>
    </w:pPr>
  </w:style>
  <w:style w:type="paragraph" w:styleId="ListNumber">
    <w:name w:val="List Number"/>
    <w:basedOn w:val="Normal"/>
    <w:uiPriority w:val="99"/>
    <w:semiHidden/>
    <w:unhideWhenUsed/>
    <w:rsid w:val="0095484C"/>
    <w:pPr>
      <w:numPr>
        <w:numId w:val="5"/>
      </w:numPr>
      <w:contextualSpacing/>
    </w:pPr>
  </w:style>
  <w:style w:type="paragraph" w:styleId="ListNumber2">
    <w:name w:val="List Number 2"/>
    <w:basedOn w:val="Normal"/>
    <w:uiPriority w:val="99"/>
    <w:semiHidden/>
    <w:unhideWhenUsed/>
    <w:rsid w:val="0095484C"/>
    <w:pPr>
      <w:numPr>
        <w:numId w:val="6"/>
      </w:numPr>
      <w:contextualSpacing/>
    </w:pPr>
  </w:style>
  <w:style w:type="paragraph" w:styleId="ListNumber3">
    <w:name w:val="List Number 3"/>
    <w:basedOn w:val="Normal"/>
    <w:uiPriority w:val="99"/>
    <w:semiHidden/>
    <w:unhideWhenUsed/>
    <w:rsid w:val="0095484C"/>
    <w:pPr>
      <w:numPr>
        <w:numId w:val="7"/>
      </w:numPr>
      <w:contextualSpacing/>
    </w:pPr>
  </w:style>
  <w:style w:type="paragraph" w:styleId="ListNumber4">
    <w:name w:val="List Number 4"/>
    <w:basedOn w:val="Normal"/>
    <w:uiPriority w:val="99"/>
    <w:semiHidden/>
    <w:unhideWhenUsed/>
    <w:rsid w:val="0095484C"/>
    <w:pPr>
      <w:numPr>
        <w:numId w:val="8"/>
      </w:numPr>
      <w:contextualSpacing/>
    </w:pPr>
  </w:style>
  <w:style w:type="character" w:styleId="CommentReference">
    <w:name w:val="annotation reference"/>
    <w:basedOn w:val="DefaultParagraphFont"/>
    <w:uiPriority w:val="99"/>
    <w:semiHidden/>
    <w:unhideWhenUsed/>
    <w:rsid w:val="00DC6CD1"/>
    <w:rPr>
      <w:sz w:val="16"/>
      <w:szCs w:val="16"/>
    </w:rPr>
  </w:style>
  <w:style w:type="paragraph" w:styleId="CommentText">
    <w:name w:val="annotation text"/>
    <w:basedOn w:val="Normal"/>
    <w:link w:val="CommentTextChar"/>
    <w:uiPriority w:val="99"/>
    <w:semiHidden/>
    <w:unhideWhenUsed/>
    <w:rsid w:val="00DC6CD1"/>
    <w:rPr>
      <w:sz w:val="20"/>
      <w:szCs w:val="20"/>
    </w:rPr>
  </w:style>
  <w:style w:type="character" w:customStyle="1" w:styleId="CommentTextChar">
    <w:name w:val="Comment Text Char"/>
    <w:basedOn w:val="DefaultParagraphFont"/>
    <w:link w:val="CommentText"/>
    <w:uiPriority w:val="99"/>
    <w:semiHidden/>
    <w:rsid w:val="00DC6CD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6CD1"/>
    <w:rPr>
      <w:b/>
      <w:bCs/>
    </w:rPr>
  </w:style>
  <w:style w:type="character" w:customStyle="1" w:styleId="CommentSubjectChar">
    <w:name w:val="Comment Subject Char"/>
    <w:basedOn w:val="CommentTextChar"/>
    <w:link w:val="CommentSubject"/>
    <w:uiPriority w:val="99"/>
    <w:semiHidden/>
    <w:rsid w:val="00DC6CD1"/>
    <w:rPr>
      <w:rFonts w:ascii="Times New Roman" w:hAnsi="Times New Roman" w:cs="Times New Roman"/>
      <w:b/>
      <w:bCs/>
      <w:sz w:val="20"/>
      <w:szCs w:val="20"/>
      <w:lang w:val="en-GB"/>
    </w:rPr>
  </w:style>
  <w:style w:type="character" w:styleId="Hyperlink">
    <w:name w:val="Hyperlink"/>
    <w:basedOn w:val="DefaultParagraphFont"/>
    <w:uiPriority w:val="99"/>
    <w:unhideWhenUsed/>
    <w:rsid w:val="00DC6CD1"/>
    <w:rPr>
      <w:color w:val="0000FF" w:themeColor="hyperlink"/>
      <w:u w:val="single"/>
    </w:rPr>
  </w:style>
  <w:style w:type="paragraph" w:styleId="Header">
    <w:name w:val="header"/>
    <w:basedOn w:val="Normal"/>
    <w:link w:val="HeaderChar"/>
    <w:uiPriority w:val="99"/>
    <w:unhideWhenUsed/>
    <w:rsid w:val="00491C76"/>
    <w:pPr>
      <w:tabs>
        <w:tab w:val="center" w:pos="4535"/>
        <w:tab w:val="right" w:pos="9071"/>
      </w:tabs>
      <w:spacing w:before="0"/>
    </w:pPr>
  </w:style>
  <w:style w:type="character" w:customStyle="1" w:styleId="HeaderChar">
    <w:name w:val="Header Char"/>
    <w:basedOn w:val="DefaultParagraphFont"/>
    <w:link w:val="Header"/>
    <w:uiPriority w:val="99"/>
    <w:rsid w:val="00491C76"/>
    <w:rPr>
      <w:rFonts w:ascii="Times New Roman" w:hAnsi="Times New Roman" w:cs="Times New Roman"/>
      <w:sz w:val="24"/>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491C7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2"/>
      </w:numPr>
    </w:pPr>
  </w:style>
  <w:style w:type="paragraph" w:customStyle="1" w:styleId="Tiret1">
    <w:name w:val="Tiret 1"/>
    <w:basedOn w:val="Point1"/>
    <w:rsid w:val="007D53B6"/>
    <w:pPr>
      <w:numPr>
        <w:numId w:val="13"/>
      </w:numPr>
    </w:pPr>
  </w:style>
  <w:style w:type="paragraph" w:customStyle="1" w:styleId="Tiret2">
    <w:name w:val="Tiret 2"/>
    <w:basedOn w:val="Point2"/>
    <w:rsid w:val="007D53B6"/>
    <w:pPr>
      <w:numPr>
        <w:numId w:val="14"/>
      </w:numPr>
    </w:pPr>
  </w:style>
  <w:style w:type="paragraph" w:customStyle="1" w:styleId="Tiret3">
    <w:name w:val="Tiret 3"/>
    <w:basedOn w:val="Point3"/>
    <w:rsid w:val="007D53B6"/>
    <w:pPr>
      <w:numPr>
        <w:numId w:val="15"/>
      </w:numPr>
    </w:pPr>
  </w:style>
  <w:style w:type="paragraph" w:customStyle="1" w:styleId="Tiret4">
    <w:name w:val="Tiret 4"/>
    <w:basedOn w:val="Point4"/>
    <w:rsid w:val="007D53B6"/>
    <w:pPr>
      <w:numPr>
        <w:numId w:val="16"/>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26"/>
      </w:numPr>
    </w:pPr>
  </w:style>
  <w:style w:type="paragraph" w:customStyle="1" w:styleId="NumPar2">
    <w:name w:val="NumPar 2"/>
    <w:basedOn w:val="Normal"/>
    <w:next w:val="Text1"/>
    <w:rsid w:val="007D53B6"/>
    <w:pPr>
      <w:numPr>
        <w:ilvl w:val="1"/>
        <w:numId w:val="26"/>
      </w:numPr>
    </w:pPr>
  </w:style>
  <w:style w:type="paragraph" w:customStyle="1" w:styleId="NumPar3">
    <w:name w:val="NumPar 3"/>
    <w:basedOn w:val="Normal"/>
    <w:next w:val="Text1"/>
    <w:rsid w:val="007D53B6"/>
    <w:pPr>
      <w:numPr>
        <w:ilvl w:val="2"/>
        <w:numId w:val="26"/>
      </w:numPr>
    </w:pPr>
  </w:style>
  <w:style w:type="paragraph" w:customStyle="1" w:styleId="NumPar4">
    <w:name w:val="NumPar 4"/>
    <w:basedOn w:val="Normal"/>
    <w:next w:val="Text1"/>
    <w:rsid w:val="007D53B6"/>
    <w:pPr>
      <w:numPr>
        <w:ilvl w:val="3"/>
        <w:numId w:val="2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27"/>
      </w:numPr>
    </w:pPr>
  </w:style>
  <w:style w:type="paragraph" w:customStyle="1" w:styleId="Point1number">
    <w:name w:val="Point 1 (number)"/>
    <w:basedOn w:val="Normal"/>
    <w:rsid w:val="007D53B6"/>
    <w:pPr>
      <w:numPr>
        <w:ilvl w:val="2"/>
        <w:numId w:val="27"/>
      </w:numPr>
    </w:pPr>
  </w:style>
  <w:style w:type="paragraph" w:customStyle="1" w:styleId="Point2number">
    <w:name w:val="Point 2 (number)"/>
    <w:basedOn w:val="Normal"/>
    <w:rsid w:val="007D53B6"/>
    <w:pPr>
      <w:numPr>
        <w:ilvl w:val="4"/>
        <w:numId w:val="27"/>
      </w:numPr>
    </w:pPr>
  </w:style>
  <w:style w:type="paragraph" w:customStyle="1" w:styleId="Point3number">
    <w:name w:val="Point 3 (number)"/>
    <w:basedOn w:val="Normal"/>
    <w:rsid w:val="007D53B6"/>
    <w:pPr>
      <w:numPr>
        <w:ilvl w:val="6"/>
        <w:numId w:val="27"/>
      </w:numPr>
    </w:pPr>
  </w:style>
  <w:style w:type="paragraph" w:customStyle="1" w:styleId="Point0letter">
    <w:name w:val="Point 0 (letter)"/>
    <w:basedOn w:val="Normal"/>
    <w:rsid w:val="007D53B6"/>
    <w:pPr>
      <w:numPr>
        <w:ilvl w:val="1"/>
        <w:numId w:val="27"/>
      </w:numPr>
    </w:pPr>
  </w:style>
  <w:style w:type="paragraph" w:customStyle="1" w:styleId="Point1letter">
    <w:name w:val="Point 1 (letter)"/>
    <w:basedOn w:val="Normal"/>
    <w:rsid w:val="007D53B6"/>
    <w:pPr>
      <w:numPr>
        <w:ilvl w:val="3"/>
        <w:numId w:val="27"/>
      </w:numPr>
    </w:pPr>
  </w:style>
  <w:style w:type="paragraph" w:customStyle="1" w:styleId="Point2letter">
    <w:name w:val="Point 2 (letter)"/>
    <w:basedOn w:val="Normal"/>
    <w:rsid w:val="007D53B6"/>
    <w:pPr>
      <w:numPr>
        <w:ilvl w:val="5"/>
        <w:numId w:val="27"/>
      </w:numPr>
    </w:pPr>
  </w:style>
  <w:style w:type="paragraph" w:customStyle="1" w:styleId="Point3letter">
    <w:name w:val="Point 3 (letter)"/>
    <w:basedOn w:val="Normal"/>
    <w:rsid w:val="007D53B6"/>
    <w:pPr>
      <w:numPr>
        <w:ilvl w:val="7"/>
        <w:numId w:val="27"/>
      </w:numPr>
    </w:pPr>
  </w:style>
  <w:style w:type="paragraph" w:customStyle="1" w:styleId="Point4letter">
    <w:name w:val="Point 4 (letter)"/>
    <w:basedOn w:val="Normal"/>
    <w:rsid w:val="007D53B6"/>
    <w:pPr>
      <w:numPr>
        <w:ilvl w:val="8"/>
        <w:numId w:val="27"/>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paragraph" w:customStyle="1" w:styleId="Heradin">
    <w:name w:val="Heradin"/>
    <w:basedOn w:val="Normal"/>
    <w:rsid w:val="00CB3A16"/>
  </w:style>
  <w:style w:type="paragraph" w:customStyle="1" w:styleId="NumPar0">
    <w:name w:val="NumPar 0"/>
    <w:basedOn w:val="NumPar1"/>
    <w:rsid w:val="00FA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24D9458-BA6F-4835-90EF-3DB8098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16</Pages>
  <Words>4612</Words>
  <Characters>24972</Characters>
  <Application>Microsoft Office Word</Application>
  <DocSecurity>0</DocSecurity>
  <Lines>512</Lines>
  <Paragraphs>246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KUBIAK Ruben (ENER)</dc:creator>
  <cp:lastModifiedBy>PILKIENE Rasa (ENER)</cp:lastModifiedBy>
  <cp:revision>2</cp:revision>
  <cp:lastPrinted>2015-10-22T08:02:00Z</cp:lastPrinted>
  <dcterms:created xsi:type="dcterms:W3CDTF">2015-11-04T11:21:00Z</dcterms:created>
  <dcterms:modified xsi:type="dcterms:W3CDTF">2015-11-04T11:21:00Z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SJ-001</vt:lpwstr>
  </property>
  <property fmtid="{D5CDD505-2E9C-101B-9397-08002B2CF9AE}" pid="10" name="DQCStatus">
    <vt:lpwstr>Red (DQC version 03)</vt:lpwstr>
  </property>
</Properties>
</file>