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C3" w:rsidRDefault="000B70D2" w:rsidP="007D7217">
      <w:pPr>
        <w:pStyle w:val="Overskrift2"/>
      </w:pPr>
      <w:r>
        <w:t>Notat</w:t>
      </w:r>
      <w:r w:rsidR="00B82E89">
        <w:t xml:space="preserve"> om fremskrivning af VE-andele i Danmark fordelt på budzoner</w:t>
      </w:r>
    </w:p>
    <w:p w:rsidR="00AC60EA" w:rsidRDefault="00AC60EA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BC0B2C" w:rsidTr="00A46851">
        <w:tc>
          <w:tcPr>
            <w:tcW w:w="2235" w:type="dxa"/>
          </w:tcPr>
          <w:p w:rsidR="008F2666" w:rsidRPr="00A53C43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:rsidR="008F2666" w:rsidRPr="00A53C43" w:rsidRDefault="00B82E89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SYS/VE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99267F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82E8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9</w:t>
            </w:r>
            <w:r w:rsidR="00B82E89">
              <w:rPr>
                <w:sz w:val="16"/>
                <w:szCs w:val="16"/>
              </w:rPr>
              <w:t>-2022</w:t>
            </w:r>
          </w:p>
          <w:p w:rsidR="001A38A3" w:rsidRDefault="001A38A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151EBF" w:rsidRPr="00151EBF" w:rsidRDefault="00151EBF" w:rsidP="00A46851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:rsidR="00741CAC" w:rsidRDefault="00741CAC" w:rsidP="00B82E89">
      <w:pPr>
        <w:pStyle w:val="Overskrift3"/>
        <w:rPr>
          <w:rFonts w:ascii="Arial" w:eastAsiaTheme="minorHAnsi" w:hAnsi="Arial" w:cstheme="minorBidi"/>
          <w:b w:val="0"/>
          <w:bCs w:val="0"/>
          <w:color w:val="auto"/>
        </w:rPr>
      </w:pPr>
    </w:p>
    <w:p w:rsidR="00B82E89" w:rsidRDefault="00B82E89" w:rsidP="00B82E89">
      <w:pPr>
        <w:pStyle w:val="Overskrift3"/>
      </w:pPr>
      <w:r>
        <w:t>Indledning</w:t>
      </w:r>
    </w:p>
    <w:p w:rsidR="00B82E89" w:rsidRDefault="00B82E89" w:rsidP="00B82E89">
      <w:r>
        <w:t xml:space="preserve">Der er i Energistyrelsens Klimastatus og -fremskrivning </w:t>
      </w:r>
      <w:r w:rsidR="00741CAC">
        <w:t xml:space="preserve">for </w:t>
      </w:r>
      <w:r>
        <w:t>2022 (KF22</w:t>
      </w:r>
      <w:r w:rsidR="00E801CD">
        <w:rPr>
          <w:rStyle w:val="Fodnotehenvisning"/>
        </w:rPr>
        <w:footnoteReference w:id="1"/>
      </w:r>
      <w:r>
        <w:t>) lavet en samlet fremskrivning af VE-andele</w:t>
      </w:r>
      <w:r w:rsidR="00F82619">
        <w:t xml:space="preserve"> i elforbruget (RES-E)</w:t>
      </w:r>
      <w:r>
        <w:t xml:space="preserve"> i et </w:t>
      </w:r>
      <w:proofErr w:type="spellStart"/>
      <w:r w:rsidRPr="0099267F">
        <w:rPr>
          <w:i/>
        </w:rPr>
        <w:t>frozen</w:t>
      </w:r>
      <w:proofErr w:type="spellEnd"/>
      <w:r w:rsidRPr="0099267F">
        <w:rPr>
          <w:i/>
        </w:rPr>
        <w:t xml:space="preserve"> policy</w:t>
      </w:r>
      <w:r w:rsidR="0099267F">
        <w:t>-</w:t>
      </w:r>
      <w:r>
        <w:t>scenarie, som beskriver effekten af vedtagne politiske tiltag i Danmark</w:t>
      </w:r>
      <w:r w:rsidR="00741CAC">
        <w:t xml:space="preserve">, herunder </w:t>
      </w:r>
      <w:r w:rsidR="000803B9">
        <w:t xml:space="preserve">elforbrug samt </w:t>
      </w:r>
      <w:r w:rsidR="00741CAC">
        <w:t>udbygning med vedvarende energi</w:t>
      </w:r>
      <w:r>
        <w:t xml:space="preserve">. </w:t>
      </w:r>
      <w:r w:rsidR="00741CAC">
        <w:t xml:space="preserve">Da fremskrivningen af VE-andele </w:t>
      </w:r>
      <w:r w:rsidR="002776A1">
        <w:t>i</w:t>
      </w:r>
      <w:r w:rsidR="000803B9">
        <w:t xml:space="preserve"> el-systemet </w:t>
      </w:r>
      <w:r w:rsidR="00741CAC">
        <w:t xml:space="preserve">kan få </w:t>
      </w:r>
      <w:r w:rsidR="000803B9">
        <w:t xml:space="preserve">væsentlig </w:t>
      </w:r>
      <w:r w:rsidR="00741CAC">
        <w:t>betydning for, hvordan pr</w:t>
      </w:r>
      <w:r w:rsidR="000803B9">
        <w:t>oducenter af brint og</w:t>
      </w:r>
      <w:r w:rsidR="00741CAC">
        <w:t xml:space="preserve"> </w:t>
      </w:r>
      <w:proofErr w:type="spellStart"/>
      <w:r w:rsidR="00741CAC">
        <w:t>PtX</w:t>
      </w:r>
      <w:proofErr w:type="spellEnd"/>
      <w:r w:rsidR="00741CAC">
        <w:t xml:space="preserve">-brændstoffer er omfattet af kommende </w:t>
      </w:r>
      <w:r>
        <w:t xml:space="preserve">EU-regler (delegeret retsakt </w:t>
      </w:r>
      <w:r w:rsidR="000803B9">
        <w:t xml:space="preserve">om </w:t>
      </w:r>
      <w:r w:rsidR="00741CAC">
        <w:t>brint baseret på vedvarende energi</w:t>
      </w:r>
      <w:r>
        <w:t>)</w:t>
      </w:r>
      <w:r w:rsidR="002776A1">
        <w:t>,</w:t>
      </w:r>
      <w:r>
        <w:t xml:space="preserve"> vises der i dette notat en fremskrivning </w:t>
      </w:r>
      <w:r w:rsidR="00741CAC">
        <w:t xml:space="preserve">af VE-andele </w:t>
      </w:r>
      <w:r>
        <w:t>opdelt på de to danske budzoner DK1 og DK2. Fremskrivningen er baseret på samme datagrundlag</w:t>
      </w:r>
      <w:r w:rsidR="000803B9">
        <w:t xml:space="preserve"> og forudsætninger</w:t>
      </w:r>
      <w:r>
        <w:t xml:space="preserve"> som KF22</w:t>
      </w:r>
      <w:r w:rsidR="00741CAC">
        <w:t>. Effekten af nye politiske initiativer vedtaget efter offentliggørelsen af KF22 indgår således ikke.</w:t>
      </w:r>
      <w:r>
        <w:t xml:space="preserve">  </w:t>
      </w:r>
    </w:p>
    <w:p w:rsidR="002776A1" w:rsidRPr="00B82E89" w:rsidRDefault="002776A1" w:rsidP="00B82E89"/>
    <w:p w:rsidR="00502AFB" w:rsidRDefault="00B82E89" w:rsidP="00B82E89">
      <w:pPr>
        <w:pStyle w:val="Overskrift3"/>
      </w:pPr>
      <w:r>
        <w:t>F</w:t>
      </w:r>
      <w:r w:rsidR="00946BC0">
        <w:t xml:space="preserve">remskrivning </w:t>
      </w:r>
      <w:r>
        <w:t xml:space="preserve">af VE-andele </w:t>
      </w:r>
      <w:r w:rsidR="00946BC0">
        <w:t>for DK1 og DK2 frem mod 2035</w:t>
      </w:r>
    </w:p>
    <w:p w:rsidR="00227B6A" w:rsidRDefault="00946BC0" w:rsidP="00D46E49">
      <w:pPr>
        <w:rPr>
          <w:rFonts w:cs="Arial"/>
          <w:iCs/>
          <w:szCs w:val="20"/>
        </w:rPr>
      </w:pPr>
      <w:r>
        <w:t>I april 2022 udkom KF22</w:t>
      </w:r>
      <w:r w:rsidR="00B82E89">
        <w:t>, hvor</w:t>
      </w:r>
      <w:r w:rsidR="000803B9">
        <w:t>i</w:t>
      </w:r>
      <w:r w:rsidR="00B82E89">
        <w:t xml:space="preserve"> der </w:t>
      </w:r>
      <w:r>
        <w:t xml:space="preserve">vises </w:t>
      </w:r>
      <w:r w:rsidR="00B82E89">
        <w:t xml:space="preserve">en fremskrivning af VE-andele </w:t>
      </w:r>
      <w:r w:rsidR="00F82619">
        <w:t xml:space="preserve">i elforbruget </w:t>
      </w:r>
      <w:r>
        <w:t xml:space="preserve">for </w:t>
      </w:r>
      <w:r w:rsidR="00B82E89">
        <w:t xml:space="preserve">hele </w:t>
      </w:r>
      <w:r>
        <w:t>Danmark frem mod 2035</w:t>
      </w:r>
      <w:r w:rsidR="00227B6A">
        <w:t>.</w:t>
      </w:r>
      <w:r w:rsidR="00D46E49">
        <w:rPr>
          <w:rFonts w:cs="Arial"/>
          <w:iCs/>
          <w:szCs w:val="20"/>
        </w:rPr>
        <w:t xml:space="preserve"> </w:t>
      </w:r>
    </w:p>
    <w:p w:rsidR="00946BC0" w:rsidRPr="00946BC0" w:rsidRDefault="00946BC0" w:rsidP="00946BC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</w:tblGrid>
      <w:tr w:rsidR="00946BC0" w:rsidTr="007430D3">
        <w:tc>
          <w:tcPr>
            <w:tcW w:w="2463" w:type="dxa"/>
            <w:shd w:val="clear" w:color="auto" w:fill="D9D9D9" w:themeFill="background1" w:themeFillShade="D9"/>
          </w:tcPr>
          <w:p w:rsidR="00946BC0" w:rsidRPr="007430D3" w:rsidRDefault="00946BC0" w:rsidP="00502AFB">
            <w:pPr>
              <w:rPr>
                <w:rFonts w:cs="Arial"/>
                <w:b/>
                <w:iCs/>
                <w:szCs w:val="20"/>
              </w:rPr>
            </w:pPr>
            <w:r w:rsidRPr="007430D3">
              <w:rPr>
                <w:rFonts w:cs="Arial"/>
                <w:b/>
                <w:iCs/>
                <w:szCs w:val="20"/>
              </w:rPr>
              <w:t>År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946BC0" w:rsidRPr="007430D3" w:rsidRDefault="00946BC0" w:rsidP="00502AFB">
            <w:pPr>
              <w:rPr>
                <w:rFonts w:cs="Arial"/>
                <w:b/>
                <w:iCs/>
                <w:szCs w:val="20"/>
              </w:rPr>
            </w:pPr>
            <w:r w:rsidRPr="007430D3">
              <w:rPr>
                <w:rFonts w:cs="Arial"/>
                <w:b/>
                <w:iCs/>
                <w:szCs w:val="20"/>
              </w:rPr>
              <w:t>DK1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946BC0" w:rsidRPr="007430D3" w:rsidRDefault="00946BC0" w:rsidP="00502AFB">
            <w:pPr>
              <w:rPr>
                <w:rFonts w:cs="Arial"/>
                <w:b/>
                <w:iCs/>
                <w:szCs w:val="20"/>
              </w:rPr>
            </w:pPr>
            <w:r w:rsidRPr="007430D3">
              <w:rPr>
                <w:rFonts w:cs="Arial"/>
                <w:b/>
                <w:iCs/>
                <w:szCs w:val="20"/>
              </w:rPr>
              <w:t>DK2</w:t>
            </w:r>
          </w:p>
        </w:tc>
      </w:tr>
      <w:tr w:rsidR="00946BC0" w:rsidTr="00946BC0"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2021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83%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95%</w:t>
            </w:r>
          </w:p>
        </w:tc>
      </w:tr>
      <w:tr w:rsidR="00946BC0" w:rsidTr="00946BC0"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2022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83%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106%</w:t>
            </w:r>
          </w:p>
        </w:tc>
      </w:tr>
      <w:tr w:rsidR="00946BC0" w:rsidTr="00946BC0"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2023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88%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105%</w:t>
            </w:r>
          </w:p>
        </w:tc>
      </w:tr>
      <w:tr w:rsidR="00946BC0" w:rsidTr="00946BC0"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2024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88%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90%</w:t>
            </w:r>
          </w:p>
        </w:tc>
      </w:tr>
      <w:tr w:rsidR="00946BC0" w:rsidTr="00946BC0"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2025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92%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99%</w:t>
            </w:r>
          </w:p>
        </w:tc>
      </w:tr>
      <w:tr w:rsidR="00946BC0" w:rsidTr="00946BC0"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2026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103%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102%</w:t>
            </w:r>
          </w:p>
        </w:tc>
      </w:tr>
      <w:tr w:rsidR="00946BC0" w:rsidTr="00946BC0"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2027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103%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109%</w:t>
            </w:r>
          </w:p>
        </w:tc>
      </w:tr>
      <w:tr w:rsidR="00946BC0" w:rsidTr="00946BC0"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2028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98%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125%</w:t>
            </w:r>
          </w:p>
        </w:tc>
      </w:tr>
      <w:tr w:rsidR="00946BC0" w:rsidTr="00946BC0"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2029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96%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125%</w:t>
            </w:r>
          </w:p>
        </w:tc>
      </w:tr>
      <w:tr w:rsidR="00946BC0" w:rsidTr="00946BC0"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2030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100%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135%</w:t>
            </w:r>
          </w:p>
        </w:tc>
      </w:tr>
      <w:tr w:rsidR="00946BC0" w:rsidTr="00946BC0"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2031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99%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137%</w:t>
            </w:r>
          </w:p>
        </w:tc>
      </w:tr>
      <w:tr w:rsidR="00946BC0" w:rsidTr="00946BC0"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2032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98%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132%</w:t>
            </w:r>
          </w:p>
        </w:tc>
      </w:tr>
      <w:tr w:rsidR="00946BC0" w:rsidTr="00946BC0"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2033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97%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131%</w:t>
            </w:r>
          </w:p>
        </w:tc>
      </w:tr>
      <w:tr w:rsidR="00946BC0" w:rsidTr="00946BC0"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2034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96%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128%</w:t>
            </w:r>
          </w:p>
        </w:tc>
      </w:tr>
      <w:tr w:rsidR="00946BC0" w:rsidTr="00946BC0"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2035</w:t>
            </w:r>
          </w:p>
        </w:tc>
        <w:tc>
          <w:tcPr>
            <w:tcW w:w="2463" w:type="dxa"/>
          </w:tcPr>
          <w:p w:rsidR="00946BC0" w:rsidRDefault="00946BC0" w:rsidP="00502AFB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92%</w:t>
            </w:r>
          </w:p>
        </w:tc>
        <w:tc>
          <w:tcPr>
            <w:tcW w:w="2463" w:type="dxa"/>
          </w:tcPr>
          <w:p w:rsidR="00946BC0" w:rsidRDefault="00946BC0" w:rsidP="00151EBF">
            <w:pPr>
              <w:keepNext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125%</w:t>
            </w:r>
          </w:p>
        </w:tc>
      </w:tr>
    </w:tbl>
    <w:p w:rsidR="000B70D2" w:rsidRDefault="00151EBF" w:rsidP="00151EBF">
      <w:pPr>
        <w:pStyle w:val="Billedtekst"/>
        <w:rPr>
          <w:rFonts w:cs="Arial"/>
          <w:iCs w:val="0"/>
          <w:szCs w:val="20"/>
        </w:rPr>
      </w:pPr>
      <w:bookmarkStart w:id="0" w:name="_Ref111639335"/>
      <w:r>
        <w:t xml:space="preserve">Tabel </w:t>
      </w:r>
      <w:fldSimple w:instr=" SEQ Tabel \* ARABIC ">
        <w:r>
          <w:rPr>
            <w:noProof/>
          </w:rPr>
          <w:t>1</w:t>
        </w:r>
      </w:fldSimple>
      <w:bookmarkEnd w:id="0"/>
      <w:r>
        <w:t xml:space="preserve">: </w:t>
      </w:r>
      <w:r w:rsidR="00D46E49">
        <w:t>VE-andele</w:t>
      </w:r>
      <w:r w:rsidR="00F82619">
        <w:t xml:space="preserve"> i elforbruget</w:t>
      </w:r>
      <w:r w:rsidR="00D46E49">
        <w:t xml:space="preserve"> (</w:t>
      </w:r>
      <w:r>
        <w:t>RES-E</w:t>
      </w:r>
      <w:r w:rsidR="00D46E49">
        <w:t>)</w:t>
      </w:r>
      <w:r>
        <w:t xml:space="preserve"> for DK1 og DK2</w:t>
      </w:r>
      <w:r w:rsidR="00D46E49">
        <w:t xml:space="preserve"> opgjort efter EU-metode</w:t>
      </w:r>
      <w:r>
        <w:t xml:space="preserve">. </w:t>
      </w:r>
      <w:r w:rsidR="00D46E49">
        <w:t>Kilde:</w:t>
      </w:r>
      <w:r>
        <w:t xml:space="preserve"> KF22.</w:t>
      </w:r>
    </w:p>
    <w:p w:rsidR="00227B6A" w:rsidRDefault="00227B6A" w:rsidP="00227B6A"/>
    <w:p w:rsidR="00227B6A" w:rsidRDefault="00227B6A" w:rsidP="00502AFB">
      <w:r>
        <w:t xml:space="preserve">I </w:t>
      </w:r>
      <w:r>
        <w:fldChar w:fldCharType="begin"/>
      </w:r>
      <w:r>
        <w:instrText xml:space="preserve"> REF _Ref111639335 \h </w:instrText>
      </w:r>
      <w:r>
        <w:fldChar w:fldCharType="separate"/>
      </w:r>
      <w:r>
        <w:t xml:space="preserve">tabel </w:t>
      </w:r>
      <w:r>
        <w:rPr>
          <w:noProof/>
        </w:rPr>
        <w:t>1</w:t>
      </w:r>
      <w:r>
        <w:fldChar w:fldCharType="end"/>
      </w:r>
      <w:r>
        <w:t xml:space="preserve"> ovenfor ses </w:t>
      </w:r>
      <w:r w:rsidR="002776A1">
        <w:t>KF22-</w:t>
      </w:r>
      <w:r>
        <w:t xml:space="preserve">fremskrivningen opdelt i de to danske budzoner, som deler Danmark ved Storebælt. DK1 indeholder bl.a. Jylland og Fyn og DK2 omfatter bl.a. Sjælland og Lolland-Falster. </w:t>
      </w:r>
      <w:r w:rsidR="00741CAC">
        <w:t>Fremskrivning af VE-andele offentliggøres normalt samlet for Danmark</w:t>
      </w:r>
      <w:r w:rsidR="001011E3">
        <w:rPr>
          <w:rStyle w:val="Fodnotehenvisning"/>
        </w:rPr>
        <w:footnoteReference w:id="2"/>
      </w:r>
      <w:r w:rsidR="00741CAC">
        <w:t xml:space="preserve">, og i KF22 skelnes der derfor ikke mellem budzoner. Der tages således forbehold for usikkerheder i ovenstående tabel. </w:t>
      </w:r>
      <w:r>
        <w:rPr>
          <w:rFonts w:cs="Arial"/>
          <w:iCs/>
          <w:szCs w:val="20"/>
        </w:rPr>
        <w:t>Faldet i VE-andel der ses for DK1 i 2027/2028 kan blandt andet forklares ved et forventet skift i forhold til netto import og eksport af elektricitet.</w:t>
      </w:r>
    </w:p>
    <w:p w:rsidR="00227B6A" w:rsidRDefault="00227B6A" w:rsidP="00502AFB"/>
    <w:p w:rsidR="00151EBF" w:rsidRDefault="00CC57EC" w:rsidP="00502AFB">
      <w:pPr>
        <w:rPr>
          <w:rFonts w:cs="Arial"/>
          <w:iCs/>
          <w:szCs w:val="20"/>
        </w:rPr>
      </w:pPr>
      <w:r>
        <w:rPr>
          <w:rFonts w:cs="Arial"/>
          <w:iCs/>
          <w:szCs w:val="20"/>
        </w:rPr>
        <w:t>Eftersom</w:t>
      </w:r>
      <w:r w:rsidR="00DF692F">
        <w:rPr>
          <w:rFonts w:cs="Arial"/>
          <w:iCs/>
          <w:szCs w:val="20"/>
        </w:rPr>
        <w:t xml:space="preserve"> tallene </w:t>
      </w:r>
      <w:r w:rsidR="00741CAC">
        <w:rPr>
          <w:rFonts w:cs="Arial"/>
          <w:iCs/>
          <w:szCs w:val="20"/>
        </w:rPr>
        <w:t>stammer fra analyser fra KF22</w:t>
      </w:r>
      <w:r w:rsidR="00151EBF">
        <w:rPr>
          <w:rFonts w:cs="Arial"/>
          <w:iCs/>
          <w:szCs w:val="20"/>
        </w:rPr>
        <w:t>,</w:t>
      </w:r>
      <w:r>
        <w:rPr>
          <w:rFonts w:cs="Arial"/>
          <w:iCs/>
          <w:szCs w:val="20"/>
        </w:rPr>
        <w:t xml:space="preserve"> så er de</w:t>
      </w:r>
      <w:r w:rsidR="00741CAC">
        <w:rPr>
          <w:rFonts w:cs="Arial"/>
          <w:iCs/>
          <w:szCs w:val="20"/>
        </w:rPr>
        <w:t>r anvendt identiske antagelser for bl.a. VE-udbygning og elforbrug mv.</w:t>
      </w:r>
      <w:r>
        <w:rPr>
          <w:rFonts w:cs="Arial"/>
          <w:iCs/>
          <w:szCs w:val="20"/>
        </w:rPr>
        <w:t xml:space="preserve"> </w:t>
      </w:r>
      <w:r w:rsidR="00741CAC">
        <w:rPr>
          <w:rFonts w:cs="Arial"/>
          <w:iCs/>
          <w:szCs w:val="20"/>
        </w:rPr>
        <w:t xml:space="preserve">I KF22 anvendes en </w:t>
      </w:r>
      <w:proofErr w:type="spellStart"/>
      <w:r w:rsidR="00741CAC">
        <w:rPr>
          <w:rFonts w:cs="Arial"/>
          <w:iCs/>
          <w:szCs w:val="20"/>
        </w:rPr>
        <w:t>frozen</w:t>
      </w:r>
      <w:proofErr w:type="spellEnd"/>
      <w:r w:rsidR="00741CAC">
        <w:rPr>
          <w:rFonts w:cs="Arial"/>
          <w:iCs/>
          <w:szCs w:val="20"/>
        </w:rPr>
        <w:t xml:space="preserve"> policy tilgang med alle vedtagne tiltag, </w:t>
      </w:r>
      <w:r>
        <w:rPr>
          <w:rFonts w:cs="Arial"/>
          <w:iCs/>
          <w:szCs w:val="20"/>
        </w:rPr>
        <w:t xml:space="preserve">som </w:t>
      </w:r>
      <w:r w:rsidR="00741CAC">
        <w:rPr>
          <w:rFonts w:cs="Arial"/>
          <w:iCs/>
          <w:szCs w:val="20"/>
        </w:rPr>
        <w:t xml:space="preserve">er </w:t>
      </w:r>
      <w:r>
        <w:rPr>
          <w:rFonts w:cs="Arial"/>
          <w:iCs/>
          <w:szCs w:val="20"/>
        </w:rPr>
        <w:t>besluttet efter 1. januar 2022.</w:t>
      </w:r>
      <w:r w:rsidR="0080554D">
        <w:rPr>
          <w:rFonts w:cs="Arial"/>
          <w:iCs/>
          <w:szCs w:val="20"/>
        </w:rPr>
        <w:t xml:space="preserve"> Ydermere indgår IPCEI</w:t>
      </w:r>
      <w:r w:rsidR="00007C76">
        <w:rPr>
          <w:rFonts w:cs="Arial"/>
          <w:iCs/>
          <w:szCs w:val="20"/>
        </w:rPr>
        <w:t>-projekter</w:t>
      </w:r>
      <w:r w:rsidR="0080554D">
        <w:rPr>
          <w:rFonts w:cs="Arial"/>
          <w:iCs/>
          <w:szCs w:val="20"/>
        </w:rPr>
        <w:t xml:space="preserve"> og energiøerne ikke i fremskrivningen</w:t>
      </w:r>
      <w:r w:rsidR="00007C76">
        <w:rPr>
          <w:rFonts w:cs="Arial"/>
          <w:iCs/>
          <w:szCs w:val="20"/>
        </w:rPr>
        <w:t>, ligesom udbud af yderligere havvind fra aftalen om DKMII</w:t>
      </w:r>
      <w:r w:rsidR="001011E3">
        <w:rPr>
          <w:rStyle w:val="Fodnotehenvisning"/>
          <w:rFonts w:cs="Arial"/>
          <w:iCs/>
          <w:szCs w:val="20"/>
        </w:rPr>
        <w:footnoteReference w:id="3"/>
      </w:r>
      <w:r w:rsidR="00007C76">
        <w:rPr>
          <w:rFonts w:cs="Arial"/>
          <w:iCs/>
          <w:szCs w:val="20"/>
        </w:rPr>
        <w:t xml:space="preserve"> ikke indgår</w:t>
      </w:r>
      <w:r w:rsidR="0080554D">
        <w:rPr>
          <w:rFonts w:cs="Arial"/>
          <w:iCs/>
          <w:szCs w:val="20"/>
        </w:rPr>
        <w:t xml:space="preserve">. </w:t>
      </w:r>
      <w:r w:rsidR="00227B6A">
        <w:rPr>
          <w:rFonts w:cs="Arial"/>
          <w:iCs/>
          <w:szCs w:val="20"/>
        </w:rPr>
        <w:t>I</w:t>
      </w:r>
      <w:r w:rsidR="0080554D">
        <w:rPr>
          <w:rFonts w:cs="Arial"/>
          <w:iCs/>
          <w:szCs w:val="20"/>
        </w:rPr>
        <w:t xml:space="preserve">nformation </w:t>
      </w:r>
      <w:r w:rsidR="00227B6A">
        <w:rPr>
          <w:rFonts w:cs="Arial"/>
          <w:iCs/>
          <w:szCs w:val="20"/>
        </w:rPr>
        <w:t xml:space="preserve">om data og antagelser </w:t>
      </w:r>
      <w:r w:rsidR="0080554D">
        <w:rPr>
          <w:rFonts w:cs="Arial"/>
          <w:iCs/>
          <w:szCs w:val="20"/>
        </w:rPr>
        <w:t>kan findes i forudsætningsnotat 2A til KF22</w:t>
      </w:r>
      <w:r w:rsidR="00E801CD">
        <w:rPr>
          <w:rStyle w:val="Fodnotehenvisning"/>
          <w:rFonts w:cs="Arial"/>
          <w:iCs/>
          <w:szCs w:val="20"/>
        </w:rPr>
        <w:footnoteReference w:id="4"/>
      </w:r>
      <w:r w:rsidR="0080554D">
        <w:rPr>
          <w:rFonts w:cs="Arial"/>
          <w:iCs/>
          <w:szCs w:val="20"/>
        </w:rPr>
        <w:t xml:space="preserve">. </w:t>
      </w:r>
      <w:r w:rsidR="005061BA">
        <w:rPr>
          <w:rFonts w:cs="Arial"/>
          <w:iCs/>
          <w:szCs w:val="20"/>
        </w:rPr>
        <w:t>Politiske aftaler fra sommeren 2022 indgår heller ikke i KF22.</w:t>
      </w:r>
      <w:r w:rsidR="00760F7F">
        <w:rPr>
          <w:rFonts w:cs="Arial"/>
          <w:iCs/>
          <w:szCs w:val="20"/>
        </w:rPr>
        <w:t xml:space="preserve"> </w:t>
      </w:r>
    </w:p>
    <w:p w:rsidR="00151EBF" w:rsidRDefault="00151EBF" w:rsidP="00502AFB">
      <w:pPr>
        <w:rPr>
          <w:rFonts w:cs="Arial"/>
          <w:iCs/>
          <w:szCs w:val="20"/>
        </w:rPr>
      </w:pPr>
    </w:p>
    <w:p w:rsidR="002776A1" w:rsidRDefault="005061BA" w:rsidP="00502AFB">
      <w:pPr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I efteråret 2022 vil Energistyrelsen offentliggøre dette års </w:t>
      </w:r>
      <w:r w:rsidR="00151EBF">
        <w:rPr>
          <w:rFonts w:cs="Arial"/>
          <w:iCs/>
          <w:szCs w:val="20"/>
        </w:rPr>
        <w:t xml:space="preserve">Analyseforudsætninger </w:t>
      </w:r>
      <w:r>
        <w:rPr>
          <w:rFonts w:cs="Arial"/>
          <w:iCs/>
          <w:szCs w:val="20"/>
        </w:rPr>
        <w:t>til Energinet (AF22), som vil indeholde en opdateret fremskrivning af VE-andele baseret på en forventet udbygning med vedvarende energi og en forventet fremskrivning af elforbruget, som vurderes sandsynlig ud fra de danske mål og forpligtelser på klima- og energiområdet</w:t>
      </w:r>
      <w:r w:rsidR="00151EBF">
        <w:rPr>
          <w:rFonts w:cs="Arial"/>
          <w:iCs/>
          <w:szCs w:val="20"/>
        </w:rPr>
        <w:t>.</w:t>
      </w:r>
      <w:r>
        <w:rPr>
          <w:rFonts w:cs="Arial"/>
          <w:iCs/>
          <w:szCs w:val="20"/>
        </w:rPr>
        <w:t xml:space="preserve"> Energistyrelsen forventer at kunne offentliggøre en ny tabel med fremskrivning af VE-andele fordelt på budzoner efter offentliggørelsen af AF22. </w:t>
      </w:r>
      <w:r w:rsidR="00421C7A">
        <w:rPr>
          <w:rFonts w:cs="Arial"/>
          <w:iCs/>
          <w:szCs w:val="20"/>
        </w:rPr>
        <w:t xml:space="preserve">Dette vil dog ikke nødvendigvis give en markant stigning i RES-E da forbruget, især til </w:t>
      </w:r>
      <w:proofErr w:type="spellStart"/>
      <w:r w:rsidR="00421C7A">
        <w:rPr>
          <w:rFonts w:cs="Arial"/>
          <w:iCs/>
          <w:szCs w:val="20"/>
        </w:rPr>
        <w:t>PtX</w:t>
      </w:r>
      <w:proofErr w:type="spellEnd"/>
      <w:r w:rsidR="00421C7A">
        <w:rPr>
          <w:rFonts w:cs="Arial"/>
          <w:iCs/>
          <w:szCs w:val="20"/>
        </w:rPr>
        <w:t xml:space="preserve">, også forventes at stige. </w:t>
      </w:r>
      <w:r>
        <w:rPr>
          <w:rFonts w:cs="Arial"/>
          <w:iCs/>
          <w:szCs w:val="20"/>
        </w:rPr>
        <w:t xml:space="preserve"> </w:t>
      </w:r>
      <w:r w:rsidR="0080554D">
        <w:rPr>
          <w:rFonts w:cs="Arial"/>
          <w:iCs/>
          <w:szCs w:val="20"/>
        </w:rPr>
        <w:t xml:space="preserve"> </w:t>
      </w:r>
    </w:p>
    <w:p w:rsidR="00227B6A" w:rsidRPr="00227B6A" w:rsidRDefault="00227B6A" w:rsidP="00227B6A">
      <w:pPr>
        <w:pStyle w:val="Overskrift3"/>
      </w:pPr>
      <w:r w:rsidRPr="00227B6A">
        <w:t xml:space="preserve">Betydning for </w:t>
      </w:r>
      <w:r w:rsidR="00480029">
        <w:t xml:space="preserve">kommende </w:t>
      </w:r>
      <w:r w:rsidRPr="00227B6A">
        <w:t>danske brint</w:t>
      </w:r>
      <w:r w:rsidR="00DB6FF9">
        <w:t xml:space="preserve">- og </w:t>
      </w:r>
      <w:proofErr w:type="spellStart"/>
      <w:r w:rsidR="00DB6FF9">
        <w:t>PtX</w:t>
      </w:r>
      <w:proofErr w:type="spellEnd"/>
      <w:r w:rsidR="00DB6FF9">
        <w:t>-</w:t>
      </w:r>
      <w:r w:rsidRPr="00227B6A">
        <w:t>producenter</w:t>
      </w:r>
    </w:p>
    <w:p w:rsidR="00480029" w:rsidRDefault="00227B6A" w:rsidP="00502AFB">
      <w:pPr>
        <w:rPr>
          <w:rFonts w:cs="Arial"/>
          <w:iCs/>
          <w:szCs w:val="20"/>
        </w:rPr>
      </w:pPr>
      <w:r>
        <w:rPr>
          <w:rFonts w:cs="Arial"/>
          <w:iCs/>
          <w:szCs w:val="20"/>
        </w:rPr>
        <w:t>I høringsversionen for den delegerede retsakt</w:t>
      </w:r>
      <w:r w:rsidR="00DB6FF9">
        <w:rPr>
          <w:rStyle w:val="Fodnotehenvisning"/>
          <w:rFonts w:cs="Arial"/>
          <w:iCs/>
          <w:szCs w:val="20"/>
        </w:rPr>
        <w:footnoteReference w:id="5"/>
      </w:r>
      <w:r>
        <w:rPr>
          <w:rFonts w:cs="Arial"/>
          <w:iCs/>
          <w:szCs w:val="20"/>
        </w:rPr>
        <w:t xml:space="preserve"> for brint baseret på</w:t>
      </w:r>
      <w:r w:rsidR="00DB6FF9">
        <w:rPr>
          <w:rFonts w:cs="Arial"/>
          <w:iCs/>
          <w:szCs w:val="20"/>
        </w:rPr>
        <w:t xml:space="preserve"> vedvarende energi </w:t>
      </w:r>
      <w:r w:rsidR="004636B2">
        <w:rPr>
          <w:rFonts w:cs="Arial"/>
          <w:iCs/>
          <w:szCs w:val="20"/>
        </w:rPr>
        <w:t xml:space="preserve">er der lagt op til, at der </w:t>
      </w:r>
      <w:r w:rsidR="002776A1">
        <w:rPr>
          <w:rFonts w:cs="Arial"/>
          <w:iCs/>
          <w:szCs w:val="20"/>
        </w:rPr>
        <w:t xml:space="preserve">indføres forsimplede regler </w:t>
      </w:r>
      <w:r w:rsidR="004636B2">
        <w:rPr>
          <w:rFonts w:cs="Arial"/>
          <w:iCs/>
          <w:szCs w:val="20"/>
        </w:rPr>
        <w:t xml:space="preserve">for brintproducenter, der anvender elektricitet fra nettet, hvis </w:t>
      </w:r>
      <w:r w:rsidR="002776A1">
        <w:rPr>
          <w:rFonts w:cs="Arial"/>
          <w:iCs/>
          <w:szCs w:val="20"/>
        </w:rPr>
        <w:t xml:space="preserve">forbruget sker </w:t>
      </w:r>
      <w:r w:rsidR="004636B2">
        <w:rPr>
          <w:rFonts w:cs="Arial"/>
          <w:iCs/>
          <w:szCs w:val="20"/>
        </w:rPr>
        <w:t xml:space="preserve">i en budzone med en VE-andel over 90 pct. året før. I så fald kan </w:t>
      </w:r>
      <w:r w:rsidR="002776A1">
        <w:rPr>
          <w:rFonts w:cs="Arial"/>
          <w:iCs/>
          <w:szCs w:val="20"/>
        </w:rPr>
        <w:t xml:space="preserve">producenterne af brint </w:t>
      </w:r>
      <w:r w:rsidR="004636B2">
        <w:rPr>
          <w:rFonts w:cs="Arial"/>
          <w:iCs/>
          <w:szCs w:val="20"/>
        </w:rPr>
        <w:t xml:space="preserve">undtages fra de generelle regler om at indgå PPA (power </w:t>
      </w:r>
      <w:proofErr w:type="spellStart"/>
      <w:r w:rsidR="004636B2">
        <w:rPr>
          <w:rFonts w:cs="Arial"/>
          <w:iCs/>
          <w:szCs w:val="20"/>
        </w:rPr>
        <w:t>purchase</w:t>
      </w:r>
      <w:proofErr w:type="spellEnd"/>
      <w:r w:rsidR="004636B2">
        <w:rPr>
          <w:rFonts w:cs="Arial"/>
          <w:iCs/>
          <w:szCs w:val="20"/>
        </w:rPr>
        <w:t xml:space="preserve"> agreements) med VE-producenter og derudover matche produktion og forbrug på timebasis. Der lægges op til</w:t>
      </w:r>
      <w:r w:rsidR="008F14EF">
        <w:rPr>
          <w:rFonts w:cs="Arial"/>
          <w:iCs/>
          <w:szCs w:val="20"/>
        </w:rPr>
        <w:t>,</w:t>
      </w:r>
      <w:r w:rsidR="004636B2">
        <w:rPr>
          <w:rFonts w:cs="Arial"/>
          <w:iCs/>
          <w:szCs w:val="20"/>
        </w:rPr>
        <w:t xml:space="preserve"> at de generelle regler træder i kraft efter en indfasning frem til 2027. </w:t>
      </w:r>
    </w:p>
    <w:p w:rsidR="00480029" w:rsidRDefault="00480029" w:rsidP="00502AFB">
      <w:pPr>
        <w:rPr>
          <w:rFonts w:cs="Arial"/>
          <w:iCs/>
          <w:szCs w:val="20"/>
        </w:rPr>
      </w:pPr>
    </w:p>
    <w:p w:rsidR="001A38A3" w:rsidRDefault="004636B2" w:rsidP="00502AFB">
      <w:pPr>
        <w:rPr>
          <w:rFonts w:cs="Arial"/>
          <w:iCs/>
          <w:szCs w:val="20"/>
        </w:rPr>
      </w:pPr>
      <w:r>
        <w:rPr>
          <w:rFonts w:cs="Arial"/>
          <w:iCs/>
          <w:szCs w:val="20"/>
        </w:rPr>
        <w:t>Som det ses i tabellen</w:t>
      </w:r>
      <w:r w:rsidR="00480029">
        <w:rPr>
          <w:rFonts w:cs="Arial"/>
          <w:iCs/>
          <w:szCs w:val="20"/>
        </w:rPr>
        <w:t xml:space="preserve"> ovenfor</w:t>
      </w:r>
      <w:r>
        <w:rPr>
          <w:rFonts w:cs="Arial"/>
          <w:iCs/>
          <w:szCs w:val="20"/>
        </w:rPr>
        <w:t xml:space="preserve"> </w:t>
      </w:r>
      <w:r w:rsidR="00480029">
        <w:rPr>
          <w:rFonts w:cs="Arial"/>
          <w:iCs/>
          <w:szCs w:val="20"/>
        </w:rPr>
        <w:t xml:space="preserve">forventes danske </w:t>
      </w:r>
      <w:r>
        <w:rPr>
          <w:rFonts w:cs="Arial"/>
          <w:iCs/>
          <w:szCs w:val="20"/>
        </w:rPr>
        <w:t xml:space="preserve">brint og </w:t>
      </w:r>
      <w:proofErr w:type="spellStart"/>
      <w:r>
        <w:rPr>
          <w:rFonts w:cs="Arial"/>
          <w:iCs/>
          <w:szCs w:val="20"/>
        </w:rPr>
        <w:t>PtX</w:t>
      </w:r>
      <w:proofErr w:type="spellEnd"/>
      <w:r>
        <w:rPr>
          <w:rFonts w:cs="Arial"/>
          <w:iCs/>
          <w:szCs w:val="20"/>
        </w:rPr>
        <w:t xml:space="preserve">-producenter </w:t>
      </w:r>
      <w:r w:rsidR="00480029">
        <w:rPr>
          <w:rFonts w:cs="Arial"/>
          <w:iCs/>
          <w:szCs w:val="20"/>
        </w:rPr>
        <w:t xml:space="preserve">at </w:t>
      </w:r>
      <w:r>
        <w:rPr>
          <w:rFonts w:cs="Arial"/>
          <w:iCs/>
          <w:szCs w:val="20"/>
        </w:rPr>
        <w:t xml:space="preserve">kunne </w:t>
      </w:r>
      <w:r w:rsidR="002776A1">
        <w:rPr>
          <w:rFonts w:cs="Arial"/>
          <w:iCs/>
          <w:szCs w:val="20"/>
        </w:rPr>
        <w:t>blive omfattet af de forsimplede regler. Det forventes, at de endelige regler fra Kommissionen vil blive fastlagt i løbet af efteråret 2022.</w:t>
      </w:r>
      <w:r>
        <w:rPr>
          <w:rFonts w:cs="Arial"/>
          <w:iCs/>
          <w:szCs w:val="20"/>
        </w:rPr>
        <w:t xml:space="preserve">  </w:t>
      </w:r>
      <w:r w:rsidR="00227B6A">
        <w:rPr>
          <w:rFonts w:cs="Arial"/>
          <w:iCs/>
          <w:szCs w:val="20"/>
        </w:rPr>
        <w:t xml:space="preserve"> </w:t>
      </w:r>
    </w:p>
    <w:sectPr w:rsidR="001A38A3" w:rsidSect="000A08E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BB" w:rsidRDefault="00B55EBB" w:rsidP="008969C1">
      <w:pPr>
        <w:spacing w:line="240" w:lineRule="auto"/>
      </w:pPr>
      <w:r>
        <w:separator/>
      </w:r>
    </w:p>
  </w:endnote>
  <w:endnote w:type="continuationSeparator" w:id="0">
    <w:p w:rsidR="00B55EBB" w:rsidRDefault="00B55EBB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7E5B59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7E5B5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61CC3" wp14:editId="57EA4186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61CC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7E5B59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7E5B5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BB" w:rsidRDefault="00B55EBB" w:rsidP="008969C1">
      <w:pPr>
        <w:spacing w:line="240" w:lineRule="auto"/>
      </w:pPr>
      <w:r>
        <w:separator/>
      </w:r>
    </w:p>
  </w:footnote>
  <w:footnote w:type="continuationSeparator" w:id="0">
    <w:p w:rsidR="00B55EBB" w:rsidRDefault="00B55EBB" w:rsidP="008969C1">
      <w:pPr>
        <w:spacing w:line="240" w:lineRule="auto"/>
      </w:pPr>
      <w:r>
        <w:continuationSeparator/>
      </w:r>
    </w:p>
  </w:footnote>
  <w:footnote w:id="1">
    <w:p w:rsidR="00E801CD" w:rsidRPr="002776A1" w:rsidRDefault="00E801CD">
      <w:pPr>
        <w:pStyle w:val="Fodnotetekst"/>
        <w:rPr>
          <w:sz w:val="18"/>
          <w:szCs w:val="18"/>
        </w:rPr>
      </w:pPr>
      <w:r w:rsidRPr="002776A1">
        <w:rPr>
          <w:rStyle w:val="Fodnotehenvisning"/>
          <w:sz w:val="18"/>
          <w:szCs w:val="18"/>
        </w:rPr>
        <w:footnoteRef/>
      </w:r>
      <w:r w:rsidRPr="002776A1">
        <w:rPr>
          <w:sz w:val="18"/>
          <w:szCs w:val="18"/>
        </w:rPr>
        <w:t xml:space="preserve"> </w:t>
      </w:r>
      <w:hyperlink r:id="rId1" w:history="1">
        <w:r w:rsidRPr="002776A1">
          <w:rPr>
            <w:rStyle w:val="Hyperlink"/>
            <w:sz w:val="18"/>
            <w:szCs w:val="18"/>
          </w:rPr>
          <w:t>https://ens.dk/sites/ens.dk/files/Basisfremskrivning/kf22_-_samlet_rapport.pdf</w:t>
        </w:r>
      </w:hyperlink>
      <w:r w:rsidRPr="002776A1">
        <w:rPr>
          <w:sz w:val="18"/>
          <w:szCs w:val="18"/>
        </w:rPr>
        <w:t xml:space="preserve"> </w:t>
      </w:r>
    </w:p>
  </w:footnote>
  <w:footnote w:id="2">
    <w:p w:rsidR="001011E3" w:rsidRPr="0099267F" w:rsidRDefault="001011E3">
      <w:pPr>
        <w:pStyle w:val="Fodnotetekst"/>
        <w:rPr>
          <w:rStyle w:val="Hyperlink"/>
          <w:sz w:val="18"/>
          <w:szCs w:val="18"/>
        </w:rPr>
      </w:pPr>
      <w:r w:rsidRPr="0099267F">
        <w:rPr>
          <w:rStyle w:val="Hyperlink"/>
          <w:sz w:val="18"/>
          <w:szCs w:val="18"/>
        </w:rPr>
        <w:footnoteRef/>
      </w:r>
      <w:r w:rsidRPr="0099267F">
        <w:rPr>
          <w:rStyle w:val="Hyperlink"/>
          <w:sz w:val="18"/>
          <w:szCs w:val="18"/>
        </w:rPr>
        <w:t xml:space="preserve"> Derfor indgår en korrektion af vindkraft ikke i disse beregninger, og der skal tages forbehold for en afvigelse på 2-3% i det samlede RES-E.</w:t>
      </w:r>
    </w:p>
  </w:footnote>
  <w:footnote w:id="3">
    <w:p w:rsidR="001011E3" w:rsidRDefault="001011E3">
      <w:pPr>
        <w:pStyle w:val="Fodnotetekst"/>
      </w:pPr>
      <w:r w:rsidRPr="0099267F">
        <w:rPr>
          <w:rStyle w:val="Hyperlink"/>
          <w:sz w:val="18"/>
          <w:szCs w:val="18"/>
        </w:rPr>
        <w:footnoteRef/>
      </w:r>
      <w:r w:rsidRPr="0099267F">
        <w:rPr>
          <w:rStyle w:val="Hyperlink"/>
          <w:sz w:val="18"/>
          <w:szCs w:val="18"/>
        </w:rPr>
        <w:t xml:space="preserve"> </w:t>
      </w:r>
      <w:hyperlink r:id="rId2" w:history="1">
        <w:r w:rsidRPr="0099267F">
          <w:rPr>
            <w:rStyle w:val="Hyperlink"/>
            <w:sz w:val="18"/>
            <w:szCs w:val="18"/>
          </w:rPr>
          <w:t>https://www.regeringen.dk/aktuelt/publikationer-og-aftaletekster/danmark-kan-mere-ii/</w:t>
        </w:r>
      </w:hyperlink>
    </w:p>
  </w:footnote>
  <w:footnote w:id="4">
    <w:p w:rsidR="00E801CD" w:rsidRPr="00DB6FF9" w:rsidRDefault="00E801CD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hyperlink r:id="rId3" w:history="1">
        <w:r w:rsidRPr="00DB6FF9">
          <w:rPr>
            <w:rStyle w:val="Hyperlink"/>
            <w:sz w:val="18"/>
            <w:szCs w:val="18"/>
          </w:rPr>
          <w:t>https://ens.dk/sites/ens.dk/files/Analyser/2a_kf22_forudsaetningsnotat_-_politik_og_aftaler_i_kf22.pdf</w:t>
        </w:r>
      </w:hyperlink>
      <w:r w:rsidRPr="00DB6FF9">
        <w:rPr>
          <w:sz w:val="18"/>
          <w:szCs w:val="18"/>
        </w:rPr>
        <w:t xml:space="preserve"> </w:t>
      </w:r>
    </w:p>
  </w:footnote>
  <w:footnote w:id="5">
    <w:p w:rsidR="00DB6FF9" w:rsidRDefault="00DB6FF9">
      <w:pPr>
        <w:pStyle w:val="Fodnotetekst"/>
      </w:pPr>
      <w:r w:rsidRPr="00DB6FF9">
        <w:rPr>
          <w:rStyle w:val="Fodnotehenvisning"/>
          <w:sz w:val="18"/>
          <w:szCs w:val="18"/>
        </w:rPr>
        <w:footnoteRef/>
      </w:r>
      <w:r w:rsidRPr="00DB6FF9">
        <w:rPr>
          <w:sz w:val="18"/>
          <w:szCs w:val="18"/>
        </w:rPr>
        <w:t xml:space="preserve"> </w:t>
      </w:r>
      <w:hyperlink r:id="rId4" w:history="1">
        <w:r w:rsidRPr="00DB6FF9">
          <w:rPr>
            <w:rStyle w:val="Hyperlink"/>
            <w:sz w:val="18"/>
            <w:szCs w:val="18"/>
          </w:rPr>
          <w:t>https://ec.europa.eu/info/law/better-regulation/have-your-say/initiatives/7046068-Production-of-renewable-transport-fuels-share-of-renewable-electricity-requirements-_en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413C72ED" wp14:editId="4711B9B3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C3" w:rsidRDefault="005E3FC3">
    <w:pPr>
      <w:pStyle w:val="Sidehoved"/>
    </w:pPr>
  </w:p>
  <w:p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0E0DEC6F" wp14:editId="47342116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17"/>
    <w:rsid w:val="00007C76"/>
    <w:rsid w:val="000129E0"/>
    <w:rsid w:val="00022817"/>
    <w:rsid w:val="00036061"/>
    <w:rsid w:val="00065C74"/>
    <w:rsid w:val="00071234"/>
    <w:rsid w:val="000803B9"/>
    <w:rsid w:val="00086163"/>
    <w:rsid w:val="000A08E2"/>
    <w:rsid w:val="000B70D2"/>
    <w:rsid w:val="00100513"/>
    <w:rsid w:val="001011E3"/>
    <w:rsid w:val="00110084"/>
    <w:rsid w:val="00140C61"/>
    <w:rsid w:val="00151EBF"/>
    <w:rsid w:val="00164D3D"/>
    <w:rsid w:val="00167AAB"/>
    <w:rsid w:val="001A0887"/>
    <w:rsid w:val="001A38A3"/>
    <w:rsid w:val="001C06D2"/>
    <w:rsid w:val="002107CB"/>
    <w:rsid w:val="00227B6A"/>
    <w:rsid w:val="002611C9"/>
    <w:rsid w:val="0027768F"/>
    <w:rsid w:val="002776A1"/>
    <w:rsid w:val="00281335"/>
    <w:rsid w:val="002861AB"/>
    <w:rsid w:val="00296E6F"/>
    <w:rsid w:val="002A4EDA"/>
    <w:rsid w:val="002C135B"/>
    <w:rsid w:val="002D1908"/>
    <w:rsid w:val="002F21E7"/>
    <w:rsid w:val="00336A7F"/>
    <w:rsid w:val="0034007A"/>
    <w:rsid w:val="00347BCC"/>
    <w:rsid w:val="00352DBE"/>
    <w:rsid w:val="0039721E"/>
    <w:rsid w:val="003B31EC"/>
    <w:rsid w:val="003B5DBB"/>
    <w:rsid w:val="003B7D18"/>
    <w:rsid w:val="003E2CCF"/>
    <w:rsid w:val="004129C4"/>
    <w:rsid w:val="00413E19"/>
    <w:rsid w:val="00421C7A"/>
    <w:rsid w:val="004456A7"/>
    <w:rsid w:val="004636B2"/>
    <w:rsid w:val="004704DA"/>
    <w:rsid w:val="0047647A"/>
    <w:rsid w:val="00480029"/>
    <w:rsid w:val="00482C56"/>
    <w:rsid w:val="004B53D4"/>
    <w:rsid w:val="004D5CFB"/>
    <w:rsid w:val="004F5C81"/>
    <w:rsid w:val="00502AFB"/>
    <w:rsid w:val="005061BA"/>
    <w:rsid w:val="00527652"/>
    <w:rsid w:val="00530D75"/>
    <w:rsid w:val="005340A7"/>
    <w:rsid w:val="005557A3"/>
    <w:rsid w:val="00577EAE"/>
    <w:rsid w:val="00583115"/>
    <w:rsid w:val="005A456B"/>
    <w:rsid w:val="005D5042"/>
    <w:rsid w:val="005E01CD"/>
    <w:rsid w:val="005E162F"/>
    <w:rsid w:val="005E3A8F"/>
    <w:rsid w:val="005E3FC3"/>
    <w:rsid w:val="006202F5"/>
    <w:rsid w:val="0064265F"/>
    <w:rsid w:val="00646523"/>
    <w:rsid w:val="00655117"/>
    <w:rsid w:val="00665F29"/>
    <w:rsid w:val="00667FF1"/>
    <w:rsid w:val="006803EB"/>
    <w:rsid w:val="0068205E"/>
    <w:rsid w:val="006D408B"/>
    <w:rsid w:val="006D6210"/>
    <w:rsid w:val="006E691D"/>
    <w:rsid w:val="00721870"/>
    <w:rsid w:val="00741CAC"/>
    <w:rsid w:val="007430D3"/>
    <w:rsid w:val="007501F1"/>
    <w:rsid w:val="00760F7F"/>
    <w:rsid w:val="007636C2"/>
    <w:rsid w:val="00767FC3"/>
    <w:rsid w:val="00774A37"/>
    <w:rsid w:val="007B75E6"/>
    <w:rsid w:val="007D7217"/>
    <w:rsid w:val="007E3B70"/>
    <w:rsid w:val="007E5B59"/>
    <w:rsid w:val="00800E2B"/>
    <w:rsid w:val="00802C9E"/>
    <w:rsid w:val="00804D82"/>
    <w:rsid w:val="0080554D"/>
    <w:rsid w:val="008176EC"/>
    <w:rsid w:val="008959BC"/>
    <w:rsid w:val="008969C1"/>
    <w:rsid w:val="008B41CA"/>
    <w:rsid w:val="008F14EF"/>
    <w:rsid w:val="008F2666"/>
    <w:rsid w:val="009215B7"/>
    <w:rsid w:val="00923F35"/>
    <w:rsid w:val="00946BC0"/>
    <w:rsid w:val="00951C0E"/>
    <w:rsid w:val="00960F5F"/>
    <w:rsid w:val="0099267F"/>
    <w:rsid w:val="009D3FB5"/>
    <w:rsid w:val="00A0739E"/>
    <w:rsid w:val="00A46851"/>
    <w:rsid w:val="00A52B7E"/>
    <w:rsid w:val="00A53376"/>
    <w:rsid w:val="00A53C43"/>
    <w:rsid w:val="00A9284C"/>
    <w:rsid w:val="00AB4885"/>
    <w:rsid w:val="00AB79AC"/>
    <w:rsid w:val="00AC3741"/>
    <w:rsid w:val="00AC60EA"/>
    <w:rsid w:val="00B12E08"/>
    <w:rsid w:val="00B1566A"/>
    <w:rsid w:val="00B536E9"/>
    <w:rsid w:val="00B55EBB"/>
    <w:rsid w:val="00B73130"/>
    <w:rsid w:val="00B75009"/>
    <w:rsid w:val="00B82E89"/>
    <w:rsid w:val="00BA0FCB"/>
    <w:rsid w:val="00BC0B2C"/>
    <w:rsid w:val="00BC1C56"/>
    <w:rsid w:val="00BD2772"/>
    <w:rsid w:val="00C1319F"/>
    <w:rsid w:val="00C20E5C"/>
    <w:rsid w:val="00C4750C"/>
    <w:rsid w:val="00C651CC"/>
    <w:rsid w:val="00C737B7"/>
    <w:rsid w:val="00C76EC2"/>
    <w:rsid w:val="00CA6043"/>
    <w:rsid w:val="00CB3A7C"/>
    <w:rsid w:val="00CC57EC"/>
    <w:rsid w:val="00CD48B3"/>
    <w:rsid w:val="00D1257F"/>
    <w:rsid w:val="00D12E7B"/>
    <w:rsid w:val="00D218A9"/>
    <w:rsid w:val="00D357CF"/>
    <w:rsid w:val="00D46E49"/>
    <w:rsid w:val="00D57AE2"/>
    <w:rsid w:val="00D93447"/>
    <w:rsid w:val="00D93579"/>
    <w:rsid w:val="00D962BF"/>
    <w:rsid w:val="00DA36B9"/>
    <w:rsid w:val="00DA7419"/>
    <w:rsid w:val="00DB6FF9"/>
    <w:rsid w:val="00DC2214"/>
    <w:rsid w:val="00DC362C"/>
    <w:rsid w:val="00DD1186"/>
    <w:rsid w:val="00DE0419"/>
    <w:rsid w:val="00DF692F"/>
    <w:rsid w:val="00E41EB5"/>
    <w:rsid w:val="00E452E8"/>
    <w:rsid w:val="00E6505C"/>
    <w:rsid w:val="00E65202"/>
    <w:rsid w:val="00E801CD"/>
    <w:rsid w:val="00ED066E"/>
    <w:rsid w:val="00ED67B6"/>
    <w:rsid w:val="00F3314C"/>
    <w:rsid w:val="00F54DDB"/>
    <w:rsid w:val="00F714AB"/>
    <w:rsid w:val="00F82619"/>
    <w:rsid w:val="00F9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870B9"/>
  <w15:docId w15:val="{7AB10371-40F1-4B91-9CA3-7371598E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313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73130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73130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31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3130"/>
    <w:rPr>
      <w:rFonts w:ascii="Arial" w:hAnsi="Arial"/>
      <w:b/>
      <w:bCs/>
      <w:sz w:val="20"/>
      <w:szCs w:val="20"/>
    </w:rPr>
  </w:style>
  <w:style w:type="paragraph" w:styleId="Billedtekst">
    <w:name w:val="caption"/>
    <w:basedOn w:val="Normal"/>
    <w:next w:val="Normal"/>
    <w:uiPriority w:val="35"/>
    <w:unhideWhenUsed/>
    <w:qFormat/>
    <w:rsid w:val="00151E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41CAC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41CAC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41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s.dk/sites/ens.dk/files/Analyser/2a_kf22_forudsaetningsnotat_-_politik_og_aftaler_i_kf22.pdf" TargetMode="External"/><Relationship Id="rId2" Type="http://schemas.openxmlformats.org/officeDocument/2006/relationships/hyperlink" Target="https://www.regeringen.dk/aktuelt/publikationer-og-aftaletekster/danmark-kan-mere-ii/" TargetMode="External"/><Relationship Id="rId1" Type="http://schemas.openxmlformats.org/officeDocument/2006/relationships/hyperlink" Target="https://ens.dk/sites/ens.dk/files/Basisfremskrivning/kf22_-_samlet_rapport.pdf" TargetMode="External"/><Relationship Id="rId4" Type="http://schemas.openxmlformats.org/officeDocument/2006/relationships/hyperlink" Target="https://ec.europa.eu/info/law/better-regulation/have-your-say/initiatives/7046068-Production-of-renewable-transport-fuels-share-of-renewable-electricity-requirements-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5538\AppData\Local\cBrain\F2\.tmp\6b65d066592b4baa89548ada89bcd90f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67A2-2D61-4A43-B771-BB0F079D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6b65d066592b4baa89548ada89bcd90f.dotx</Template>
  <TotalTime>0</TotalTime>
  <Pages>1</Pages>
  <Words>560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Iben Moll Rasmussen</dc:creator>
  <cp:lastModifiedBy>Marie Helle Markussen</cp:lastModifiedBy>
  <cp:revision>1</cp:revision>
  <dcterms:created xsi:type="dcterms:W3CDTF">2022-09-12T07:58:00Z</dcterms:created>
  <dcterms:modified xsi:type="dcterms:W3CDTF">2022-09-12T07:58:00Z</dcterms:modified>
</cp:coreProperties>
</file>